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charts/chartEx1.xml" ContentType="application/vnd.ms-office.chartex+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97FFC" w14:textId="77777777" w:rsidR="006F5AB1" w:rsidRDefault="006F5AB1" w:rsidP="00F3245F">
      <w:pPr>
        <w:spacing w:line="259" w:lineRule="auto"/>
        <w:jc w:val="center"/>
      </w:pPr>
      <w:bookmarkStart w:id="0" w:name="_Toc100241870"/>
      <w:bookmarkStart w:id="1" w:name="_Toc78382837"/>
    </w:p>
    <w:p w14:paraId="79F84E8E" w14:textId="25F4F075" w:rsidR="00F3245F" w:rsidRDefault="00F3245F" w:rsidP="00F3245F">
      <w:pPr>
        <w:spacing w:line="259" w:lineRule="auto"/>
        <w:jc w:val="center"/>
      </w:pPr>
      <w:r>
        <w:t>UNIVERSITY OF OKLAHOMA</w:t>
      </w:r>
    </w:p>
    <w:p w14:paraId="07776EDE" w14:textId="77777777" w:rsidR="00F3245F" w:rsidRDefault="00F3245F" w:rsidP="00F3245F">
      <w:pPr>
        <w:spacing w:line="259" w:lineRule="auto"/>
        <w:jc w:val="center"/>
      </w:pPr>
      <w:r>
        <w:t>GRADUATE COLLEGE</w:t>
      </w:r>
    </w:p>
    <w:p w14:paraId="662BCED7" w14:textId="77777777" w:rsidR="00F3245F" w:rsidRDefault="00F3245F" w:rsidP="00F3245F">
      <w:pPr>
        <w:spacing w:line="259" w:lineRule="auto"/>
        <w:jc w:val="center"/>
      </w:pPr>
    </w:p>
    <w:p w14:paraId="71902708" w14:textId="100E6284" w:rsidR="00F3245F" w:rsidRDefault="00F3245F" w:rsidP="00F3245F">
      <w:pPr>
        <w:spacing w:line="259" w:lineRule="auto"/>
        <w:jc w:val="center"/>
      </w:pPr>
    </w:p>
    <w:p w14:paraId="12E62504" w14:textId="77777777" w:rsidR="006F5AB1" w:rsidRDefault="006F5AB1" w:rsidP="00F3245F">
      <w:pPr>
        <w:spacing w:line="259" w:lineRule="auto"/>
        <w:jc w:val="center"/>
      </w:pPr>
    </w:p>
    <w:p w14:paraId="41A4CD8B" w14:textId="1311B064" w:rsidR="00F3245F" w:rsidRDefault="006F5AB1" w:rsidP="006F5AB1">
      <w:pPr>
        <w:spacing w:line="360" w:lineRule="auto"/>
        <w:jc w:val="center"/>
      </w:pPr>
      <w:r>
        <w:t>SMALL MOLECULE</w:t>
      </w:r>
      <w:r w:rsidR="00F2669F">
        <w:t xml:space="preserve"> DESIGN STRATEGIES FOR PROBING STRUCTURE-ACTIVITY RELATIONSHIPS: BACTERIAL VIRULENCE MODULATION VIA CPXRA ACTIVATION, THE TOTAL SYNTHESIS OF PICRASMA ALKALOIDS, A</w:t>
      </w:r>
      <w:r>
        <w:t>N</w:t>
      </w:r>
      <w:r w:rsidR="00F2669F">
        <w:t xml:space="preserve">D CORONAVIRUS </w:t>
      </w:r>
      <w:r>
        <w:t xml:space="preserve">MAIN </w:t>
      </w:r>
      <w:r w:rsidR="00F2669F">
        <w:t>PROTEASE INHIBITORS</w:t>
      </w:r>
    </w:p>
    <w:p w14:paraId="1C3E9E91" w14:textId="77777777" w:rsidR="00F3245F" w:rsidRDefault="00F3245F" w:rsidP="00F3245F">
      <w:pPr>
        <w:spacing w:line="259" w:lineRule="auto"/>
        <w:jc w:val="center"/>
      </w:pPr>
    </w:p>
    <w:p w14:paraId="5F4AF039" w14:textId="2226D3BC" w:rsidR="00F3245F" w:rsidRDefault="00F3245F" w:rsidP="00F3245F">
      <w:pPr>
        <w:spacing w:line="259" w:lineRule="auto"/>
        <w:jc w:val="center"/>
      </w:pPr>
    </w:p>
    <w:p w14:paraId="46959F80" w14:textId="77777777" w:rsidR="006F5AB1" w:rsidRDefault="006F5AB1" w:rsidP="00F3245F">
      <w:pPr>
        <w:spacing w:line="259" w:lineRule="auto"/>
        <w:jc w:val="center"/>
      </w:pPr>
    </w:p>
    <w:p w14:paraId="15E741CA" w14:textId="77777777" w:rsidR="00F3245F" w:rsidRDefault="00F3245F" w:rsidP="00F3245F">
      <w:pPr>
        <w:spacing w:line="259" w:lineRule="auto"/>
        <w:jc w:val="center"/>
      </w:pPr>
      <w:r>
        <w:t xml:space="preserve">A DISSERTATION </w:t>
      </w:r>
    </w:p>
    <w:p w14:paraId="62C5C468" w14:textId="77777777" w:rsidR="00F3245F" w:rsidRDefault="00F3245F" w:rsidP="00F3245F">
      <w:pPr>
        <w:spacing w:line="259" w:lineRule="auto"/>
        <w:jc w:val="center"/>
      </w:pPr>
      <w:r>
        <w:t xml:space="preserve">SUBMITTED TO THE GRADUATE FACULTY </w:t>
      </w:r>
    </w:p>
    <w:p w14:paraId="377C7908" w14:textId="77777777" w:rsidR="00F3245F" w:rsidRDefault="00F3245F" w:rsidP="00F3245F">
      <w:pPr>
        <w:spacing w:line="259" w:lineRule="auto"/>
        <w:jc w:val="center"/>
      </w:pPr>
      <w:r>
        <w:t>In partial fulfillment of the requirements for the</w:t>
      </w:r>
    </w:p>
    <w:p w14:paraId="102EC9E3" w14:textId="77777777" w:rsidR="00F3245F" w:rsidRDefault="00F3245F" w:rsidP="00F3245F">
      <w:pPr>
        <w:spacing w:line="259" w:lineRule="auto"/>
        <w:jc w:val="center"/>
      </w:pPr>
      <w:r>
        <w:t xml:space="preserve">Degree of </w:t>
      </w:r>
    </w:p>
    <w:p w14:paraId="66C11147" w14:textId="52D0D279" w:rsidR="00F3245F" w:rsidRDefault="00F3245F" w:rsidP="00F3245F">
      <w:pPr>
        <w:spacing w:line="259" w:lineRule="auto"/>
        <w:jc w:val="center"/>
      </w:pPr>
      <w:r>
        <w:t>DOCTOR OF PHILO</w:t>
      </w:r>
      <w:r w:rsidR="000E78D2">
        <w:t>S</w:t>
      </w:r>
      <w:r>
        <w:t>OPHY</w:t>
      </w:r>
    </w:p>
    <w:p w14:paraId="56B20B43" w14:textId="77777777" w:rsidR="00F3245F" w:rsidRDefault="00F3245F" w:rsidP="00F3245F">
      <w:pPr>
        <w:spacing w:line="259" w:lineRule="auto"/>
        <w:jc w:val="center"/>
      </w:pPr>
    </w:p>
    <w:p w14:paraId="12F218B2" w14:textId="77777777" w:rsidR="00F3245F" w:rsidRDefault="00F3245F" w:rsidP="00F3245F">
      <w:pPr>
        <w:spacing w:line="259" w:lineRule="auto"/>
        <w:jc w:val="center"/>
      </w:pPr>
    </w:p>
    <w:p w14:paraId="5347BBF1" w14:textId="7514C0EC" w:rsidR="00F3245F" w:rsidRDefault="00F3245F" w:rsidP="00F3245F">
      <w:pPr>
        <w:spacing w:line="259" w:lineRule="auto"/>
        <w:jc w:val="center"/>
      </w:pPr>
    </w:p>
    <w:p w14:paraId="383A0C41" w14:textId="77777777" w:rsidR="006F5AB1" w:rsidRDefault="006F5AB1" w:rsidP="00F3245F">
      <w:pPr>
        <w:spacing w:line="259" w:lineRule="auto"/>
        <w:jc w:val="center"/>
      </w:pPr>
    </w:p>
    <w:p w14:paraId="2FEE8C4E" w14:textId="77777777" w:rsidR="00F3245F" w:rsidRDefault="00F3245F" w:rsidP="00F3245F">
      <w:pPr>
        <w:spacing w:line="259" w:lineRule="auto"/>
        <w:jc w:val="center"/>
      </w:pPr>
      <w:r>
        <w:t xml:space="preserve">By </w:t>
      </w:r>
    </w:p>
    <w:p w14:paraId="2694A8E1" w14:textId="77777777" w:rsidR="00F3245F" w:rsidRDefault="00F3245F" w:rsidP="00F3245F">
      <w:pPr>
        <w:spacing w:line="259" w:lineRule="auto"/>
        <w:jc w:val="center"/>
      </w:pPr>
      <w:r>
        <w:t>JESSICA JEANORA HAYES GARDNER</w:t>
      </w:r>
    </w:p>
    <w:p w14:paraId="50F7B919" w14:textId="77777777" w:rsidR="00F3245F" w:rsidRDefault="00F3245F" w:rsidP="00F3245F">
      <w:pPr>
        <w:spacing w:line="259" w:lineRule="auto"/>
        <w:jc w:val="center"/>
      </w:pPr>
      <w:r>
        <w:t>Norman, Oklahoma</w:t>
      </w:r>
    </w:p>
    <w:p w14:paraId="245C36EE" w14:textId="77777777" w:rsidR="00E22AC2" w:rsidRDefault="00F3245F" w:rsidP="00F3245F">
      <w:pPr>
        <w:spacing w:line="259" w:lineRule="auto"/>
        <w:jc w:val="center"/>
      </w:pPr>
      <w:r>
        <w:t>2022</w:t>
      </w:r>
    </w:p>
    <w:p w14:paraId="1C40CC5E" w14:textId="77777777" w:rsidR="006B3A09" w:rsidRDefault="00E22AC2">
      <w:pPr>
        <w:spacing w:line="259" w:lineRule="auto"/>
        <w:jc w:val="left"/>
        <w:sectPr w:rsidR="006B3A09" w:rsidSect="00053C56">
          <w:footerReference w:type="default" r:id="rId8"/>
          <w:pgSz w:w="12240" w:h="15840"/>
          <w:pgMar w:top="1440" w:right="1440" w:bottom="1440" w:left="1440" w:header="720" w:footer="720" w:gutter="0"/>
          <w:pgNumType w:start="1"/>
          <w:cols w:space="720"/>
          <w:titlePg/>
          <w:docGrid w:linePitch="360"/>
        </w:sectPr>
      </w:pPr>
      <w:r>
        <w:br w:type="page"/>
      </w:r>
    </w:p>
    <w:p w14:paraId="10E67FCE" w14:textId="75C1B0F6" w:rsidR="006F5AB1" w:rsidRDefault="006F5AB1" w:rsidP="004C2573">
      <w:pPr>
        <w:spacing w:line="360" w:lineRule="auto"/>
      </w:pPr>
    </w:p>
    <w:p w14:paraId="22AED73D" w14:textId="77777777" w:rsidR="006F5AB1" w:rsidRDefault="006F5AB1" w:rsidP="006F5AB1">
      <w:pPr>
        <w:spacing w:line="360" w:lineRule="auto"/>
        <w:jc w:val="center"/>
      </w:pPr>
    </w:p>
    <w:p w14:paraId="1511E580" w14:textId="4E22320A" w:rsidR="006F5AB1" w:rsidRDefault="006F5AB1" w:rsidP="006F5AB1">
      <w:pPr>
        <w:spacing w:line="360" w:lineRule="auto"/>
        <w:jc w:val="center"/>
      </w:pPr>
      <w:r>
        <w:t>SMALL MOLECULE DESIGN STRATEGIES FOR PROBING STRUCTURE-ACTIVITY RELATIONSHIPS: BACTERIAL VIRULENCE MODULATION VIA CPXRA ACTIVATION, THE TOTAL SYNTHESIS OF PICRASMA ALKALOIDS, AND CORONAVIRUS MAIN PROTEASE INHIBITORS</w:t>
      </w:r>
    </w:p>
    <w:p w14:paraId="02D268D2" w14:textId="431EF10A" w:rsidR="00E22AC2" w:rsidRDefault="00E22AC2" w:rsidP="00E22AC2">
      <w:pPr>
        <w:spacing w:line="259" w:lineRule="auto"/>
        <w:jc w:val="center"/>
      </w:pPr>
    </w:p>
    <w:p w14:paraId="3084C181" w14:textId="691FA725" w:rsidR="00E22AC2" w:rsidRDefault="00E22AC2" w:rsidP="00E22AC2">
      <w:pPr>
        <w:spacing w:line="259" w:lineRule="auto"/>
        <w:jc w:val="center"/>
      </w:pPr>
    </w:p>
    <w:p w14:paraId="7E5C1CF1" w14:textId="77777777" w:rsidR="00E22AC2" w:rsidRDefault="00E22AC2" w:rsidP="00E22AC2">
      <w:pPr>
        <w:spacing w:line="259" w:lineRule="auto"/>
        <w:jc w:val="center"/>
      </w:pPr>
    </w:p>
    <w:p w14:paraId="566AC9CE" w14:textId="77777777" w:rsidR="00E22AC2" w:rsidRDefault="00E22AC2" w:rsidP="00E22AC2">
      <w:pPr>
        <w:spacing w:line="259" w:lineRule="auto"/>
        <w:jc w:val="center"/>
      </w:pPr>
    </w:p>
    <w:p w14:paraId="02852B37" w14:textId="77777777" w:rsidR="00E22AC2" w:rsidRDefault="00E22AC2" w:rsidP="00E22AC2">
      <w:pPr>
        <w:spacing w:line="259" w:lineRule="auto"/>
        <w:jc w:val="center"/>
      </w:pPr>
      <w:r>
        <w:t xml:space="preserve">A DISSERTATION APPROVED FOR THE </w:t>
      </w:r>
    </w:p>
    <w:p w14:paraId="75B38A3C" w14:textId="77777777" w:rsidR="00E22AC2" w:rsidRDefault="00E22AC2" w:rsidP="00E22AC2">
      <w:pPr>
        <w:spacing w:line="259" w:lineRule="auto"/>
        <w:jc w:val="center"/>
      </w:pPr>
      <w:r>
        <w:t>DEPARTMENT OF CHEMISTRY AND BIOCHEMISTRY</w:t>
      </w:r>
    </w:p>
    <w:p w14:paraId="23BF8481" w14:textId="77777777" w:rsidR="00E22AC2" w:rsidRDefault="00E22AC2" w:rsidP="00E22AC2">
      <w:pPr>
        <w:spacing w:line="259" w:lineRule="auto"/>
        <w:jc w:val="center"/>
      </w:pPr>
    </w:p>
    <w:p w14:paraId="2A65F445" w14:textId="2ECF35F9" w:rsidR="00E22AC2" w:rsidRDefault="00E22AC2" w:rsidP="00E22AC2">
      <w:pPr>
        <w:spacing w:line="259" w:lineRule="auto"/>
        <w:jc w:val="center"/>
      </w:pPr>
    </w:p>
    <w:p w14:paraId="5E566500" w14:textId="2883FB08" w:rsidR="00E22AC2" w:rsidRDefault="00E22AC2" w:rsidP="00E22AC2">
      <w:pPr>
        <w:spacing w:line="259" w:lineRule="auto"/>
        <w:jc w:val="center"/>
      </w:pPr>
    </w:p>
    <w:p w14:paraId="6A421A66" w14:textId="77777777" w:rsidR="006F5AB1" w:rsidRDefault="006F5AB1" w:rsidP="00E22AC2">
      <w:pPr>
        <w:spacing w:line="259" w:lineRule="auto"/>
        <w:jc w:val="center"/>
      </w:pPr>
    </w:p>
    <w:p w14:paraId="2EA1294F" w14:textId="77777777" w:rsidR="00E22AC2" w:rsidRDefault="00E22AC2" w:rsidP="00E22AC2">
      <w:pPr>
        <w:spacing w:line="259" w:lineRule="auto"/>
        <w:jc w:val="center"/>
      </w:pPr>
      <w:r>
        <w:t>BY THE COMMITTEE CONSISTING OF</w:t>
      </w:r>
    </w:p>
    <w:p w14:paraId="48B1E737" w14:textId="77777777" w:rsidR="00E22AC2" w:rsidRDefault="00E22AC2" w:rsidP="00E22AC2">
      <w:pPr>
        <w:spacing w:line="259" w:lineRule="auto"/>
        <w:jc w:val="center"/>
      </w:pPr>
    </w:p>
    <w:p w14:paraId="56DDCAF2" w14:textId="77777777" w:rsidR="00E22AC2" w:rsidRDefault="00E22AC2" w:rsidP="00E22AC2">
      <w:pPr>
        <w:spacing w:line="259" w:lineRule="auto"/>
        <w:jc w:val="center"/>
      </w:pPr>
    </w:p>
    <w:p w14:paraId="6D5E6EC0" w14:textId="77777777" w:rsidR="00E22AC2" w:rsidRDefault="00E22AC2" w:rsidP="00E22AC2">
      <w:pPr>
        <w:spacing w:line="259" w:lineRule="auto"/>
        <w:jc w:val="center"/>
      </w:pPr>
    </w:p>
    <w:p w14:paraId="529AAC8C" w14:textId="77777777" w:rsidR="00E22AC2" w:rsidRDefault="00E22AC2" w:rsidP="00E22AC2">
      <w:pPr>
        <w:spacing w:line="259" w:lineRule="auto"/>
        <w:jc w:val="center"/>
      </w:pPr>
    </w:p>
    <w:p w14:paraId="129EEA69" w14:textId="77777777" w:rsidR="00E22AC2" w:rsidRDefault="00E22AC2" w:rsidP="00E22AC2">
      <w:pPr>
        <w:spacing w:line="259" w:lineRule="auto"/>
        <w:jc w:val="right"/>
      </w:pPr>
      <w:r>
        <w:t>Dr. Shanteri Singh, Co-Chair</w:t>
      </w:r>
    </w:p>
    <w:p w14:paraId="09B3998F" w14:textId="77777777" w:rsidR="00E22AC2" w:rsidRDefault="00E22AC2" w:rsidP="00E22AC2">
      <w:pPr>
        <w:spacing w:line="259" w:lineRule="auto"/>
        <w:jc w:val="right"/>
      </w:pPr>
      <w:r>
        <w:t>Dr. Adam Duerfeldt, Co-Chair</w:t>
      </w:r>
    </w:p>
    <w:p w14:paraId="19EBAE23" w14:textId="77777777" w:rsidR="00E22AC2" w:rsidRDefault="00E22AC2" w:rsidP="00E22AC2">
      <w:pPr>
        <w:spacing w:line="259" w:lineRule="auto"/>
        <w:jc w:val="right"/>
      </w:pPr>
      <w:r>
        <w:t>Dr. Edgar A. O’Rear</w:t>
      </w:r>
    </w:p>
    <w:p w14:paraId="754B4053" w14:textId="77777777" w:rsidR="00E22AC2" w:rsidRDefault="00E22AC2" w:rsidP="00E22AC2">
      <w:pPr>
        <w:spacing w:line="259" w:lineRule="auto"/>
        <w:jc w:val="right"/>
      </w:pPr>
      <w:r>
        <w:t>Dr. Daniel T. Glatzhofer</w:t>
      </w:r>
    </w:p>
    <w:p w14:paraId="0F7F28BC" w14:textId="77777777" w:rsidR="00E22AC2" w:rsidRDefault="00E22AC2" w:rsidP="00E22AC2">
      <w:pPr>
        <w:spacing w:line="259" w:lineRule="auto"/>
        <w:jc w:val="right"/>
      </w:pPr>
      <w:r>
        <w:t>Dr. Robert Cichewicz</w:t>
      </w:r>
    </w:p>
    <w:p w14:paraId="20B90BB5" w14:textId="77777777" w:rsidR="0099411E" w:rsidRDefault="0099411E" w:rsidP="00E22AC2">
      <w:pPr>
        <w:spacing w:line="259" w:lineRule="auto"/>
        <w:jc w:val="right"/>
        <w:sectPr w:rsidR="0099411E" w:rsidSect="006B3A09">
          <w:type w:val="continuous"/>
          <w:pgSz w:w="12240" w:h="15840"/>
          <w:pgMar w:top="1440" w:right="1440" w:bottom="1440" w:left="1440" w:header="720" w:footer="720" w:gutter="0"/>
          <w:pgNumType w:start="1"/>
          <w:cols w:space="720"/>
          <w:titlePg/>
          <w:docGrid w:linePitch="360"/>
        </w:sectPr>
      </w:pPr>
    </w:p>
    <w:p w14:paraId="17D31D2D" w14:textId="77777777" w:rsidR="00053C56" w:rsidRDefault="00053C56" w:rsidP="00E22AC2">
      <w:pPr>
        <w:spacing w:line="259" w:lineRule="auto"/>
        <w:jc w:val="right"/>
        <w:sectPr w:rsidR="00053C56" w:rsidSect="006B3A09">
          <w:type w:val="continuous"/>
          <w:pgSz w:w="12240" w:h="15840"/>
          <w:pgMar w:top="1440" w:right="1440" w:bottom="1440" w:left="1440" w:header="720" w:footer="720" w:gutter="0"/>
          <w:pgNumType w:start="1"/>
          <w:cols w:space="720"/>
          <w:titlePg/>
          <w:docGrid w:linePitch="360"/>
        </w:sectPr>
      </w:pPr>
    </w:p>
    <w:p w14:paraId="6CC6D0BF" w14:textId="77777777" w:rsidR="00E22AC2" w:rsidRDefault="00E22AC2" w:rsidP="00E22AC2">
      <w:pPr>
        <w:spacing w:line="259" w:lineRule="auto"/>
        <w:jc w:val="right"/>
      </w:pPr>
    </w:p>
    <w:p w14:paraId="449845C2" w14:textId="77777777" w:rsidR="0099411E" w:rsidRDefault="0099411E" w:rsidP="0099411E">
      <w:pPr>
        <w:spacing w:line="259" w:lineRule="auto"/>
        <w:rPr>
          <w:szCs w:val="24"/>
        </w:rPr>
        <w:sectPr w:rsidR="0099411E" w:rsidSect="004C2573">
          <w:footerReference w:type="default" r:id="rId9"/>
          <w:type w:val="continuous"/>
          <w:pgSz w:w="12240" w:h="15840"/>
          <w:pgMar w:top="1440" w:right="1440" w:bottom="1440" w:left="1440" w:header="720" w:footer="720" w:gutter="0"/>
          <w:pgNumType w:start="0"/>
          <w:cols w:space="720"/>
          <w:titlePg/>
          <w:docGrid w:linePitch="360"/>
        </w:sectPr>
      </w:pPr>
    </w:p>
    <w:p w14:paraId="059EE1F7" w14:textId="77777777" w:rsidR="00E22AC2" w:rsidRDefault="00E22AC2" w:rsidP="00E22AC2">
      <w:pPr>
        <w:spacing w:line="259" w:lineRule="auto"/>
        <w:jc w:val="center"/>
        <w:rPr>
          <w:szCs w:val="24"/>
        </w:rPr>
      </w:pPr>
    </w:p>
    <w:p w14:paraId="710D53BA" w14:textId="77777777" w:rsidR="00E22AC2" w:rsidRDefault="00E22AC2" w:rsidP="00E22AC2">
      <w:pPr>
        <w:spacing w:line="259" w:lineRule="auto"/>
        <w:jc w:val="center"/>
        <w:rPr>
          <w:szCs w:val="24"/>
        </w:rPr>
      </w:pPr>
    </w:p>
    <w:p w14:paraId="0EAFE4B7" w14:textId="77777777" w:rsidR="00E22AC2" w:rsidRDefault="00E22AC2" w:rsidP="00E22AC2">
      <w:pPr>
        <w:spacing w:line="259" w:lineRule="auto"/>
        <w:jc w:val="center"/>
        <w:rPr>
          <w:szCs w:val="24"/>
        </w:rPr>
      </w:pPr>
    </w:p>
    <w:p w14:paraId="6D486A1D" w14:textId="77777777" w:rsidR="00E22AC2" w:rsidRDefault="00E22AC2" w:rsidP="00E22AC2">
      <w:pPr>
        <w:spacing w:line="259" w:lineRule="auto"/>
        <w:jc w:val="center"/>
        <w:rPr>
          <w:szCs w:val="24"/>
        </w:rPr>
      </w:pPr>
    </w:p>
    <w:p w14:paraId="5A02E01A" w14:textId="77777777" w:rsidR="00E22AC2" w:rsidRDefault="00E22AC2" w:rsidP="00E22AC2">
      <w:pPr>
        <w:spacing w:line="259" w:lineRule="auto"/>
        <w:jc w:val="center"/>
        <w:rPr>
          <w:szCs w:val="24"/>
        </w:rPr>
      </w:pPr>
    </w:p>
    <w:p w14:paraId="5C19F7CC" w14:textId="77777777" w:rsidR="00E22AC2" w:rsidRDefault="00E22AC2" w:rsidP="00E22AC2">
      <w:pPr>
        <w:spacing w:line="259" w:lineRule="auto"/>
        <w:jc w:val="center"/>
        <w:rPr>
          <w:szCs w:val="24"/>
        </w:rPr>
      </w:pPr>
    </w:p>
    <w:p w14:paraId="3237D733" w14:textId="77777777" w:rsidR="00E22AC2" w:rsidRDefault="00E22AC2" w:rsidP="00E22AC2">
      <w:pPr>
        <w:spacing w:line="259" w:lineRule="auto"/>
        <w:jc w:val="center"/>
        <w:rPr>
          <w:szCs w:val="24"/>
        </w:rPr>
      </w:pPr>
    </w:p>
    <w:p w14:paraId="0975239F" w14:textId="77777777" w:rsidR="00E22AC2" w:rsidRDefault="00E22AC2" w:rsidP="00E22AC2">
      <w:pPr>
        <w:spacing w:line="259" w:lineRule="auto"/>
        <w:jc w:val="center"/>
        <w:rPr>
          <w:szCs w:val="24"/>
        </w:rPr>
      </w:pPr>
    </w:p>
    <w:p w14:paraId="6970AD9B" w14:textId="77777777" w:rsidR="00E22AC2" w:rsidRDefault="00E22AC2" w:rsidP="00E22AC2">
      <w:pPr>
        <w:spacing w:line="259" w:lineRule="auto"/>
        <w:jc w:val="center"/>
        <w:rPr>
          <w:szCs w:val="24"/>
        </w:rPr>
      </w:pPr>
    </w:p>
    <w:p w14:paraId="5F539118" w14:textId="77777777" w:rsidR="00E22AC2" w:rsidRDefault="00E22AC2" w:rsidP="00E22AC2">
      <w:pPr>
        <w:spacing w:line="259" w:lineRule="auto"/>
        <w:jc w:val="center"/>
        <w:rPr>
          <w:szCs w:val="24"/>
        </w:rPr>
      </w:pPr>
    </w:p>
    <w:p w14:paraId="1DC51F30" w14:textId="77777777" w:rsidR="00E22AC2" w:rsidRDefault="00E22AC2" w:rsidP="00E22AC2">
      <w:pPr>
        <w:spacing w:line="259" w:lineRule="auto"/>
        <w:jc w:val="center"/>
        <w:rPr>
          <w:szCs w:val="24"/>
        </w:rPr>
      </w:pPr>
    </w:p>
    <w:p w14:paraId="711A68F3" w14:textId="77777777" w:rsidR="00E22AC2" w:rsidRDefault="00E22AC2" w:rsidP="00E22AC2">
      <w:pPr>
        <w:spacing w:line="259" w:lineRule="auto"/>
        <w:jc w:val="center"/>
        <w:rPr>
          <w:szCs w:val="24"/>
        </w:rPr>
      </w:pPr>
    </w:p>
    <w:p w14:paraId="3355CCD5" w14:textId="77777777" w:rsidR="00E22AC2" w:rsidRDefault="00E22AC2" w:rsidP="00E22AC2">
      <w:pPr>
        <w:spacing w:line="259" w:lineRule="auto"/>
        <w:jc w:val="center"/>
        <w:rPr>
          <w:szCs w:val="24"/>
        </w:rPr>
      </w:pPr>
    </w:p>
    <w:p w14:paraId="781763F4" w14:textId="77777777" w:rsidR="00E22AC2" w:rsidRDefault="00E22AC2" w:rsidP="00E22AC2">
      <w:pPr>
        <w:spacing w:line="259" w:lineRule="auto"/>
        <w:jc w:val="center"/>
        <w:rPr>
          <w:szCs w:val="24"/>
        </w:rPr>
      </w:pPr>
    </w:p>
    <w:p w14:paraId="435E3714" w14:textId="77777777" w:rsidR="00E22AC2" w:rsidRDefault="00E22AC2" w:rsidP="00E22AC2">
      <w:pPr>
        <w:spacing w:line="259" w:lineRule="auto"/>
        <w:jc w:val="center"/>
        <w:rPr>
          <w:szCs w:val="24"/>
        </w:rPr>
      </w:pPr>
    </w:p>
    <w:p w14:paraId="45131333" w14:textId="77777777" w:rsidR="00E22AC2" w:rsidRDefault="00E22AC2" w:rsidP="00E22AC2">
      <w:pPr>
        <w:spacing w:line="259" w:lineRule="auto"/>
        <w:jc w:val="center"/>
        <w:rPr>
          <w:szCs w:val="24"/>
        </w:rPr>
      </w:pPr>
    </w:p>
    <w:p w14:paraId="788F8C58" w14:textId="77777777" w:rsidR="00E22AC2" w:rsidRDefault="00E22AC2" w:rsidP="00E22AC2">
      <w:pPr>
        <w:spacing w:line="259" w:lineRule="auto"/>
        <w:jc w:val="center"/>
        <w:rPr>
          <w:szCs w:val="24"/>
        </w:rPr>
      </w:pPr>
    </w:p>
    <w:p w14:paraId="6EFB57F7" w14:textId="77777777" w:rsidR="00E22AC2" w:rsidRDefault="00E22AC2" w:rsidP="00E22AC2">
      <w:pPr>
        <w:spacing w:line="259" w:lineRule="auto"/>
        <w:jc w:val="center"/>
        <w:rPr>
          <w:szCs w:val="24"/>
        </w:rPr>
      </w:pPr>
    </w:p>
    <w:p w14:paraId="038E3217" w14:textId="77777777" w:rsidR="00E22AC2" w:rsidRDefault="00E22AC2" w:rsidP="00E22AC2">
      <w:pPr>
        <w:spacing w:line="259" w:lineRule="auto"/>
        <w:jc w:val="center"/>
        <w:rPr>
          <w:szCs w:val="24"/>
        </w:rPr>
      </w:pPr>
    </w:p>
    <w:p w14:paraId="6A34033F" w14:textId="77777777" w:rsidR="00E22AC2" w:rsidRDefault="00E22AC2" w:rsidP="00E22AC2">
      <w:pPr>
        <w:spacing w:line="259" w:lineRule="auto"/>
        <w:jc w:val="center"/>
        <w:rPr>
          <w:szCs w:val="24"/>
        </w:rPr>
      </w:pPr>
    </w:p>
    <w:p w14:paraId="4953424C" w14:textId="77777777" w:rsidR="00E22AC2" w:rsidRDefault="00E22AC2" w:rsidP="00E22AC2">
      <w:pPr>
        <w:spacing w:line="259" w:lineRule="auto"/>
        <w:jc w:val="center"/>
        <w:rPr>
          <w:szCs w:val="24"/>
        </w:rPr>
      </w:pPr>
    </w:p>
    <w:p w14:paraId="56017234" w14:textId="77777777" w:rsidR="00E22AC2" w:rsidRDefault="00E22AC2" w:rsidP="00E22AC2">
      <w:pPr>
        <w:spacing w:line="259" w:lineRule="auto"/>
        <w:jc w:val="center"/>
        <w:rPr>
          <w:szCs w:val="24"/>
        </w:rPr>
      </w:pPr>
    </w:p>
    <w:p w14:paraId="2B3E0BB9" w14:textId="77777777" w:rsidR="00E22AC2" w:rsidRDefault="00E22AC2" w:rsidP="00E22AC2">
      <w:pPr>
        <w:spacing w:line="259" w:lineRule="auto"/>
        <w:jc w:val="center"/>
        <w:rPr>
          <w:szCs w:val="24"/>
        </w:rPr>
      </w:pPr>
    </w:p>
    <w:p w14:paraId="748DB260" w14:textId="77777777" w:rsidR="00E22AC2" w:rsidRDefault="00E22AC2" w:rsidP="00E22AC2">
      <w:pPr>
        <w:spacing w:line="259" w:lineRule="auto"/>
        <w:jc w:val="center"/>
        <w:rPr>
          <w:szCs w:val="24"/>
        </w:rPr>
      </w:pPr>
    </w:p>
    <w:p w14:paraId="36D5F48C" w14:textId="2761F0EC" w:rsidR="00E22AC2" w:rsidRDefault="00E22AC2" w:rsidP="00E22AC2">
      <w:pPr>
        <w:spacing w:line="259" w:lineRule="auto"/>
        <w:jc w:val="center"/>
        <w:rPr>
          <w:szCs w:val="24"/>
        </w:rPr>
      </w:pPr>
      <w:r w:rsidRPr="00E22AC2">
        <w:rPr>
          <w:szCs w:val="24"/>
        </w:rPr>
        <w:t>© Copyright by JESSIC</w:t>
      </w:r>
      <w:r>
        <w:rPr>
          <w:szCs w:val="24"/>
        </w:rPr>
        <w:t>A JEANORA HAYES GARDNER</w:t>
      </w:r>
    </w:p>
    <w:p w14:paraId="2A3A19E1" w14:textId="66C36DF5" w:rsidR="006B3A09" w:rsidRDefault="00E22AC2" w:rsidP="00E22AC2">
      <w:pPr>
        <w:spacing w:line="259" w:lineRule="auto"/>
        <w:jc w:val="center"/>
        <w:rPr>
          <w:szCs w:val="24"/>
        </w:rPr>
        <w:sectPr w:rsidR="006B3A09" w:rsidSect="004C2573">
          <w:type w:val="continuous"/>
          <w:pgSz w:w="12240" w:h="15840"/>
          <w:pgMar w:top="1440" w:right="1440" w:bottom="1440" w:left="1440" w:header="720" w:footer="720" w:gutter="0"/>
          <w:pgNumType w:start="0"/>
          <w:cols w:space="720"/>
          <w:titlePg/>
          <w:docGrid w:linePitch="360"/>
        </w:sectPr>
      </w:pPr>
      <w:r>
        <w:rPr>
          <w:szCs w:val="24"/>
        </w:rPr>
        <w:t>All Rights Reserved</w:t>
      </w:r>
      <w:r w:rsidR="001D2DFD">
        <w:rPr>
          <w:szCs w:val="24"/>
        </w:rPr>
        <w:t>.</w:t>
      </w:r>
    </w:p>
    <w:p w14:paraId="1913125B" w14:textId="77777777" w:rsidR="00053C56" w:rsidRDefault="00053C56" w:rsidP="0099411E">
      <w:pPr>
        <w:spacing w:line="259" w:lineRule="auto"/>
        <w:rPr>
          <w:szCs w:val="24"/>
        </w:rPr>
        <w:sectPr w:rsidR="00053C56" w:rsidSect="00053C56">
          <w:type w:val="continuous"/>
          <w:pgSz w:w="12240" w:h="15840"/>
          <w:pgMar w:top="1440" w:right="1440" w:bottom="1440" w:left="1440" w:header="720" w:footer="720" w:gutter="0"/>
          <w:pgNumType w:start="1"/>
          <w:cols w:space="720"/>
          <w:titlePg/>
          <w:docGrid w:linePitch="360"/>
        </w:sectPr>
      </w:pPr>
    </w:p>
    <w:p w14:paraId="04D862CA" w14:textId="77777777" w:rsidR="00E70DF3" w:rsidRDefault="00E70DF3" w:rsidP="0099411E">
      <w:pPr>
        <w:spacing w:line="259" w:lineRule="auto"/>
        <w:rPr>
          <w:szCs w:val="24"/>
        </w:rPr>
        <w:sectPr w:rsidR="00E70DF3" w:rsidSect="00053C56">
          <w:type w:val="continuous"/>
          <w:pgSz w:w="12240" w:h="15840"/>
          <w:pgMar w:top="1440" w:right="1440" w:bottom="1440" w:left="1440" w:header="720" w:footer="720" w:gutter="0"/>
          <w:pgNumType w:start="1"/>
          <w:cols w:space="720"/>
          <w:titlePg/>
          <w:docGrid w:linePitch="360"/>
        </w:sectPr>
      </w:pPr>
    </w:p>
    <w:p w14:paraId="6CD0B6E8" w14:textId="77777777" w:rsidR="004C2573" w:rsidRDefault="004C2573" w:rsidP="00E22AC2">
      <w:pPr>
        <w:spacing w:line="259" w:lineRule="auto"/>
        <w:jc w:val="left"/>
        <w:rPr>
          <w:b/>
          <w:bCs/>
          <w:sz w:val="28"/>
          <w:szCs w:val="28"/>
        </w:rPr>
        <w:sectPr w:rsidR="004C2573" w:rsidSect="001D2DFD">
          <w:pgSz w:w="12240" w:h="15840"/>
          <w:pgMar w:top="1440" w:right="1440" w:bottom="1440" w:left="1440" w:header="720" w:footer="720" w:gutter="0"/>
          <w:pgNumType w:fmt="lowerRoman" w:start="4"/>
          <w:cols w:space="720"/>
          <w:docGrid w:linePitch="360"/>
        </w:sectPr>
      </w:pPr>
    </w:p>
    <w:p w14:paraId="11FFA5FB" w14:textId="77777777" w:rsidR="006B3A09" w:rsidRDefault="006B3A09" w:rsidP="00E22AC2">
      <w:pPr>
        <w:spacing w:line="259" w:lineRule="auto"/>
        <w:jc w:val="left"/>
        <w:rPr>
          <w:b/>
          <w:bCs/>
          <w:sz w:val="28"/>
          <w:szCs w:val="28"/>
        </w:rPr>
        <w:sectPr w:rsidR="006B3A09" w:rsidSect="004C2573">
          <w:type w:val="continuous"/>
          <w:pgSz w:w="12240" w:h="15840"/>
          <w:pgMar w:top="1440" w:right="1440" w:bottom="1440" w:left="1440" w:header="720" w:footer="720" w:gutter="0"/>
          <w:pgNumType w:fmt="lowerRoman" w:start="1"/>
          <w:cols w:space="720"/>
          <w:docGrid w:linePitch="360"/>
        </w:sectPr>
      </w:pPr>
    </w:p>
    <w:p w14:paraId="33BCC14F" w14:textId="77777777" w:rsidR="00E22AC2" w:rsidRPr="001179DD" w:rsidRDefault="00E22AC2" w:rsidP="00E22AC2">
      <w:pPr>
        <w:spacing w:line="259" w:lineRule="auto"/>
        <w:jc w:val="left"/>
        <w:rPr>
          <w:b/>
          <w:bCs/>
          <w:sz w:val="28"/>
          <w:szCs w:val="28"/>
        </w:rPr>
      </w:pPr>
      <w:r w:rsidRPr="001179DD">
        <w:rPr>
          <w:b/>
          <w:bCs/>
          <w:sz w:val="28"/>
          <w:szCs w:val="28"/>
        </w:rPr>
        <w:t>Dedication</w:t>
      </w:r>
    </w:p>
    <w:p w14:paraId="0CA39D82" w14:textId="77777777" w:rsidR="0099411E" w:rsidRDefault="0099411E" w:rsidP="0099411E">
      <w:pPr>
        <w:spacing w:after="0"/>
        <w:jc w:val="center"/>
        <w:rPr>
          <w:i/>
          <w:iCs/>
          <w:szCs w:val="24"/>
        </w:rPr>
      </w:pPr>
    </w:p>
    <w:p w14:paraId="284D3822" w14:textId="75244CCF" w:rsidR="002A564C" w:rsidRPr="002A564C" w:rsidRDefault="002A564C" w:rsidP="002A564C">
      <w:pPr>
        <w:jc w:val="center"/>
        <w:rPr>
          <w:i/>
          <w:iCs/>
          <w:szCs w:val="24"/>
        </w:rPr>
      </w:pPr>
      <w:r w:rsidRPr="002A564C">
        <w:rPr>
          <w:i/>
          <w:iCs/>
          <w:szCs w:val="24"/>
        </w:rPr>
        <w:t xml:space="preserve">This dissertation is dedicated to Madeline C. Panis and Catalina D. Carbonell, </w:t>
      </w:r>
    </w:p>
    <w:p w14:paraId="639584D9" w14:textId="0188631D" w:rsidR="00AF0AFF" w:rsidRDefault="002A564C" w:rsidP="002A564C">
      <w:pPr>
        <w:jc w:val="center"/>
        <w:rPr>
          <w:i/>
          <w:iCs/>
          <w:szCs w:val="24"/>
        </w:rPr>
      </w:pPr>
      <w:r w:rsidRPr="002A564C">
        <w:rPr>
          <w:i/>
          <w:iCs/>
          <w:szCs w:val="24"/>
        </w:rPr>
        <w:t xml:space="preserve">for I have never met women as strong </w:t>
      </w:r>
      <w:r w:rsidR="001179DD">
        <w:rPr>
          <w:i/>
          <w:iCs/>
          <w:szCs w:val="24"/>
        </w:rPr>
        <w:t xml:space="preserve">and intelligent </w:t>
      </w:r>
      <w:r w:rsidRPr="002A564C">
        <w:rPr>
          <w:i/>
          <w:iCs/>
          <w:szCs w:val="24"/>
        </w:rPr>
        <w:t>as they</w:t>
      </w:r>
      <w:r w:rsidR="001179DD">
        <w:rPr>
          <w:i/>
          <w:iCs/>
          <w:szCs w:val="24"/>
        </w:rPr>
        <w:t xml:space="preserve">, </w:t>
      </w:r>
    </w:p>
    <w:p w14:paraId="684EF7C5" w14:textId="625B28F2" w:rsidR="001179DD" w:rsidRPr="002A564C" w:rsidRDefault="001179DD" w:rsidP="002A564C">
      <w:pPr>
        <w:jc w:val="center"/>
        <w:rPr>
          <w:i/>
          <w:iCs/>
          <w:szCs w:val="24"/>
        </w:rPr>
      </w:pPr>
      <w:r>
        <w:rPr>
          <w:i/>
          <w:iCs/>
          <w:szCs w:val="24"/>
        </w:rPr>
        <w:t xml:space="preserve">and I can only wish to live up to their legacy. </w:t>
      </w:r>
    </w:p>
    <w:p w14:paraId="454BE3B5" w14:textId="79B11FF2" w:rsidR="00554A6E" w:rsidRDefault="00554A6E">
      <w:pPr>
        <w:spacing w:line="259" w:lineRule="auto"/>
        <w:jc w:val="left"/>
        <w:rPr>
          <w:szCs w:val="24"/>
        </w:rPr>
      </w:pPr>
      <w:r>
        <w:rPr>
          <w:szCs w:val="24"/>
        </w:rPr>
        <w:br w:type="page"/>
      </w:r>
    </w:p>
    <w:p w14:paraId="61D02BF6" w14:textId="3C7FFB10" w:rsidR="00554A6E" w:rsidRPr="001179DD" w:rsidRDefault="00554A6E" w:rsidP="00E22AC2">
      <w:pPr>
        <w:spacing w:line="259" w:lineRule="auto"/>
        <w:jc w:val="left"/>
        <w:rPr>
          <w:b/>
          <w:bCs/>
          <w:sz w:val="28"/>
          <w:szCs w:val="28"/>
        </w:rPr>
      </w:pPr>
      <w:r w:rsidRPr="001179DD">
        <w:rPr>
          <w:b/>
          <w:bCs/>
          <w:sz w:val="28"/>
          <w:szCs w:val="28"/>
        </w:rPr>
        <w:lastRenderedPageBreak/>
        <w:t>Abstract</w:t>
      </w:r>
    </w:p>
    <w:p w14:paraId="5FFB3B6D" w14:textId="77777777" w:rsidR="00884D17" w:rsidRDefault="00554A6E" w:rsidP="00EE46CD">
      <w:pPr>
        <w:spacing w:line="240" w:lineRule="auto"/>
        <w:ind w:firstLine="720"/>
        <w:rPr>
          <w:rFonts w:cs="Times New Roman"/>
          <w:szCs w:val="24"/>
        </w:rPr>
      </w:pPr>
      <w:r w:rsidRPr="003E5113">
        <w:rPr>
          <w:rFonts w:cs="Times New Roman"/>
          <w:szCs w:val="24"/>
        </w:rPr>
        <w:t xml:space="preserve">The overall aim of my work is to contribute to molecular design strategies for early lead development while probing structure-activity relationships via the design and synthesis of </w:t>
      </w:r>
      <w:r>
        <w:rPr>
          <w:rFonts w:cs="Times New Roman"/>
          <w:szCs w:val="24"/>
        </w:rPr>
        <w:t xml:space="preserve">small molecules. This dissertation will tell three distinct stories: </w:t>
      </w:r>
    </w:p>
    <w:p w14:paraId="2805E364" w14:textId="7BC06540" w:rsidR="00884D17" w:rsidRPr="00843CBF" w:rsidRDefault="00884D17" w:rsidP="00EE46CD">
      <w:pPr>
        <w:spacing w:line="240" w:lineRule="auto"/>
        <w:ind w:firstLine="720"/>
        <w:rPr>
          <w:rFonts w:cs="Times New Roman"/>
          <w:szCs w:val="24"/>
        </w:rPr>
      </w:pPr>
      <w:r w:rsidRPr="00884D17">
        <w:rPr>
          <w:rFonts w:cs="Times New Roman"/>
          <w:b/>
          <w:bCs/>
          <w:szCs w:val="24"/>
        </w:rPr>
        <w:t>1.</w:t>
      </w:r>
      <w:r w:rsidR="00554A6E" w:rsidRPr="00884D17">
        <w:rPr>
          <w:rFonts w:cs="Times New Roman"/>
          <w:b/>
          <w:bCs/>
          <w:szCs w:val="24"/>
        </w:rPr>
        <w:t xml:space="preserve"> </w:t>
      </w:r>
      <w:r w:rsidRPr="00884D17">
        <w:rPr>
          <w:rFonts w:cs="Times New Roman"/>
          <w:b/>
          <w:bCs/>
          <w:szCs w:val="24"/>
        </w:rPr>
        <w:t>E</w:t>
      </w:r>
      <w:r w:rsidR="00554A6E" w:rsidRPr="00884D17">
        <w:rPr>
          <w:rFonts w:cs="Times New Roman"/>
          <w:b/>
          <w:bCs/>
          <w:szCs w:val="24"/>
        </w:rPr>
        <w:t>xploitation of CpxRA as a target for virulence modulation in Gram-negative bacteria</w:t>
      </w:r>
      <w:r>
        <w:rPr>
          <w:rFonts w:cs="Times New Roman"/>
          <w:b/>
          <w:bCs/>
          <w:szCs w:val="24"/>
        </w:rPr>
        <w:t xml:space="preserve">. </w:t>
      </w:r>
      <w:r w:rsidR="004E6527" w:rsidRPr="004E6527">
        <w:rPr>
          <w:rFonts w:cs="Times New Roman"/>
          <w:szCs w:val="24"/>
        </w:rPr>
        <w:t xml:space="preserve">An </w:t>
      </w:r>
      <w:r w:rsidR="004E6527">
        <w:rPr>
          <w:rFonts w:cs="Times New Roman"/>
          <w:szCs w:val="24"/>
        </w:rPr>
        <w:t>i</w:t>
      </w:r>
      <w:r w:rsidR="00843CBF">
        <w:rPr>
          <w:rFonts w:cs="Times New Roman"/>
          <w:szCs w:val="24"/>
        </w:rPr>
        <w:t>nitial structure-activity relationship</w:t>
      </w:r>
      <w:r w:rsidR="004E6527">
        <w:rPr>
          <w:rFonts w:cs="Times New Roman"/>
          <w:szCs w:val="24"/>
        </w:rPr>
        <w:t xml:space="preserve"> study</w:t>
      </w:r>
      <w:r w:rsidR="00843CBF">
        <w:rPr>
          <w:rFonts w:cs="Times New Roman"/>
          <w:szCs w:val="24"/>
        </w:rPr>
        <w:t xml:space="preserve"> of the 2,3,4,9-tetrahydro-1</w:t>
      </w:r>
      <w:r w:rsidR="00843CBF" w:rsidRPr="00843CBF">
        <w:rPr>
          <w:rFonts w:cs="Times New Roman"/>
          <w:i/>
          <w:iCs/>
          <w:szCs w:val="24"/>
        </w:rPr>
        <w:t>H</w:t>
      </w:r>
      <w:r w:rsidR="00843CBF">
        <w:rPr>
          <w:rFonts w:cs="Times New Roman"/>
          <w:szCs w:val="24"/>
        </w:rPr>
        <w:t xml:space="preserve">-carbazol-1-amine scaffold for activation of the CpxRA two-component signal transduction system (2CSTS) </w:t>
      </w:r>
      <w:r w:rsidR="004E6527">
        <w:rPr>
          <w:rFonts w:cs="Times New Roman"/>
          <w:szCs w:val="24"/>
        </w:rPr>
        <w:t>identified c</w:t>
      </w:r>
      <w:r w:rsidR="00843CBF">
        <w:rPr>
          <w:rFonts w:cs="Times New Roman"/>
          <w:szCs w:val="24"/>
        </w:rPr>
        <w:t>ompound 2.26</w:t>
      </w:r>
      <w:r w:rsidR="00076329">
        <w:rPr>
          <w:rFonts w:cs="Times New Roman"/>
          <w:szCs w:val="24"/>
        </w:rPr>
        <w:t>, which</w:t>
      </w:r>
      <w:r w:rsidR="00843CBF">
        <w:rPr>
          <w:rFonts w:cs="Times New Roman"/>
          <w:szCs w:val="24"/>
        </w:rPr>
        <w:t xml:space="preserve"> activate</w:t>
      </w:r>
      <w:r w:rsidR="00076329">
        <w:rPr>
          <w:rFonts w:cs="Times New Roman"/>
          <w:szCs w:val="24"/>
        </w:rPr>
        <w:t>s</w:t>
      </w:r>
      <w:r w:rsidR="00843CBF">
        <w:rPr>
          <w:rFonts w:cs="Times New Roman"/>
          <w:szCs w:val="24"/>
        </w:rPr>
        <w:t xml:space="preserve"> CpxRA</w:t>
      </w:r>
      <w:r w:rsidR="004E6527">
        <w:rPr>
          <w:rFonts w:cs="Times New Roman"/>
          <w:szCs w:val="24"/>
        </w:rPr>
        <w:t xml:space="preserve"> with </w:t>
      </w:r>
      <w:r w:rsidR="0077086D">
        <w:rPr>
          <w:rFonts w:cs="Times New Roman"/>
          <w:szCs w:val="24"/>
        </w:rPr>
        <w:t xml:space="preserve">~30-fold improvement in </w:t>
      </w:r>
      <w:proofErr w:type="spellStart"/>
      <w:r w:rsidR="0077086D">
        <w:rPr>
          <w:rFonts w:cs="Times New Roman"/>
          <w:szCs w:val="24"/>
        </w:rPr>
        <w:t>CpxA</w:t>
      </w:r>
      <w:proofErr w:type="spellEnd"/>
      <w:r w:rsidR="0077086D">
        <w:rPr>
          <w:rFonts w:cs="Times New Roman"/>
          <w:szCs w:val="24"/>
        </w:rPr>
        <w:t xml:space="preserve"> phosphatase inhibition over the initial hit. </w:t>
      </w:r>
      <w:r w:rsidR="00317EF6">
        <w:rPr>
          <w:rFonts w:cs="Times New Roman"/>
          <w:szCs w:val="24"/>
        </w:rPr>
        <w:t xml:space="preserve">In murine models, 2.26 </w:t>
      </w:r>
      <w:r w:rsidR="004E6527">
        <w:rPr>
          <w:rFonts w:cs="Times New Roman"/>
          <w:szCs w:val="24"/>
        </w:rPr>
        <w:t xml:space="preserve">was found to reduce bacterial recovery in the urine, kidneys, and bladder, with efficacy similar to ciprofloxacin. The proteomes of </w:t>
      </w:r>
      <w:proofErr w:type="spellStart"/>
      <w:r w:rsidR="004E6527">
        <w:rPr>
          <w:rFonts w:cs="Times New Roman"/>
          <w:szCs w:val="24"/>
        </w:rPr>
        <w:t>uropathogenic</w:t>
      </w:r>
      <w:proofErr w:type="spellEnd"/>
      <w:r w:rsidR="004E6527">
        <w:rPr>
          <w:rFonts w:cs="Times New Roman"/>
          <w:szCs w:val="24"/>
        </w:rPr>
        <w:t xml:space="preserve"> </w:t>
      </w:r>
      <w:r w:rsidR="004E6527" w:rsidRPr="004E6527">
        <w:rPr>
          <w:rFonts w:cs="Times New Roman"/>
          <w:i/>
          <w:iCs/>
          <w:szCs w:val="24"/>
        </w:rPr>
        <w:t>E. coli</w:t>
      </w:r>
      <w:r w:rsidR="004E6527">
        <w:rPr>
          <w:rFonts w:cs="Times New Roman"/>
          <w:szCs w:val="24"/>
        </w:rPr>
        <w:t xml:space="preserve"> strain CFT073 </w:t>
      </w:r>
      <w:proofErr w:type="spellStart"/>
      <w:r w:rsidR="004E6527" w:rsidRPr="004E6527">
        <w:rPr>
          <w:rFonts w:cs="Times New Roman"/>
          <w:i/>
          <w:iCs/>
          <w:szCs w:val="24"/>
        </w:rPr>
        <w:t>cpxA</w:t>
      </w:r>
      <w:proofErr w:type="spellEnd"/>
      <w:r w:rsidR="004E6527">
        <w:rPr>
          <w:rFonts w:cs="Times New Roman"/>
          <w:szCs w:val="24"/>
        </w:rPr>
        <w:t xml:space="preserve"> deletion mutant versus 2.26-treated CFT073 were compared, providing insights into the mechanism behind CpxRA pharmacologic activation. </w:t>
      </w:r>
      <w:r w:rsidR="00076329">
        <w:rPr>
          <w:rFonts w:cs="Times New Roman"/>
          <w:szCs w:val="24"/>
        </w:rPr>
        <w:t xml:space="preserve">Compound 2.26 provides a novel antibacterial mechanism as it does not exhibit bactericidal activity, but it reduces the expression of virulence factors, as demonstrated by cellular assays, animal studies, and proteomic analysis. </w:t>
      </w:r>
    </w:p>
    <w:p w14:paraId="37BD0135" w14:textId="077DEC62" w:rsidR="00884D17" w:rsidRPr="0077086D" w:rsidRDefault="00554A6E" w:rsidP="00EE46CD">
      <w:pPr>
        <w:spacing w:line="240" w:lineRule="auto"/>
        <w:ind w:firstLine="720"/>
        <w:rPr>
          <w:rFonts w:cs="Times New Roman"/>
          <w:szCs w:val="24"/>
        </w:rPr>
      </w:pPr>
      <w:r w:rsidRPr="00884D17">
        <w:rPr>
          <w:rFonts w:cs="Times New Roman"/>
          <w:b/>
          <w:bCs/>
          <w:szCs w:val="24"/>
        </w:rPr>
        <w:t>2</w:t>
      </w:r>
      <w:r w:rsidR="00884D17" w:rsidRPr="00884D17">
        <w:rPr>
          <w:rFonts w:cs="Times New Roman"/>
          <w:b/>
          <w:bCs/>
          <w:szCs w:val="24"/>
        </w:rPr>
        <w:t>.</w:t>
      </w:r>
      <w:r w:rsidRPr="00884D17">
        <w:rPr>
          <w:rFonts w:cs="Times New Roman"/>
          <w:b/>
          <w:bCs/>
          <w:szCs w:val="24"/>
        </w:rPr>
        <w:t xml:space="preserve"> </w:t>
      </w:r>
      <w:r w:rsidR="0077086D">
        <w:rPr>
          <w:rFonts w:cs="Times New Roman"/>
          <w:b/>
          <w:bCs/>
          <w:szCs w:val="24"/>
        </w:rPr>
        <w:t>Work towards t</w:t>
      </w:r>
      <w:r w:rsidRPr="00884D17">
        <w:rPr>
          <w:rFonts w:cs="Times New Roman"/>
          <w:b/>
          <w:bCs/>
          <w:szCs w:val="24"/>
        </w:rPr>
        <w:t>he total synthesis of Picrasidine natural product family members</w:t>
      </w:r>
      <w:r w:rsidR="00884D17">
        <w:rPr>
          <w:rFonts w:cs="Times New Roman"/>
          <w:b/>
          <w:bCs/>
          <w:szCs w:val="24"/>
        </w:rPr>
        <w:t>.</w:t>
      </w:r>
      <w:r w:rsidRPr="00884D17">
        <w:rPr>
          <w:rFonts w:cs="Times New Roman"/>
          <w:b/>
          <w:bCs/>
          <w:szCs w:val="24"/>
        </w:rPr>
        <w:t xml:space="preserve"> </w:t>
      </w:r>
      <w:r w:rsidR="0077086D">
        <w:rPr>
          <w:rFonts w:cs="Times New Roman"/>
          <w:szCs w:val="24"/>
        </w:rPr>
        <w:t xml:space="preserve">The unique bis-β-carboline </w:t>
      </w:r>
      <w:r w:rsidR="00EE46CD">
        <w:rPr>
          <w:rFonts w:cs="Times New Roman"/>
          <w:szCs w:val="24"/>
        </w:rPr>
        <w:t xml:space="preserve">scaffold within the </w:t>
      </w:r>
      <w:r w:rsidR="00EE46CD" w:rsidRPr="00EE46CD">
        <w:rPr>
          <w:rFonts w:cs="Times New Roman"/>
          <w:i/>
          <w:iCs/>
          <w:szCs w:val="24"/>
        </w:rPr>
        <w:t xml:space="preserve">Picrasma </w:t>
      </w:r>
      <w:proofErr w:type="spellStart"/>
      <w:r w:rsidR="00EE46CD" w:rsidRPr="00EE46CD">
        <w:rPr>
          <w:rFonts w:cs="Times New Roman"/>
          <w:i/>
          <w:iCs/>
          <w:szCs w:val="24"/>
        </w:rPr>
        <w:t>quassioides</w:t>
      </w:r>
      <w:proofErr w:type="spellEnd"/>
      <w:r w:rsidR="00EE46CD">
        <w:rPr>
          <w:rFonts w:cs="Times New Roman"/>
          <w:szCs w:val="24"/>
        </w:rPr>
        <w:t xml:space="preserve"> alkaloids exhibit a diverse range of biological activities. Picrasidine C is particularly interesting for its</w:t>
      </w:r>
      <w:r w:rsidR="00CB3EA7">
        <w:rPr>
          <w:rFonts w:cs="Times New Roman"/>
          <w:szCs w:val="24"/>
        </w:rPr>
        <w:t xml:space="preserve"> demonstrated efficacy in</w:t>
      </w:r>
      <w:r w:rsidR="00EE46CD">
        <w:rPr>
          <w:rFonts w:cs="Times New Roman"/>
          <w:szCs w:val="24"/>
        </w:rPr>
        <w:t xml:space="preserve"> </w:t>
      </w:r>
      <w:proofErr w:type="gramStart"/>
      <w:r w:rsidR="00EE46CD">
        <w:rPr>
          <w:rFonts w:cs="Times New Roman"/>
          <w:szCs w:val="24"/>
        </w:rPr>
        <w:t>subtype-selective</w:t>
      </w:r>
      <w:proofErr w:type="gramEnd"/>
      <w:r w:rsidR="00EE46CD">
        <w:rPr>
          <w:rFonts w:cs="Times New Roman"/>
          <w:szCs w:val="24"/>
        </w:rPr>
        <w:t xml:space="preserve"> PPARα agonis</w:t>
      </w:r>
      <w:r w:rsidR="00CB3EA7">
        <w:rPr>
          <w:rFonts w:cs="Times New Roman"/>
          <w:szCs w:val="24"/>
        </w:rPr>
        <w:t xml:space="preserve">m as a promising treatment for diabetic retinopathy. Two approaches were </w:t>
      </w:r>
      <w:r w:rsidR="0085672B">
        <w:rPr>
          <w:rFonts w:cs="Times New Roman"/>
          <w:szCs w:val="24"/>
        </w:rPr>
        <w:t>considered for</w:t>
      </w:r>
      <w:r w:rsidR="00CB3EA7">
        <w:rPr>
          <w:rFonts w:cs="Times New Roman"/>
          <w:szCs w:val="24"/>
        </w:rPr>
        <w:t xml:space="preserve"> </w:t>
      </w:r>
      <w:r w:rsidR="0085672B">
        <w:rPr>
          <w:rFonts w:cs="Times New Roman"/>
          <w:szCs w:val="24"/>
        </w:rPr>
        <w:t xml:space="preserve">synthesizing picrasidine C and other </w:t>
      </w:r>
      <w:r w:rsidR="0085672B" w:rsidRPr="0085672B">
        <w:rPr>
          <w:rFonts w:cs="Times New Roman"/>
          <w:i/>
          <w:iCs/>
          <w:szCs w:val="24"/>
        </w:rPr>
        <w:t>Picrasma</w:t>
      </w:r>
      <w:r w:rsidR="0085672B">
        <w:rPr>
          <w:rFonts w:cs="Times New Roman"/>
          <w:szCs w:val="24"/>
        </w:rPr>
        <w:t xml:space="preserve"> alkaloid family members</w:t>
      </w:r>
      <w:r w:rsidR="00CB3EA7">
        <w:rPr>
          <w:rFonts w:cs="Times New Roman"/>
          <w:szCs w:val="24"/>
        </w:rPr>
        <w:t xml:space="preserve">: (1) </w:t>
      </w:r>
      <w:r w:rsidR="000E5110">
        <w:rPr>
          <w:rFonts w:cs="Times New Roman"/>
          <w:szCs w:val="24"/>
        </w:rPr>
        <w:t>iterative</w:t>
      </w:r>
      <w:r w:rsidR="00CB3EA7">
        <w:rPr>
          <w:rFonts w:cs="Times New Roman"/>
          <w:szCs w:val="24"/>
        </w:rPr>
        <w:t xml:space="preserve"> β</w:t>
      </w:r>
      <w:r w:rsidR="000E5110">
        <w:rPr>
          <w:rFonts w:cs="Times New Roman"/>
          <w:szCs w:val="24"/>
        </w:rPr>
        <w:t xml:space="preserve">-carboline ring construction, and (2) functionalization of the β-carboline ring. While the total synthesis of picrasidine C was unsuccessful, six new </w:t>
      </w:r>
      <w:r w:rsidR="000E5110" w:rsidRPr="000E5110">
        <w:rPr>
          <w:rFonts w:cs="Times New Roman"/>
          <w:i/>
          <w:iCs/>
          <w:szCs w:val="24"/>
        </w:rPr>
        <w:t>Picrasma</w:t>
      </w:r>
      <w:r w:rsidR="000E5110">
        <w:rPr>
          <w:rFonts w:cs="Times New Roman"/>
          <w:szCs w:val="24"/>
        </w:rPr>
        <w:t xml:space="preserve"> alkaloid analogs were synthesized. The two mono- and four bis-β-carboline compounds have the capacity to serve as building blocks for the </w:t>
      </w:r>
      <w:r w:rsidR="000E5110" w:rsidRPr="0085672B">
        <w:rPr>
          <w:rFonts w:cs="Times New Roman"/>
          <w:i/>
          <w:iCs/>
          <w:szCs w:val="24"/>
        </w:rPr>
        <w:t>Picrasma</w:t>
      </w:r>
      <w:r w:rsidR="000E5110">
        <w:rPr>
          <w:rFonts w:cs="Times New Roman"/>
          <w:szCs w:val="24"/>
        </w:rPr>
        <w:t xml:space="preserve"> family of alkaloids because of their reactive functional groups. </w:t>
      </w:r>
      <w:r w:rsidR="0085672B">
        <w:rPr>
          <w:rFonts w:cs="Times New Roman"/>
          <w:szCs w:val="24"/>
        </w:rPr>
        <w:t xml:space="preserve">An acid-catalyzed Pictet-Spengler enamine cyclization cascade was discovered, providing efficient access to </w:t>
      </w:r>
      <w:proofErr w:type="spellStart"/>
      <w:r w:rsidR="0085672B">
        <w:rPr>
          <w:rFonts w:cs="Times New Roman"/>
          <w:szCs w:val="24"/>
        </w:rPr>
        <w:t>indoloquinolizine</w:t>
      </w:r>
      <w:proofErr w:type="spellEnd"/>
      <w:r w:rsidR="0085672B">
        <w:rPr>
          <w:rFonts w:cs="Times New Roman"/>
          <w:szCs w:val="24"/>
        </w:rPr>
        <w:t xml:space="preserve"> heterocycles. </w:t>
      </w:r>
    </w:p>
    <w:p w14:paraId="6D1DF12E" w14:textId="11724A74" w:rsidR="00554A6E" w:rsidRPr="001810A9" w:rsidRDefault="00554A6E" w:rsidP="00EE46CD">
      <w:pPr>
        <w:spacing w:line="240" w:lineRule="auto"/>
        <w:ind w:firstLine="720"/>
        <w:rPr>
          <w:rFonts w:cs="Times New Roman"/>
          <w:szCs w:val="24"/>
        </w:rPr>
      </w:pPr>
      <w:r w:rsidRPr="00884D17">
        <w:rPr>
          <w:rFonts w:cs="Times New Roman"/>
          <w:b/>
          <w:bCs/>
          <w:szCs w:val="24"/>
        </w:rPr>
        <w:t>3</w:t>
      </w:r>
      <w:r w:rsidR="00884D17">
        <w:rPr>
          <w:rFonts w:cs="Times New Roman"/>
          <w:b/>
          <w:bCs/>
          <w:szCs w:val="24"/>
        </w:rPr>
        <w:t>.</w:t>
      </w:r>
      <w:r w:rsidRPr="00884D17">
        <w:rPr>
          <w:rFonts w:cs="Times New Roman"/>
          <w:b/>
          <w:bCs/>
          <w:szCs w:val="24"/>
        </w:rPr>
        <w:t xml:space="preserve"> </w:t>
      </w:r>
      <w:r w:rsidR="00884D17">
        <w:rPr>
          <w:rFonts w:cs="Times New Roman"/>
          <w:b/>
          <w:bCs/>
          <w:szCs w:val="24"/>
        </w:rPr>
        <w:t>T</w:t>
      </w:r>
      <w:r w:rsidRPr="00884D17">
        <w:rPr>
          <w:rFonts w:cs="Times New Roman"/>
          <w:b/>
          <w:bCs/>
          <w:szCs w:val="24"/>
        </w:rPr>
        <w:t xml:space="preserve">he rational design and synthesis of SARS-CoV-2 </w:t>
      </w:r>
      <w:proofErr w:type="spellStart"/>
      <w:r w:rsidRPr="00884D17">
        <w:rPr>
          <w:rFonts w:cs="Times New Roman"/>
          <w:b/>
          <w:bCs/>
          <w:szCs w:val="24"/>
        </w:rPr>
        <w:t>M</w:t>
      </w:r>
      <w:r w:rsidRPr="00884D17">
        <w:rPr>
          <w:rFonts w:cs="Times New Roman"/>
          <w:b/>
          <w:bCs/>
          <w:szCs w:val="24"/>
          <w:vertAlign w:val="superscript"/>
        </w:rPr>
        <w:t>pro</w:t>
      </w:r>
      <w:proofErr w:type="spellEnd"/>
      <w:r w:rsidRPr="00884D17">
        <w:rPr>
          <w:rFonts w:cs="Times New Roman"/>
          <w:b/>
          <w:bCs/>
          <w:szCs w:val="24"/>
        </w:rPr>
        <w:t xml:space="preserve"> inhibitors. </w:t>
      </w:r>
      <w:r w:rsidR="001810A9">
        <w:rPr>
          <w:rFonts w:cs="Times New Roman"/>
          <w:szCs w:val="24"/>
        </w:rPr>
        <w:t xml:space="preserve">Severe acute respiratory syndrome coronavirus 2 (SARS-CoV-2) is the virus responsible for the COVID-19 global pandemic. In an effort to join the fight against this public health catastrophe, 25 compounds from our existing small molecule library were submitted </w:t>
      </w:r>
      <w:r w:rsidR="00DE4E64">
        <w:rPr>
          <w:rFonts w:cs="Times New Roman"/>
          <w:szCs w:val="24"/>
        </w:rPr>
        <w:t>for evaluation in a phenotypic viral replication inhibition assay. While the compounds shared remarkable structural similarities to coronavirus-active drugs, the results found them all inactive. Utilizing in silico modelling and fragment-based design, three structural scaffolds (urea, piperazinone, and peptidomimetic) were proposed for small molecule inhibitors of the SARS-CoV-2 main protease (</w:t>
      </w:r>
      <w:proofErr w:type="spellStart"/>
      <w:r w:rsidR="00DE4E64">
        <w:rPr>
          <w:rFonts w:cs="Times New Roman"/>
          <w:szCs w:val="24"/>
        </w:rPr>
        <w:t>M</w:t>
      </w:r>
      <w:r w:rsidR="00DE4E64" w:rsidRPr="00DE4E64">
        <w:rPr>
          <w:rFonts w:cs="Times New Roman"/>
          <w:szCs w:val="24"/>
          <w:vertAlign w:val="superscript"/>
        </w:rPr>
        <w:t>pro</w:t>
      </w:r>
      <w:proofErr w:type="spellEnd"/>
      <w:r w:rsidR="00DE4E64">
        <w:rPr>
          <w:rFonts w:cs="Times New Roman"/>
          <w:szCs w:val="24"/>
        </w:rPr>
        <w:t xml:space="preserve">). 18 peptidomimetic compounds were rapidly synthesized from </w:t>
      </w:r>
      <w:r w:rsidR="00317EF6">
        <w:rPr>
          <w:rFonts w:cs="Times New Roman"/>
          <w:szCs w:val="24"/>
        </w:rPr>
        <w:t xml:space="preserve">4-compounent Ugi coupling reactions and evaluated in-house for </w:t>
      </w:r>
      <w:proofErr w:type="spellStart"/>
      <w:r w:rsidR="00317EF6">
        <w:rPr>
          <w:rFonts w:cs="Times New Roman"/>
          <w:szCs w:val="24"/>
        </w:rPr>
        <w:t>M</w:t>
      </w:r>
      <w:r w:rsidR="00317EF6" w:rsidRPr="00317EF6">
        <w:rPr>
          <w:rFonts w:cs="Times New Roman"/>
          <w:szCs w:val="24"/>
          <w:vertAlign w:val="superscript"/>
        </w:rPr>
        <w:t>pro</w:t>
      </w:r>
      <w:proofErr w:type="spellEnd"/>
      <w:r w:rsidR="00317EF6">
        <w:rPr>
          <w:rFonts w:cs="Times New Roman"/>
          <w:szCs w:val="24"/>
        </w:rPr>
        <w:t xml:space="preserve"> inhibition activity. When compared to the control, 3 of my peptidomimetic compounds were found to moderately inhibi</w:t>
      </w:r>
      <w:r w:rsidR="009C5956">
        <w:rPr>
          <w:rFonts w:cs="Times New Roman"/>
          <w:szCs w:val="24"/>
        </w:rPr>
        <w:t xml:space="preserve">t protease activity. </w:t>
      </w:r>
      <w:proofErr w:type="spellStart"/>
      <w:r w:rsidR="009C5956">
        <w:rPr>
          <w:rFonts w:cs="Times New Roman"/>
          <w:szCs w:val="24"/>
        </w:rPr>
        <w:t>M</w:t>
      </w:r>
      <w:r w:rsidR="009C5956" w:rsidRPr="009C5956">
        <w:rPr>
          <w:rFonts w:cs="Times New Roman"/>
          <w:szCs w:val="24"/>
          <w:vertAlign w:val="superscript"/>
        </w:rPr>
        <w:t>pro</w:t>
      </w:r>
      <w:proofErr w:type="spellEnd"/>
      <w:r w:rsidR="009C5956">
        <w:rPr>
          <w:rFonts w:cs="Times New Roman"/>
          <w:szCs w:val="24"/>
        </w:rPr>
        <w:t xml:space="preserve"> will be highlighted as a promising target for anti-coronavirus therapeutics. </w:t>
      </w:r>
    </w:p>
    <w:p w14:paraId="726FF388" w14:textId="4BDE8D1C" w:rsidR="00554A6E" w:rsidRDefault="00554A6E">
      <w:pPr>
        <w:spacing w:line="259" w:lineRule="auto"/>
        <w:jc w:val="left"/>
        <w:rPr>
          <w:b/>
          <w:bCs/>
          <w:szCs w:val="24"/>
        </w:rPr>
      </w:pPr>
      <w:r>
        <w:rPr>
          <w:b/>
          <w:bCs/>
          <w:szCs w:val="24"/>
        </w:rPr>
        <w:br w:type="page"/>
      </w:r>
    </w:p>
    <w:p w14:paraId="33D849CF" w14:textId="5D07B702" w:rsidR="00554A6E" w:rsidRPr="001179DD" w:rsidRDefault="00554A6E" w:rsidP="00E22AC2">
      <w:pPr>
        <w:spacing w:line="259" w:lineRule="auto"/>
        <w:jc w:val="left"/>
        <w:rPr>
          <w:b/>
          <w:bCs/>
          <w:sz w:val="28"/>
          <w:szCs w:val="28"/>
        </w:rPr>
      </w:pPr>
      <w:r w:rsidRPr="001179DD">
        <w:rPr>
          <w:b/>
          <w:bCs/>
          <w:sz w:val="28"/>
          <w:szCs w:val="28"/>
        </w:rPr>
        <w:lastRenderedPageBreak/>
        <w:t>Acknowledgements</w:t>
      </w:r>
    </w:p>
    <w:p w14:paraId="65D4F9B8" w14:textId="3A582143" w:rsidR="0016204F" w:rsidRDefault="001179DD" w:rsidP="001D7387">
      <w:pPr>
        <w:spacing w:line="259" w:lineRule="auto"/>
        <w:rPr>
          <w:szCs w:val="24"/>
        </w:rPr>
      </w:pPr>
      <w:r w:rsidRPr="00C559E1">
        <w:rPr>
          <w:szCs w:val="24"/>
        </w:rPr>
        <w:tab/>
      </w:r>
      <w:r w:rsidR="00264B4F">
        <w:rPr>
          <w:szCs w:val="24"/>
        </w:rPr>
        <w:t xml:space="preserve">Finishing </w:t>
      </w:r>
      <w:r w:rsidR="0016204F">
        <w:rPr>
          <w:szCs w:val="24"/>
        </w:rPr>
        <w:t>this dissertation</w:t>
      </w:r>
      <w:r w:rsidR="00264B4F">
        <w:rPr>
          <w:szCs w:val="24"/>
        </w:rPr>
        <w:t xml:space="preserve"> was the single most difficult task I have </w:t>
      </w:r>
      <w:r w:rsidR="0016204F">
        <w:rPr>
          <w:szCs w:val="24"/>
        </w:rPr>
        <w:t xml:space="preserve">ever attempted, and it would be physically impossible for me to have done it by myself. The community I built for myself in Oklahoma was surprising yet tremendous. </w:t>
      </w:r>
      <w:r w:rsidR="0016204F" w:rsidRPr="00C559E1">
        <w:rPr>
          <w:szCs w:val="24"/>
        </w:rPr>
        <w:t xml:space="preserve">It </w:t>
      </w:r>
      <w:r w:rsidR="00B817C4">
        <w:rPr>
          <w:szCs w:val="24"/>
        </w:rPr>
        <w:t xml:space="preserve">truly </w:t>
      </w:r>
      <w:r w:rsidR="0016204F" w:rsidRPr="00C559E1">
        <w:rPr>
          <w:szCs w:val="24"/>
        </w:rPr>
        <w:t>takes a village.</w:t>
      </w:r>
    </w:p>
    <w:p w14:paraId="70159665" w14:textId="6028ECF1" w:rsidR="0016204F" w:rsidRPr="00C559E1" w:rsidRDefault="0016204F" w:rsidP="001D7387">
      <w:pPr>
        <w:spacing w:line="259" w:lineRule="auto"/>
        <w:rPr>
          <w:szCs w:val="24"/>
        </w:rPr>
      </w:pPr>
      <w:r>
        <w:rPr>
          <w:szCs w:val="24"/>
        </w:rPr>
        <w:tab/>
      </w:r>
      <w:r w:rsidR="00B817C4">
        <w:rPr>
          <w:szCs w:val="24"/>
        </w:rPr>
        <w:t xml:space="preserve">Eric Gardner, Quentin Avila, Bre </w:t>
      </w:r>
      <w:r w:rsidR="00DC5CBB">
        <w:rPr>
          <w:szCs w:val="24"/>
        </w:rPr>
        <w:t>Schlitzer,</w:t>
      </w:r>
      <w:r w:rsidR="00B817C4">
        <w:rPr>
          <w:szCs w:val="24"/>
        </w:rPr>
        <w:t xml:space="preserve"> Steve Schlitzer, Dustin Dimas, Rob Fogle, and Dan Sheffield. </w:t>
      </w:r>
      <w:r w:rsidR="00DC5CBB">
        <w:rPr>
          <w:szCs w:val="24"/>
        </w:rPr>
        <w:t xml:space="preserve">There is literally nothing that we couldn’t do once we set our minds to it. </w:t>
      </w:r>
      <w:r w:rsidR="009825DC">
        <w:rPr>
          <w:szCs w:val="24"/>
        </w:rPr>
        <w:t xml:space="preserve">We are absolutely unstoppable, and I am not exaggerating. I just want to thank you all for existing. </w:t>
      </w:r>
    </w:p>
    <w:p w14:paraId="295581EA" w14:textId="4FA1FB4C" w:rsidR="001D7387" w:rsidRDefault="009825DC" w:rsidP="001D7387">
      <w:pPr>
        <w:spacing w:line="259" w:lineRule="auto"/>
        <w:rPr>
          <w:szCs w:val="24"/>
        </w:rPr>
      </w:pPr>
      <w:r>
        <w:rPr>
          <w:szCs w:val="24"/>
        </w:rPr>
        <w:tab/>
        <w:t xml:space="preserve">Susan Nimmo. My teacher, my mentor, and my friend. </w:t>
      </w:r>
      <w:r w:rsidR="001D7387">
        <w:rPr>
          <w:szCs w:val="24"/>
        </w:rPr>
        <w:t xml:space="preserve">First you helped me through some tough problems in the NMR lab, and then you just helped me through life. You opened my eyes to ideas that I couldn’t even fathom the magnitude of. I </w:t>
      </w:r>
      <w:r w:rsidR="00C76804">
        <w:rPr>
          <w:szCs w:val="24"/>
        </w:rPr>
        <w:t xml:space="preserve">always learn something when I talk to you, and you’re just generally fun to be around. I should thank you for existing also. </w:t>
      </w:r>
    </w:p>
    <w:p w14:paraId="14326722" w14:textId="6D76F412" w:rsidR="00C76804" w:rsidRDefault="00C76804" w:rsidP="001D7387">
      <w:pPr>
        <w:spacing w:line="259" w:lineRule="auto"/>
        <w:rPr>
          <w:szCs w:val="24"/>
        </w:rPr>
      </w:pPr>
      <w:r>
        <w:rPr>
          <w:szCs w:val="24"/>
        </w:rPr>
        <w:tab/>
        <w:t xml:space="preserve">The Duerfeldt lab and the people I’ve met through it. Cat Bishop, you are an inspiration and I love you. Dinesh Nath, I could always count on you for some philosophical ranting. Katelyn Stevens, I wish I could give you a hug but you’re too far away. </w:t>
      </w:r>
      <w:r w:rsidR="000A313D">
        <w:rPr>
          <w:szCs w:val="24"/>
        </w:rPr>
        <w:t xml:space="preserve">Quentin Avila, when are we starting our campaign for Emperors of the world? </w:t>
      </w:r>
    </w:p>
    <w:p w14:paraId="077E5253" w14:textId="5C3DC1D3" w:rsidR="000A313D" w:rsidRDefault="000A313D" w:rsidP="001D7387">
      <w:pPr>
        <w:spacing w:line="259" w:lineRule="auto"/>
        <w:rPr>
          <w:szCs w:val="24"/>
        </w:rPr>
      </w:pPr>
      <w:r>
        <w:rPr>
          <w:szCs w:val="24"/>
        </w:rPr>
        <w:tab/>
        <w:t xml:space="preserve">The Society of Chemical and Biochemical Researchers, a </w:t>
      </w:r>
      <w:proofErr w:type="gramStart"/>
      <w:r>
        <w:rPr>
          <w:szCs w:val="24"/>
        </w:rPr>
        <w:t>blessing</w:t>
      </w:r>
      <w:proofErr w:type="gramEnd"/>
      <w:r>
        <w:rPr>
          <w:szCs w:val="24"/>
        </w:rPr>
        <w:t xml:space="preserve"> and a curse. Marcee Olvera, I was proud to hand my title down to you. </w:t>
      </w:r>
      <w:r w:rsidR="00740E4B">
        <w:rPr>
          <w:szCs w:val="24"/>
        </w:rPr>
        <w:t xml:space="preserve">You were the last President to understand the vision that our generation had for the Department. A glorious leader and a kind friend, I am happy we got to work together. Ally Fairman, you’re always there when we need you. You are a loyal friend, and I appreciate you. Quentin Avila, where are those plans for our world takeover? </w:t>
      </w:r>
      <w:r w:rsidR="003C5FCA">
        <w:rPr>
          <w:szCs w:val="24"/>
        </w:rPr>
        <w:t xml:space="preserve">Okay, seriously though, you were the rock to my insane, babbling brook. There’s a reason you made it onto my acknowledgements page three times. </w:t>
      </w:r>
    </w:p>
    <w:p w14:paraId="4841987D" w14:textId="2F32A976" w:rsidR="00724763" w:rsidRDefault="00724763" w:rsidP="001D7387">
      <w:pPr>
        <w:spacing w:line="259" w:lineRule="auto"/>
        <w:rPr>
          <w:szCs w:val="24"/>
        </w:rPr>
      </w:pPr>
      <w:r>
        <w:rPr>
          <w:szCs w:val="24"/>
        </w:rPr>
        <w:tab/>
        <w:t xml:space="preserve">Bre Schlitzer, because you need your own blurb. Do you remember my first general exam? Because I do, vividly. You made me a birthday cake during our very first semester in Oklahoma, and it’s </w:t>
      </w:r>
      <w:r w:rsidR="003F0723">
        <w:rPr>
          <w:szCs w:val="24"/>
        </w:rPr>
        <w:t>those kinds of little things</w:t>
      </w:r>
      <w:r>
        <w:rPr>
          <w:szCs w:val="24"/>
        </w:rPr>
        <w:t xml:space="preserve"> that mean the world to me. </w:t>
      </w:r>
      <w:r w:rsidR="003F0723">
        <w:rPr>
          <w:szCs w:val="24"/>
        </w:rPr>
        <w:t xml:space="preserve">You were the only one who could seriously keep my sanity in check, so I guess I owe my intact brain to you. </w:t>
      </w:r>
    </w:p>
    <w:p w14:paraId="770DBA39" w14:textId="207AA3E1" w:rsidR="003C5FCA" w:rsidRDefault="003C5FCA" w:rsidP="001D7387">
      <w:pPr>
        <w:spacing w:line="259" w:lineRule="auto"/>
        <w:rPr>
          <w:szCs w:val="24"/>
        </w:rPr>
      </w:pPr>
      <w:r>
        <w:rPr>
          <w:szCs w:val="24"/>
        </w:rPr>
        <w:tab/>
        <w:t xml:space="preserve">Lisa, Julie, and David Gardner. You happily and thoroughly absorbed me into your family, and I cannot express the joy that you all have brought me. Not to mention that you let me steal Eric away to Colorado. </w:t>
      </w:r>
      <w:r w:rsidR="00724763">
        <w:rPr>
          <w:szCs w:val="24"/>
        </w:rPr>
        <w:t xml:space="preserve">Eric Gardner, you are what I look forward to every day. </w:t>
      </w:r>
      <w:r w:rsidR="003F0723">
        <w:rPr>
          <w:szCs w:val="24"/>
        </w:rPr>
        <w:t xml:space="preserve">If I got anything worth keeping from the state of Oklahoma, it’s you. You didn’t just keep me sane, you kept me alive. Again, I’m not exaggerating. </w:t>
      </w:r>
    </w:p>
    <w:p w14:paraId="1BEDC189" w14:textId="26F45865" w:rsidR="003F0723" w:rsidRDefault="003F0723" w:rsidP="001D7387">
      <w:pPr>
        <w:spacing w:line="259" w:lineRule="auto"/>
        <w:rPr>
          <w:szCs w:val="24"/>
        </w:rPr>
      </w:pPr>
      <w:r>
        <w:rPr>
          <w:szCs w:val="24"/>
        </w:rPr>
        <w:tab/>
        <w:t xml:space="preserve">Michelle, William, and William Hayes. </w:t>
      </w:r>
      <w:r w:rsidR="0062357D">
        <w:rPr>
          <w:szCs w:val="24"/>
        </w:rPr>
        <w:t xml:space="preserve">Home is when we are together. </w:t>
      </w:r>
    </w:p>
    <w:p w14:paraId="654C7F19" w14:textId="497F07A8" w:rsidR="00AF0AFF" w:rsidRPr="00E22AC2" w:rsidRDefault="005B4824" w:rsidP="001D7387">
      <w:pPr>
        <w:spacing w:line="259" w:lineRule="auto"/>
        <w:rPr>
          <w:szCs w:val="24"/>
        </w:rPr>
      </w:pPr>
      <w:r w:rsidRPr="00E22AC2">
        <w:rPr>
          <w:szCs w:val="24"/>
        </w:rPr>
        <w:br w:type="page"/>
      </w:r>
    </w:p>
    <w:p w14:paraId="2C254A49" w14:textId="3D083164" w:rsidR="006705B7" w:rsidRPr="00852D0E" w:rsidRDefault="006705B7" w:rsidP="006705B7">
      <w:pPr>
        <w:pStyle w:val="TOC1"/>
        <w:rPr>
          <w:sz w:val="28"/>
          <w:szCs w:val="24"/>
        </w:rPr>
      </w:pPr>
      <w:r w:rsidRPr="00852D0E">
        <w:rPr>
          <w:sz w:val="28"/>
          <w:szCs w:val="24"/>
        </w:rPr>
        <w:lastRenderedPageBreak/>
        <w:t>Table of Contents</w:t>
      </w:r>
    </w:p>
    <w:p w14:paraId="312019C6" w14:textId="01A6CDD0" w:rsidR="003B2832" w:rsidRDefault="003A44BE">
      <w:pPr>
        <w:pStyle w:val="TOC1"/>
        <w:rPr>
          <w:rFonts w:asciiTheme="minorHAnsi" w:eastAsiaTheme="minorEastAsia" w:hAnsiTheme="minorHAnsi"/>
          <w:b w:val="0"/>
          <w:bCs w:val="0"/>
          <w:noProof/>
          <w:sz w:val="22"/>
        </w:rPr>
      </w:pPr>
      <w:r>
        <w:fldChar w:fldCharType="begin"/>
      </w:r>
      <w:r>
        <w:instrText xml:space="preserve"> TOC \h \z \t "Chapter Titles,1,Section,2,Subsection,3" </w:instrText>
      </w:r>
      <w:r>
        <w:fldChar w:fldCharType="separate"/>
      </w:r>
      <w:hyperlink w:anchor="_Toc102586234" w:history="1">
        <w:r w:rsidR="003B2832" w:rsidRPr="00CE6351">
          <w:rPr>
            <w:rStyle w:val="Hyperlink"/>
            <w:noProof/>
          </w:rPr>
          <w:t>Chapter 1: Introduction</w:t>
        </w:r>
        <w:r w:rsidR="003B2832">
          <w:rPr>
            <w:noProof/>
            <w:webHidden/>
          </w:rPr>
          <w:tab/>
        </w:r>
        <w:r w:rsidR="003B2832">
          <w:rPr>
            <w:noProof/>
            <w:webHidden/>
          </w:rPr>
          <w:fldChar w:fldCharType="begin"/>
        </w:r>
        <w:r w:rsidR="003B2832">
          <w:rPr>
            <w:noProof/>
            <w:webHidden/>
          </w:rPr>
          <w:instrText xml:space="preserve"> PAGEREF _Toc102586234 \h </w:instrText>
        </w:r>
        <w:r w:rsidR="003B2832">
          <w:rPr>
            <w:noProof/>
            <w:webHidden/>
          </w:rPr>
        </w:r>
        <w:r w:rsidR="003B2832">
          <w:rPr>
            <w:noProof/>
            <w:webHidden/>
          </w:rPr>
          <w:fldChar w:fldCharType="separate"/>
        </w:r>
        <w:r w:rsidR="00AA5AAC">
          <w:rPr>
            <w:noProof/>
            <w:webHidden/>
          </w:rPr>
          <w:t>1</w:t>
        </w:r>
        <w:r w:rsidR="003B2832">
          <w:rPr>
            <w:noProof/>
            <w:webHidden/>
          </w:rPr>
          <w:fldChar w:fldCharType="end"/>
        </w:r>
      </w:hyperlink>
    </w:p>
    <w:p w14:paraId="37899094" w14:textId="77825EDE" w:rsidR="003B2832" w:rsidRDefault="002C1A5C">
      <w:pPr>
        <w:pStyle w:val="TOC2"/>
        <w:tabs>
          <w:tab w:val="left" w:pos="880"/>
          <w:tab w:val="right" w:leader="dot" w:pos="9350"/>
        </w:tabs>
        <w:rPr>
          <w:rFonts w:asciiTheme="minorHAnsi" w:eastAsiaTheme="minorEastAsia" w:hAnsiTheme="minorHAnsi"/>
          <w:noProof/>
          <w:sz w:val="22"/>
        </w:rPr>
      </w:pPr>
      <w:hyperlink w:anchor="_Toc102586235" w:history="1">
        <w:r w:rsidR="003B2832" w:rsidRPr="00CE6351">
          <w:rPr>
            <w:rStyle w:val="Hyperlink"/>
            <w:noProof/>
          </w:rPr>
          <w:t>1.1</w:t>
        </w:r>
        <w:r w:rsidR="003B2832">
          <w:rPr>
            <w:rFonts w:asciiTheme="minorHAnsi" w:eastAsiaTheme="minorEastAsia" w:hAnsiTheme="minorHAnsi"/>
            <w:noProof/>
            <w:sz w:val="22"/>
          </w:rPr>
          <w:tab/>
        </w:r>
        <w:r w:rsidR="003B2832" w:rsidRPr="00CE6351">
          <w:rPr>
            <w:rStyle w:val="Hyperlink"/>
            <w:noProof/>
          </w:rPr>
          <w:t>Two-component signal transduction systems and virulence modulation in Gram-negative bacteria.</w:t>
        </w:r>
        <w:r w:rsidR="003B2832">
          <w:rPr>
            <w:noProof/>
            <w:webHidden/>
          </w:rPr>
          <w:tab/>
        </w:r>
        <w:r w:rsidR="003B2832">
          <w:rPr>
            <w:noProof/>
            <w:webHidden/>
          </w:rPr>
          <w:fldChar w:fldCharType="begin"/>
        </w:r>
        <w:r w:rsidR="003B2832">
          <w:rPr>
            <w:noProof/>
            <w:webHidden/>
          </w:rPr>
          <w:instrText xml:space="preserve"> PAGEREF _Toc102586235 \h </w:instrText>
        </w:r>
        <w:r w:rsidR="003B2832">
          <w:rPr>
            <w:noProof/>
            <w:webHidden/>
          </w:rPr>
        </w:r>
        <w:r w:rsidR="003B2832">
          <w:rPr>
            <w:noProof/>
            <w:webHidden/>
          </w:rPr>
          <w:fldChar w:fldCharType="separate"/>
        </w:r>
        <w:r w:rsidR="00AA5AAC">
          <w:rPr>
            <w:noProof/>
            <w:webHidden/>
          </w:rPr>
          <w:t>1</w:t>
        </w:r>
        <w:r w:rsidR="003B2832">
          <w:rPr>
            <w:noProof/>
            <w:webHidden/>
          </w:rPr>
          <w:fldChar w:fldCharType="end"/>
        </w:r>
      </w:hyperlink>
    </w:p>
    <w:p w14:paraId="337C5AD4" w14:textId="0C77A5BE" w:rsidR="003B2832" w:rsidRDefault="002C1A5C">
      <w:pPr>
        <w:pStyle w:val="TOC3"/>
        <w:tabs>
          <w:tab w:val="right" w:leader="dot" w:pos="9350"/>
        </w:tabs>
        <w:rPr>
          <w:rFonts w:asciiTheme="minorHAnsi" w:eastAsiaTheme="minorEastAsia" w:hAnsiTheme="minorHAnsi"/>
          <w:noProof/>
          <w:sz w:val="22"/>
        </w:rPr>
      </w:pPr>
      <w:hyperlink w:anchor="_Toc102586236" w:history="1">
        <w:r w:rsidR="003B2832" w:rsidRPr="00CE6351">
          <w:rPr>
            <w:rStyle w:val="Hyperlink"/>
            <w:noProof/>
          </w:rPr>
          <w:t>1.1.1 An overview of resistance and Gram-negative bacteria.</w:t>
        </w:r>
        <w:r w:rsidR="003B2832">
          <w:rPr>
            <w:noProof/>
            <w:webHidden/>
          </w:rPr>
          <w:tab/>
        </w:r>
        <w:r w:rsidR="003B2832">
          <w:rPr>
            <w:noProof/>
            <w:webHidden/>
          </w:rPr>
          <w:fldChar w:fldCharType="begin"/>
        </w:r>
        <w:r w:rsidR="003B2832">
          <w:rPr>
            <w:noProof/>
            <w:webHidden/>
          </w:rPr>
          <w:instrText xml:space="preserve"> PAGEREF _Toc102586236 \h </w:instrText>
        </w:r>
        <w:r w:rsidR="003B2832">
          <w:rPr>
            <w:noProof/>
            <w:webHidden/>
          </w:rPr>
        </w:r>
        <w:r w:rsidR="003B2832">
          <w:rPr>
            <w:noProof/>
            <w:webHidden/>
          </w:rPr>
          <w:fldChar w:fldCharType="separate"/>
        </w:r>
        <w:r w:rsidR="00AA5AAC">
          <w:rPr>
            <w:noProof/>
            <w:webHidden/>
          </w:rPr>
          <w:t>1</w:t>
        </w:r>
        <w:r w:rsidR="003B2832">
          <w:rPr>
            <w:noProof/>
            <w:webHidden/>
          </w:rPr>
          <w:fldChar w:fldCharType="end"/>
        </w:r>
      </w:hyperlink>
    </w:p>
    <w:p w14:paraId="44B5416B" w14:textId="51A60EEB" w:rsidR="003B2832" w:rsidRDefault="002C1A5C">
      <w:pPr>
        <w:pStyle w:val="TOC3"/>
        <w:tabs>
          <w:tab w:val="right" w:leader="dot" w:pos="9350"/>
        </w:tabs>
        <w:rPr>
          <w:rFonts w:asciiTheme="minorHAnsi" w:eastAsiaTheme="minorEastAsia" w:hAnsiTheme="minorHAnsi"/>
          <w:noProof/>
          <w:sz w:val="22"/>
        </w:rPr>
      </w:pPr>
      <w:hyperlink w:anchor="_Toc102586237" w:history="1">
        <w:r w:rsidR="003B2832" w:rsidRPr="00CE6351">
          <w:rPr>
            <w:rStyle w:val="Hyperlink"/>
            <w:noProof/>
          </w:rPr>
          <w:t>1.1.2 CpxRA phosphatase inhibition and 2CSTS as antibacterial targets.</w:t>
        </w:r>
        <w:r w:rsidR="003B2832">
          <w:rPr>
            <w:noProof/>
            <w:webHidden/>
          </w:rPr>
          <w:tab/>
        </w:r>
        <w:r w:rsidR="003B2832">
          <w:rPr>
            <w:noProof/>
            <w:webHidden/>
          </w:rPr>
          <w:fldChar w:fldCharType="begin"/>
        </w:r>
        <w:r w:rsidR="003B2832">
          <w:rPr>
            <w:noProof/>
            <w:webHidden/>
          </w:rPr>
          <w:instrText xml:space="preserve"> PAGEREF _Toc102586237 \h </w:instrText>
        </w:r>
        <w:r w:rsidR="003B2832">
          <w:rPr>
            <w:noProof/>
            <w:webHidden/>
          </w:rPr>
        </w:r>
        <w:r w:rsidR="003B2832">
          <w:rPr>
            <w:noProof/>
            <w:webHidden/>
          </w:rPr>
          <w:fldChar w:fldCharType="separate"/>
        </w:r>
        <w:r w:rsidR="00AA5AAC">
          <w:rPr>
            <w:noProof/>
            <w:webHidden/>
          </w:rPr>
          <w:t>4</w:t>
        </w:r>
        <w:r w:rsidR="003B2832">
          <w:rPr>
            <w:noProof/>
            <w:webHidden/>
          </w:rPr>
          <w:fldChar w:fldCharType="end"/>
        </w:r>
      </w:hyperlink>
    </w:p>
    <w:p w14:paraId="789B8DDE" w14:textId="44D36843" w:rsidR="003B2832" w:rsidRDefault="002C1A5C">
      <w:pPr>
        <w:pStyle w:val="TOC3"/>
        <w:tabs>
          <w:tab w:val="right" w:leader="dot" w:pos="9350"/>
        </w:tabs>
        <w:rPr>
          <w:rFonts w:asciiTheme="minorHAnsi" w:eastAsiaTheme="minorEastAsia" w:hAnsiTheme="minorHAnsi"/>
          <w:noProof/>
          <w:sz w:val="22"/>
        </w:rPr>
      </w:pPr>
      <w:hyperlink w:anchor="_Toc102586238" w:history="1">
        <w:r w:rsidR="003B2832" w:rsidRPr="00CE6351">
          <w:rPr>
            <w:rStyle w:val="Hyperlink"/>
            <w:noProof/>
          </w:rPr>
          <w:t>1.1.3 Summary of accomplishments.</w:t>
        </w:r>
        <w:r w:rsidR="003B2832">
          <w:rPr>
            <w:noProof/>
            <w:webHidden/>
          </w:rPr>
          <w:tab/>
        </w:r>
        <w:r w:rsidR="003B2832">
          <w:rPr>
            <w:noProof/>
            <w:webHidden/>
          </w:rPr>
          <w:fldChar w:fldCharType="begin"/>
        </w:r>
        <w:r w:rsidR="003B2832">
          <w:rPr>
            <w:noProof/>
            <w:webHidden/>
          </w:rPr>
          <w:instrText xml:space="preserve"> PAGEREF _Toc102586238 \h </w:instrText>
        </w:r>
        <w:r w:rsidR="003B2832">
          <w:rPr>
            <w:noProof/>
            <w:webHidden/>
          </w:rPr>
        </w:r>
        <w:r w:rsidR="003B2832">
          <w:rPr>
            <w:noProof/>
            <w:webHidden/>
          </w:rPr>
          <w:fldChar w:fldCharType="separate"/>
        </w:r>
        <w:r w:rsidR="00AA5AAC">
          <w:rPr>
            <w:noProof/>
            <w:webHidden/>
          </w:rPr>
          <w:t>5</w:t>
        </w:r>
        <w:r w:rsidR="003B2832">
          <w:rPr>
            <w:noProof/>
            <w:webHidden/>
          </w:rPr>
          <w:fldChar w:fldCharType="end"/>
        </w:r>
      </w:hyperlink>
    </w:p>
    <w:p w14:paraId="029E825A" w14:textId="0DFE5284" w:rsidR="003B2832" w:rsidRDefault="002C1A5C">
      <w:pPr>
        <w:pStyle w:val="TOC2"/>
        <w:tabs>
          <w:tab w:val="right" w:leader="dot" w:pos="9350"/>
        </w:tabs>
        <w:rPr>
          <w:rFonts w:asciiTheme="minorHAnsi" w:eastAsiaTheme="minorEastAsia" w:hAnsiTheme="minorHAnsi"/>
          <w:noProof/>
          <w:sz w:val="22"/>
        </w:rPr>
      </w:pPr>
      <w:hyperlink w:anchor="_Toc102586239" w:history="1">
        <w:r w:rsidR="003B2832" w:rsidRPr="00CE6351">
          <w:rPr>
            <w:rStyle w:val="Hyperlink"/>
            <w:noProof/>
          </w:rPr>
          <w:t xml:space="preserve">1.2 Natural product total synthesis and </w:t>
        </w:r>
        <w:r w:rsidR="003B2832" w:rsidRPr="00CE6351">
          <w:rPr>
            <w:rStyle w:val="Hyperlink"/>
            <w:i/>
            <w:iCs/>
            <w:noProof/>
          </w:rPr>
          <w:t>Picrasma</w:t>
        </w:r>
        <w:r w:rsidR="003B2832" w:rsidRPr="00CE6351">
          <w:rPr>
            <w:rStyle w:val="Hyperlink"/>
            <w:noProof/>
          </w:rPr>
          <w:t xml:space="preserve"> alkaloids</w:t>
        </w:r>
        <w:r w:rsidR="003B2832">
          <w:rPr>
            <w:noProof/>
            <w:webHidden/>
          </w:rPr>
          <w:tab/>
        </w:r>
        <w:r w:rsidR="003B2832">
          <w:rPr>
            <w:noProof/>
            <w:webHidden/>
          </w:rPr>
          <w:fldChar w:fldCharType="begin"/>
        </w:r>
        <w:r w:rsidR="003B2832">
          <w:rPr>
            <w:noProof/>
            <w:webHidden/>
          </w:rPr>
          <w:instrText xml:space="preserve"> PAGEREF _Toc102586239 \h </w:instrText>
        </w:r>
        <w:r w:rsidR="003B2832">
          <w:rPr>
            <w:noProof/>
            <w:webHidden/>
          </w:rPr>
        </w:r>
        <w:r w:rsidR="003B2832">
          <w:rPr>
            <w:noProof/>
            <w:webHidden/>
          </w:rPr>
          <w:fldChar w:fldCharType="separate"/>
        </w:r>
        <w:r w:rsidR="00AA5AAC">
          <w:rPr>
            <w:noProof/>
            <w:webHidden/>
          </w:rPr>
          <w:t>6</w:t>
        </w:r>
        <w:r w:rsidR="003B2832">
          <w:rPr>
            <w:noProof/>
            <w:webHidden/>
          </w:rPr>
          <w:fldChar w:fldCharType="end"/>
        </w:r>
      </w:hyperlink>
    </w:p>
    <w:p w14:paraId="15FB5E2F" w14:textId="35F4182B" w:rsidR="003B2832" w:rsidRDefault="002C1A5C">
      <w:pPr>
        <w:pStyle w:val="TOC3"/>
        <w:tabs>
          <w:tab w:val="right" w:leader="dot" w:pos="9350"/>
        </w:tabs>
        <w:rPr>
          <w:rFonts w:asciiTheme="minorHAnsi" w:eastAsiaTheme="minorEastAsia" w:hAnsiTheme="minorHAnsi"/>
          <w:noProof/>
          <w:sz w:val="22"/>
        </w:rPr>
      </w:pPr>
      <w:hyperlink w:anchor="_Toc102586240" w:history="1">
        <w:r w:rsidR="003B2832" w:rsidRPr="00CE6351">
          <w:rPr>
            <w:rStyle w:val="Hyperlink"/>
            <w:noProof/>
          </w:rPr>
          <w:t>1.2.1 Natural products and the utility of total synthesis.</w:t>
        </w:r>
        <w:r w:rsidR="003B2832">
          <w:rPr>
            <w:noProof/>
            <w:webHidden/>
          </w:rPr>
          <w:tab/>
        </w:r>
        <w:r w:rsidR="003B2832">
          <w:rPr>
            <w:noProof/>
            <w:webHidden/>
          </w:rPr>
          <w:fldChar w:fldCharType="begin"/>
        </w:r>
        <w:r w:rsidR="003B2832">
          <w:rPr>
            <w:noProof/>
            <w:webHidden/>
          </w:rPr>
          <w:instrText xml:space="preserve"> PAGEREF _Toc102586240 \h </w:instrText>
        </w:r>
        <w:r w:rsidR="003B2832">
          <w:rPr>
            <w:noProof/>
            <w:webHidden/>
          </w:rPr>
        </w:r>
        <w:r w:rsidR="003B2832">
          <w:rPr>
            <w:noProof/>
            <w:webHidden/>
          </w:rPr>
          <w:fldChar w:fldCharType="separate"/>
        </w:r>
        <w:r w:rsidR="00AA5AAC">
          <w:rPr>
            <w:noProof/>
            <w:webHidden/>
          </w:rPr>
          <w:t>6</w:t>
        </w:r>
        <w:r w:rsidR="003B2832">
          <w:rPr>
            <w:noProof/>
            <w:webHidden/>
          </w:rPr>
          <w:fldChar w:fldCharType="end"/>
        </w:r>
      </w:hyperlink>
    </w:p>
    <w:p w14:paraId="67590059" w14:textId="466E30E3" w:rsidR="003B2832" w:rsidRDefault="002C1A5C">
      <w:pPr>
        <w:pStyle w:val="TOC3"/>
        <w:tabs>
          <w:tab w:val="right" w:leader="dot" w:pos="9350"/>
        </w:tabs>
        <w:rPr>
          <w:rFonts w:asciiTheme="minorHAnsi" w:eastAsiaTheme="minorEastAsia" w:hAnsiTheme="minorHAnsi"/>
          <w:noProof/>
          <w:sz w:val="22"/>
        </w:rPr>
      </w:pPr>
      <w:hyperlink w:anchor="_Toc102586241" w:history="1">
        <w:r w:rsidR="003B2832" w:rsidRPr="00CE6351">
          <w:rPr>
            <w:rStyle w:val="Hyperlink"/>
            <w:noProof/>
          </w:rPr>
          <w:t>1.2.2 The synthesis of β-carbolines and related alkaloids.</w:t>
        </w:r>
        <w:r w:rsidR="003B2832">
          <w:rPr>
            <w:noProof/>
            <w:webHidden/>
          </w:rPr>
          <w:tab/>
        </w:r>
        <w:r w:rsidR="003B2832">
          <w:rPr>
            <w:noProof/>
            <w:webHidden/>
          </w:rPr>
          <w:fldChar w:fldCharType="begin"/>
        </w:r>
        <w:r w:rsidR="003B2832">
          <w:rPr>
            <w:noProof/>
            <w:webHidden/>
          </w:rPr>
          <w:instrText xml:space="preserve"> PAGEREF _Toc102586241 \h </w:instrText>
        </w:r>
        <w:r w:rsidR="003B2832">
          <w:rPr>
            <w:noProof/>
            <w:webHidden/>
          </w:rPr>
        </w:r>
        <w:r w:rsidR="003B2832">
          <w:rPr>
            <w:noProof/>
            <w:webHidden/>
          </w:rPr>
          <w:fldChar w:fldCharType="separate"/>
        </w:r>
        <w:r w:rsidR="00AA5AAC">
          <w:rPr>
            <w:noProof/>
            <w:webHidden/>
          </w:rPr>
          <w:t>10</w:t>
        </w:r>
        <w:r w:rsidR="003B2832">
          <w:rPr>
            <w:noProof/>
            <w:webHidden/>
          </w:rPr>
          <w:fldChar w:fldCharType="end"/>
        </w:r>
      </w:hyperlink>
    </w:p>
    <w:p w14:paraId="5C6F4DEB" w14:textId="664BD4E7" w:rsidR="003B2832" w:rsidRDefault="002C1A5C">
      <w:pPr>
        <w:pStyle w:val="TOC3"/>
        <w:tabs>
          <w:tab w:val="right" w:leader="dot" w:pos="9350"/>
        </w:tabs>
        <w:rPr>
          <w:rFonts w:asciiTheme="minorHAnsi" w:eastAsiaTheme="minorEastAsia" w:hAnsiTheme="minorHAnsi"/>
          <w:noProof/>
          <w:sz w:val="22"/>
        </w:rPr>
      </w:pPr>
      <w:hyperlink w:anchor="_Toc102586242" w:history="1">
        <w:r w:rsidR="003B2832" w:rsidRPr="00CE6351">
          <w:rPr>
            <w:rStyle w:val="Hyperlink"/>
            <w:noProof/>
          </w:rPr>
          <w:t>1.2.3 Interests in picrasidine C as a subtype selective PPARα agonist and its implications in diabetic retinopathy.</w:t>
        </w:r>
        <w:r w:rsidR="003B2832">
          <w:rPr>
            <w:noProof/>
            <w:webHidden/>
          </w:rPr>
          <w:tab/>
        </w:r>
        <w:r w:rsidR="003B2832">
          <w:rPr>
            <w:noProof/>
            <w:webHidden/>
          </w:rPr>
          <w:fldChar w:fldCharType="begin"/>
        </w:r>
        <w:r w:rsidR="003B2832">
          <w:rPr>
            <w:noProof/>
            <w:webHidden/>
          </w:rPr>
          <w:instrText xml:space="preserve"> PAGEREF _Toc102586242 \h </w:instrText>
        </w:r>
        <w:r w:rsidR="003B2832">
          <w:rPr>
            <w:noProof/>
            <w:webHidden/>
          </w:rPr>
        </w:r>
        <w:r w:rsidR="003B2832">
          <w:rPr>
            <w:noProof/>
            <w:webHidden/>
          </w:rPr>
          <w:fldChar w:fldCharType="separate"/>
        </w:r>
        <w:r w:rsidR="00AA5AAC">
          <w:rPr>
            <w:noProof/>
            <w:webHidden/>
          </w:rPr>
          <w:t>15</w:t>
        </w:r>
        <w:r w:rsidR="003B2832">
          <w:rPr>
            <w:noProof/>
            <w:webHidden/>
          </w:rPr>
          <w:fldChar w:fldCharType="end"/>
        </w:r>
      </w:hyperlink>
    </w:p>
    <w:p w14:paraId="350D0651" w14:textId="027B37FE" w:rsidR="003B2832" w:rsidRDefault="002C1A5C">
      <w:pPr>
        <w:pStyle w:val="TOC3"/>
        <w:tabs>
          <w:tab w:val="right" w:leader="dot" w:pos="9350"/>
        </w:tabs>
        <w:rPr>
          <w:rFonts w:asciiTheme="minorHAnsi" w:eastAsiaTheme="minorEastAsia" w:hAnsiTheme="minorHAnsi"/>
          <w:noProof/>
          <w:sz w:val="22"/>
        </w:rPr>
      </w:pPr>
      <w:hyperlink w:anchor="_Toc102586243" w:history="1">
        <w:r w:rsidR="003B2832" w:rsidRPr="00CE6351">
          <w:rPr>
            <w:rStyle w:val="Hyperlink"/>
            <w:noProof/>
          </w:rPr>
          <w:t xml:space="preserve">1.2.4 Overview of </w:t>
        </w:r>
        <w:r w:rsidR="003B2832" w:rsidRPr="00CE6351">
          <w:rPr>
            <w:rStyle w:val="Hyperlink"/>
            <w:i/>
            <w:iCs/>
            <w:noProof/>
          </w:rPr>
          <w:t>Picrasma</w:t>
        </w:r>
        <w:r w:rsidR="003B2832" w:rsidRPr="00CE6351">
          <w:rPr>
            <w:rStyle w:val="Hyperlink"/>
            <w:noProof/>
          </w:rPr>
          <w:t xml:space="preserve"> alkaloids and picrasidine family members.</w:t>
        </w:r>
        <w:r w:rsidR="003B2832">
          <w:rPr>
            <w:noProof/>
            <w:webHidden/>
          </w:rPr>
          <w:tab/>
        </w:r>
        <w:r w:rsidR="003B2832">
          <w:rPr>
            <w:noProof/>
            <w:webHidden/>
          </w:rPr>
          <w:fldChar w:fldCharType="begin"/>
        </w:r>
        <w:r w:rsidR="003B2832">
          <w:rPr>
            <w:noProof/>
            <w:webHidden/>
          </w:rPr>
          <w:instrText xml:space="preserve"> PAGEREF _Toc102586243 \h </w:instrText>
        </w:r>
        <w:r w:rsidR="003B2832">
          <w:rPr>
            <w:noProof/>
            <w:webHidden/>
          </w:rPr>
        </w:r>
        <w:r w:rsidR="003B2832">
          <w:rPr>
            <w:noProof/>
            <w:webHidden/>
          </w:rPr>
          <w:fldChar w:fldCharType="separate"/>
        </w:r>
        <w:r w:rsidR="00AA5AAC">
          <w:rPr>
            <w:noProof/>
            <w:webHidden/>
          </w:rPr>
          <w:t>20</w:t>
        </w:r>
        <w:r w:rsidR="003B2832">
          <w:rPr>
            <w:noProof/>
            <w:webHidden/>
          </w:rPr>
          <w:fldChar w:fldCharType="end"/>
        </w:r>
      </w:hyperlink>
    </w:p>
    <w:p w14:paraId="4FB81203" w14:textId="7B5E00F8" w:rsidR="003B2832" w:rsidRDefault="002C1A5C">
      <w:pPr>
        <w:pStyle w:val="TOC3"/>
        <w:tabs>
          <w:tab w:val="right" w:leader="dot" w:pos="9350"/>
        </w:tabs>
        <w:rPr>
          <w:rFonts w:asciiTheme="minorHAnsi" w:eastAsiaTheme="minorEastAsia" w:hAnsiTheme="minorHAnsi"/>
          <w:noProof/>
          <w:sz w:val="22"/>
        </w:rPr>
      </w:pPr>
      <w:hyperlink w:anchor="_Toc102586244" w:history="1">
        <w:r w:rsidR="003B2832" w:rsidRPr="00CE6351">
          <w:rPr>
            <w:rStyle w:val="Hyperlink"/>
            <w:noProof/>
          </w:rPr>
          <w:t>1.2.5 Summary of accomplishments.</w:t>
        </w:r>
        <w:r w:rsidR="003B2832">
          <w:rPr>
            <w:noProof/>
            <w:webHidden/>
          </w:rPr>
          <w:tab/>
        </w:r>
        <w:r w:rsidR="003B2832">
          <w:rPr>
            <w:noProof/>
            <w:webHidden/>
          </w:rPr>
          <w:fldChar w:fldCharType="begin"/>
        </w:r>
        <w:r w:rsidR="003B2832">
          <w:rPr>
            <w:noProof/>
            <w:webHidden/>
          </w:rPr>
          <w:instrText xml:space="preserve"> PAGEREF _Toc102586244 \h </w:instrText>
        </w:r>
        <w:r w:rsidR="003B2832">
          <w:rPr>
            <w:noProof/>
            <w:webHidden/>
          </w:rPr>
        </w:r>
        <w:r w:rsidR="003B2832">
          <w:rPr>
            <w:noProof/>
            <w:webHidden/>
          </w:rPr>
          <w:fldChar w:fldCharType="separate"/>
        </w:r>
        <w:r w:rsidR="00AA5AAC">
          <w:rPr>
            <w:noProof/>
            <w:webHidden/>
          </w:rPr>
          <w:t>22</w:t>
        </w:r>
        <w:r w:rsidR="003B2832">
          <w:rPr>
            <w:noProof/>
            <w:webHidden/>
          </w:rPr>
          <w:fldChar w:fldCharType="end"/>
        </w:r>
      </w:hyperlink>
    </w:p>
    <w:p w14:paraId="6397ECF5" w14:textId="31195A42" w:rsidR="003B2832" w:rsidRDefault="002C1A5C">
      <w:pPr>
        <w:pStyle w:val="TOC2"/>
        <w:tabs>
          <w:tab w:val="right" w:leader="dot" w:pos="9350"/>
        </w:tabs>
        <w:rPr>
          <w:rFonts w:asciiTheme="minorHAnsi" w:eastAsiaTheme="minorEastAsia" w:hAnsiTheme="minorHAnsi"/>
          <w:noProof/>
          <w:sz w:val="22"/>
        </w:rPr>
      </w:pPr>
      <w:hyperlink w:anchor="_Toc102586245" w:history="1">
        <w:r w:rsidR="003B2832" w:rsidRPr="00CE6351">
          <w:rPr>
            <w:rStyle w:val="Hyperlink"/>
            <w:noProof/>
          </w:rPr>
          <w:t>1.3 Overview of SARS-CoV-2 protease inhibitors</w:t>
        </w:r>
        <w:r w:rsidR="003B2832">
          <w:rPr>
            <w:noProof/>
            <w:webHidden/>
          </w:rPr>
          <w:tab/>
        </w:r>
        <w:r w:rsidR="003B2832">
          <w:rPr>
            <w:noProof/>
            <w:webHidden/>
          </w:rPr>
          <w:fldChar w:fldCharType="begin"/>
        </w:r>
        <w:r w:rsidR="003B2832">
          <w:rPr>
            <w:noProof/>
            <w:webHidden/>
          </w:rPr>
          <w:instrText xml:space="preserve"> PAGEREF _Toc102586245 \h </w:instrText>
        </w:r>
        <w:r w:rsidR="003B2832">
          <w:rPr>
            <w:noProof/>
            <w:webHidden/>
          </w:rPr>
        </w:r>
        <w:r w:rsidR="003B2832">
          <w:rPr>
            <w:noProof/>
            <w:webHidden/>
          </w:rPr>
          <w:fldChar w:fldCharType="separate"/>
        </w:r>
        <w:r w:rsidR="00AA5AAC">
          <w:rPr>
            <w:noProof/>
            <w:webHidden/>
          </w:rPr>
          <w:t>23</w:t>
        </w:r>
        <w:r w:rsidR="003B2832">
          <w:rPr>
            <w:noProof/>
            <w:webHidden/>
          </w:rPr>
          <w:fldChar w:fldCharType="end"/>
        </w:r>
      </w:hyperlink>
    </w:p>
    <w:p w14:paraId="566A541C" w14:textId="39BA3A6C" w:rsidR="003B2832" w:rsidRDefault="002C1A5C">
      <w:pPr>
        <w:pStyle w:val="TOC3"/>
        <w:tabs>
          <w:tab w:val="right" w:leader="dot" w:pos="9350"/>
        </w:tabs>
        <w:rPr>
          <w:rFonts w:asciiTheme="minorHAnsi" w:eastAsiaTheme="minorEastAsia" w:hAnsiTheme="minorHAnsi"/>
          <w:noProof/>
          <w:sz w:val="22"/>
        </w:rPr>
      </w:pPr>
      <w:hyperlink w:anchor="_Toc102586246" w:history="1">
        <w:r w:rsidR="003B2832" w:rsidRPr="00CE6351">
          <w:rPr>
            <w:rStyle w:val="Hyperlink"/>
            <w:noProof/>
          </w:rPr>
          <w:t>1.3.1 Significance: COVID-19 global pandemic.</w:t>
        </w:r>
        <w:r w:rsidR="003B2832">
          <w:rPr>
            <w:noProof/>
            <w:webHidden/>
          </w:rPr>
          <w:tab/>
        </w:r>
        <w:r w:rsidR="003B2832">
          <w:rPr>
            <w:noProof/>
            <w:webHidden/>
          </w:rPr>
          <w:fldChar w:fldCharType="begin"/>
        </w:r>
        <w:r w:rsidR="003B2832">
          <w:rPr>
            <w:noProof/>
            <w:webHidden/>
          </w:rPr>
          <w:instrText xml:space="preserve"> PAGEREF _Toc102586246 \h </w:instrText>
        </w:r>
        <w:r w:rsidR="003B2832">
          <w:rPr>
            <w:noProof/>
            <w:webHidden/>
          </w:rPr>
        </w:r>
        <w:r w:rsidR="003B2832">
          <w:rPr>
            <w:noProof/>
            <w:webHidden/>
          </w:rPr>
          <w:fldChar w:fldCharType="separate"/>
        </w:r>
        <w:r w:rsidR="00AA5AAC">
          <w:rPr>
            <w:noProof/>
            <w:webHidden/>
          </w:rPr>
          <w:t>23</w:t>
        </w:r>
        <w:r w:rsidR="003B2832">
          <w:rPr>
            <w:noProof/>
            <w:webHidden/>
          </w:rPr>
          <w:fldChar w:fldCharType="end"/>
        </w:r>
      </w:hyperlink>
    </w:p>
    <w:p w14:paraId="48299F99" w14:textId="5882EA84" w:rsidR="003B2832" w:rsidRDefault="002C1A5C">
      <w:pPr>
        <w:pStyle w:val="TOC3"/>
        <w:tabs>
          <w:tab w:val="right" w:leader="dot" w:pos="9350"/>
        </w:tabs>
        <w:rPr>
          <w:rFonts w:asciiTheme="minorHAnsi" w:eastAsiaTheme="minorEastAsia" w:hAnsiTheme="minorHAnsi"/>
          <w:noProof/>
          <w:sz w:val="22"/>
        </w:rPr>
      </w:pPr>
      <w:hyperlink w:anchor="_Toc102586247" w:history="1">
        <w:r w:rsidR="003B2832" w:rsidRPr="00CE6351">
          <w:rPr>
            <w:rStyle w:val="Hyperlink"/>
            <w:noProof/>
          </w:rPr>
          <w:t>1.3.2 Introduction to SARS-CoV-2 protease inhibitors.</w:t>
        </w:r>
        <w:r w:rsidR="003B2832">
          <w:rPr>
            <w:noProof/>
            <w:webHidden/>
          </w:rPr>
          <w:tab/>
        </w:r>
        <w:r w:rsidR="003B2832">
          <w:rPr>
            <w:noProof/>
            <w:webHidden/>
          </w:rPr>
          <w:fldChar w:fldCharType="begin"/>
        </w:r>
        <w:r w:rsidR="003B2832">
          <w:rPr>
            <w:noProof/>
            <w:webHidden/>
          </w:rPr>
          <w:instrText xml:space="preserve"> PAGEREF _Toc102586247 \h </w:instrText>
        </w:r>
        <w:r w:rsidR="003B2832">
          <w:rPr>
            <w:noProof/>
            <w:webHidden/>
          </w:rPr>
        </w:r>
        <w:r w:rsidR="003B2832">
          <w:rPr>
            <w:noProof/>
            <w:webHidden/>
          </w:rPr>
          <w:fldChar w:fldCharType="separate"/>
        </w:r>
        <w:r w:rsidR="00AA5AAC">
          <w:rPr>
            <w:noProof/>
            <w:webHidden/>
          </w:rPr>
          <w:t>25</w:t>
        </w:r>
        <w:r w:rsidR="003B2832">
          <w:rPr>
            <w:noProof/>
            <w:webHidden/>
          </w:rPr>
          <w:fldChar w:fldCharType="end"/>
        </w:r>
      </w:hyperlink>
    </w:p>
    <w:p w14:paraId="7FDC79DC" w14:textId="09D0906A" w:rsidR="003B2832" w:rsidRDefault="002C1A5C">
      <w:pPr>
        <w:pStyle w:val="TOC3"/>
        <w:tabs>
          <w:tab w:val="right" w:leader="dot" w:pos="9350"/>
        </w:tabs>
        <w:rPr>
          <w:rFonts w:asciiTheme="minorHAnsi" w:eastAsiaTheme="minorEastAsia" w:hAnsiTheme="minorHAnsi"/>
          <w:noProof/>
          <w:sz w:val="22"/>
        </w:rPr>
      </w:pPr>
      <w:hyperlink w:anchor="_Toc102586248" w:history="1">
        <w:r w:rsidR="003B2832" w:rsidRPr="00CE6351">
          <w:rPr>
            <w:rStyle w:val="Hyperlink"/>
            <w:noProof/>
          </w:rPr>
          <w:t>1.3.3 Summary of what was accomplished.</w:t>
        </w:r>
        <w:r w:rsidR="003B2832">
          <w:rPr>
            <w:noProof/>
            <w:webHidden/>
          </w:rPr>
          <w:tab/>
        </w:r>
        <w:r w:rsidR="003B2832">
          <w:rPr>
            <w:noProof/>
            <w:webHidden/>
          </w:rPr>
          <w:fldChar w:fldCharType="begin"/>
        </w:r>
        <w:r w:rsidR="003B2832">
          <w:rPr>
            <w:noProof/>
            <w:webHidden/>
          </w:rPr>
          <w:instrText xml:space="preserve"> PAGEREF _Toc102586248 \h </w:instrText>
        </w:r>
        <w:r w:rsidR="003B2832">
          <w:rPr>
            <w:noProof/>
            <w:webHidden/>
          </w:rPr>
        </w:r>
        <w:r w:rsidR="003B2832">
          <w:rPr>
            <w:noProof/>
            <w:webHidden/>
          </w:rPr>
          <w:fldChar w:fldCharType="separate"/>
        </w:r>
        <w:r w:rsidR="00AA5AAC">
          <w:rPr>
            <w:noProof/>
            <w:webHidden/>
          </w:rPr>
          <w:t>29</w:t>
        </w:r>
        <w:r w:rsidR="003B2832">
          <w:rPr>
            <w:noProof/>
            <w:webHidden/>
          </w:rPr>
          <w:fldChar w:fldCharType="end"/>
        </w:r>
      </w:hyperlink>
    </w:p>
    <w:p w14:paraId="483BDF7D" w14:textId="4FCCBCDA" w:rsidR="003B2832" w:rsidRDefault="002C1A5C">
      <w:pPr>
        <w:pStyle w:val="TOC2"/>
        <w:tabs>
          <w:tab w:val="right" w:leader="dot" w:pos="9350"/>
        </w:tabs>
        <w:rPr>
          <w:rFonts w:asciiTheme="minorHAnsi" w:eastAsiaTheme="minorEastAsia" w:hAnsiTheme="minorHAnsi"/>
          <w:noProof/>
          <w:sz w:val="22"/>
        </w:rPr>
      </w:pPr>
      <w:hyperlink w:anchor="_Toc102586249" w:history="1">
        <w:r w:rsidR="003B2832" w:rsidRPr="00CE6351">
          <w:rPr>
            <w:rStyle w:val="Hyperlink"/>
            <w:noProof/>
          </w:rPr>
          <w:t>1.4 References for Chapter 1</w:t>
        </w:r>
        <w:r w:rsidR="003B2832">
          <w:rPr>
            <w:noProof/>
            <w:webHidden/>
          </w:rPr>
          <w:tab/>
        </w:r>
        <w:r w:rsidR="003B2832">
          <w:rPr>
            <w:noProof/>
            <w:webHidden/>
          </w:rPr>
          <w:fldChar w:fldCharType="begin"/>
        </w:r>
        <w:r w:rsidR="003B2832">
          <w:rPr>
            <w:noProof/>
            <w:webHidden/>
          </w:rPr>
          <w:instrText xml:space="preserve"> PAGEREF _Toc102586249 \h </w:instrText>
        </w:r>
        <w:r w:rsidR="003B2832">
          <w:rPr>
            <w:noProof/>
            <w:webHidden/>
          </w:rPr>
        </w:r>
        <w:r w:rsidR="003B2832">
          <w:rPr>
            <w:noProof/>
            <w:webHidden/>
          </w:rPr>
          <w:fldChar w:fldCharType="separate"/>
        </w:r>
        <w:r w:rsidR="00AA5AAC">
          <w:rPr>
            <w:noProof/>
            <w:webHidden/>
          </w:rPr>
          <w:t>30</w:t>
        </w:r>
        <w:r w:rsidR="003B2832">
          <w:rPr>
            <w:noProof/>
            <w:webHidden/>
          </w:rPr>
          <w:fldChar w:fldCharType="end"/>
        </w:r>
      </w:hyperlink>
    </w:p>
    <w:p w14:paraId="3BF98DE9" w14:textId="4DA7C60A" w:rsidR="003B2832" w:rsidRDefault="002C1A5C">
      <w:pPr>
        <w:pStyle w:val="TOC1"/>
        <w:rPr>
          <w:rFonts w:asciiTheme="minorHAnsi" w:eastAsiaTheme="minorEastAsia" w:hAnsiTheme="minorHAnsi"/>
          <w:b w:val="0"/>
          <w:bCs w:val="0"/>
          <w:noProof/>
          <w:sz w:val="22"/>
        </w:rPr>
      </w:pPr>
      <w:hyperlink w:anchor="_Toc102586250" w:history="1">
        <w:r w:rsidR="003B2832" w:rsidRPr="00CE6351">
          <w:rPr>
            <w:rStyle w:val="Hyperlink"/>
            <w:noProof/>
          </w:rPr>
          <w:t>Chapter 2. Virulence modulation in Gram-negative bacteria via small molecule activation of CpxRA</w:t>
        </w:r>
        <w:r w:rsidR="003B2832">
          <w:rPr>
            <w:noProof/>
            <w:webHidden/>
          </w:rPr>
          <w:tab/>
        </w:r>
        <w:r w:rsidR="003B2832">
          <w:rPr>
            <w:noProof/>
            <w:webHidden/>
          </w:rPr>
          <w:fldChar w:fldCharType="begin"/>
        </w:r>
        <w:r w:rsidR="003B2832">
          <w:rPr>
            <w:noProof/>
            <w:webHidden/>
          </w:rPr>
          <w:instrText xml:space="preserve"> PAGEREF _Toc102586250 \h </w:instrText>
        </w:r>
        <w:r w:rsidR="003B2832">
          <w:rPr>
            <w:noProof/>
            <w:webHidden/>
          </w:rPr>
        </w:r>
        <w:r w:rsidR="003B2832">
          <w:rPr>
            <w:noProof/>
            <w:webHidden/>
          </w:rPr>
          <w:fldChar w:fldCharType="separate"/>
        </w:r>
        <w:r w:rsidR="00AA5AAC">
          <w:rPr>
            <w:noProof/>
            <w:webHidden/>
          </w:rPr>
          <w:t>52</w:t>
        </w:r>
        <w:r w:rsidR="003B2832">
          <w:rPr>
            <w:noProof/>
            <w:webHidden/>
          </w:rPr>
          <w:fldChar w:fldCharType="end"/>
        </w:r>
      </w:hyperlink>
    </w:p>
    <w:p w14:paraId="6FC5F2C4" w14:textId="1EB9128C" w:rsidR="003B2832" w:rsidRDefault="002C1A5C">
      <w:pPr>
        <w:pStyle w:val="TOC2"/>
        <w:tabs>
          <w:tab w:val="right" w:leader="dot" w:pos="9350"/>
        </w:tabs>
        <w:rPr>
          <w:rFonts w:asciiTheme="minorHAnsi" w:eastAsiaTheme="minorEastAsia" w:hAnsiTheme="minorHAnsi"/>
          <w:noProof/>
          <w:sz w:val="22"/>
        </w:rPr>
      </w:pPr>
      <w:hyperlink w:anchor="_Toc102586251" w:history="1">
        <w:r w:rsidR="003B2832" w:rsidRPr="00CE6351">
          <w:rPr>
            <w:rStyle w:val="Hyperlink"/>
            <w:noProof/>
          </w:rPr>
          <w:t>2.1 Introduction</w:t>
        </w:r>
        <w:r w:rsidR="003B2832">
          <w:rPr>
            <w:noProof/>
            <w:webHidden/>
          </w:rPr>
          <w:tab/>
        </w:r>
        <w:r w:rsidR="003B2832">
          <w:rPr>
            <w:noProof/>
            <w:webHidden/>
          </w:rPr>
          <w:fldChar w:fldCharType="begin"/>
        </w:r>
        <w:r w:rsidR="003B2832">
          <w:rPr>
            <w:noProof/>
            <w:webHidden/>
          </w:rPr>
          <w:instrText xml:space="preserve"> PAGEREF _Toc102586251 \h </w:instrText>
        </w:r>
        <w:r w:rsidR="003B2832">
          <w:rPr>
            <w:noProof/>
            <w:webHidden/>
          </w:rPr>
        </w:r>
        <w:r w:rsidR="003B2832">
          <w:rPr>
            <w:noProof/>
            <w:webHidden/>
          </w:rPr>
          <w:fldChar w:fldCharType="separate"/>
        </w:r>
        <w:r w:rsidR="00AA5AAC">
          <w:rPr>
            <w:noProof/>
            <w:webHidden/>
          </w:rPr>
          <w:t>54</w:t>
        </w:r>
        <w:r w:rsidR="003B2832">
          <w:rPr>
            <w:noProof/>
            <w:webHidden/>
          </w:rPr>
          <w:fldChar w:fldCharType="end"/>
        </w:r>
      </w:hyperlink>
    </w:p>
    <w:p w14:paraId="17FF4237" w14:textId="28D0E9BD" w:rsidR="003B2832" w:rsidRDefault="002C1A5C">
      <w:pPr>
        <w:pStyle w:val="TOC2"/>
        <w:tabs>
          <w:tab w:val="right" w:leader="dot" w:pos="9350"/>
        </w:tabs>
        <w:rPr>
          <w:rFonts w:asciiTheme="minorHAnsi" w:eastAsiaTheme="minorEastAsia" w:hAnsiTheme="minorHAnsi"/>
          <w:noProof/>
          <w:sz w:val="22"/>
        </w:rPr>
      </w:pPr>
      <w:hyperlink w:anchor="_Toc102586252" w:history="1">
        <w:r w:rsidR="003B2832" w:rsidRPr="00CE6351">
          <w:rPr>
            <w:rStyle w:val="Hyperlink"/>
            <w:noProof/>
          </w:rPr>
          <w:t>2.2 Results and discussion</w:t>
        </w:r>
        <w:r w:rsidR="003B2832">
          <w:rPr>
            <w:noProof/>
            <w:webHidden/>
          </w:rPr>
          <w:tab/>
        </w:r>
        <w:r w:rsidR="003B2832">
          <w:rPr>
            <w:noProof/>
            <w:webHidden/>
          </w:rPr>
          <w:fldChar w:fldCharType="begin"/>
        </w:r>
        <w:r w:rsidR="003B2832">
          <w:rPr>
            <w:noProof/>
            <w:webHidden/>
          </w:rPr>
          <w:instrText xml:space="preserve"> PAGEREF _Toc102586252 \h </w:instrText>
        </w:r>
        <w:r w:rsidR="003B2832">
          <w:rPr>
            <w:noProof/>
            <w:webHidden/>
          </w:rPr>
        </w:r>
        <w:r w:rsidR="003B2832">
          <w:rPr>
            <w:noProof/>
            <w:webHidden/>
          </w:rPr>
          <w:fldChar w:fldCharType="separate"/>
        </w:r>
        <w:r w:rsidR="00AA5AAC">
          <w:rPr>
            <w:noProof/>
            <w:webHidden/>
          </w:rPr>
          <w:t>57</w:t>
        </w:r>
        <w:r w:rsidR="003B2832">
          <w:rPr>
            <w:noProof/>
            <w:webHidden/>
          </w:rPr>
          <w:fldChar w:fldCharType="end"/>
        </w:r>
      </w:hyperlink>
    </w:p>
    <w:p w14:paraId="369BF8F2" w14:textId="3355BC6F" w:rsidR="003B2832" w:rsidRDefault="002C1A5C">
      <w:pPr>
        <w:pStyle w:val="TOC3"/>
        <w:tabs>
          <w:tab w:val="right" w:leader="dot" w:pos="9350"/>
        </w:tabs>
        <w:rPr>
          <w:rFonts w:asciiTheme="minorHAnsi" w:eastAsiaTheme="minorEastAsia" w:hAnsiTheme="minorHAnsi"/>
          <w:noProof/>
          <w:sz w:val="22"/>
        </w:rPr>
      </w:pPr>
      <w:hyperlink w:anchor="_Toc102586253" w:history="1">
        <w:r w:rsidR="003B2832" w:rsidRPr="00CE6351">
          <w:rPr>
            <w:rStyle w:val="Hyperlink"/>
            <w:noProof/>
          </w:rPr>
          <w:t>2.2.1 A-ring substitution.</w:t>
        </w:r>
        <w:r w:rsidR="003B2832">
          <w:rPr>
            <w:noProof/>
            <w:webHidden/>
          </w:rPr>
          <w:tab/>
        </w:r>
        <w:r w:rsidR="003B2832">
          <w:rPr>
            <w:noProof/>
            <w:webHidden/>
          </w:rPr>
          <w:fldChar w:fldCharType="begin"/>
        </w:r>
        <w:r w:rsidR="003B2832">
          <w:rPr>
            <w:noProof/>
            <w:webHidden/>
          </w:rPr>
          <w:instrText xml:space="preserve"> PAGEREF _Toc102586253 \h </w:instrText>
        </w:r>
        <w:r w:rsidR="003B2832">
          <w:rPr>
            <w:noProof/>
            <w:webHidden/>
          </w:rPr>
        </w:r>
        <w:r w:rsidR="003B2832">
          <w:rPr>
            <w:noProof/>
            <w:webHidden/>
          </w:rPr>
          <w:fldChar w:fldCharType="separate"/>
        </w:r>
        <w:r w:rsidR="00AA5AAC">
          <w:rPr>
            <w:noProof/>
            <w:webHidden/>
          </w:rPr>
          <w:t>57</w:t>
        </w:r>
        <w:r w:rsidR="003B2832">
          <w:rPr>
            <w:noProof/>
            <w:webHidden/>
          </w:rPr>
          <w:fldChar w:fldCharType="end"/>
        </w:r>
      </w:hyperlink>
    </w:p>
    <w:p w14:paraId="18AA21E6" w14:textId="315F5B2D" w:rsidR="003B2832" w:rsidRDefault="002C1A5C">
      <w:pPr>
        <w:pStyle w:val="TOC3"/>
        <w:tabs>
          <w:tab w:val="right" w:leader="dot" w:pos="9350"/>
        </w:tabs>
        <w:rPr>
          <w:rFonts w:asciiTheme="minorHAnsi" w:eastAsiaTheme="minorEastAsia" w:hAnsiTheme="minorHAnsi"/>
          <w:noProof/>
          <w:sz w:val="22"/>
        </w:rPr>
      </w:pPr>
      <w:hyperlink w:anchor="_Toc102586254" w:history="1">
        <w:r w:rsidR="003B2832" w:rsidRPr="00CE6351">
          <w:rPr>
            <w:rStyle w:val="Hyperlink"/>
            <w:noProof/>
          </w:rPr>
          <w:t>2.2.2 C-ring deconstruction.</w:t>
        </w:r>
        <w:r w:rsidR="003B2832">
          <w:rPr>
            <w:noProof/>
            <w:webHidden/>
          </w:rPr>
          <w:tab/>
        </w:r>
        <w:r w:rsidR="003B2832">
          <w:rPr>
            <w:noProof/>
            <w:webHidden/>
          </w:rPr>
          <w:fldChar w:fldCharType="begin"/>
        </w:r>
        <w:r w:rsidR="003B2832">
          <w:rPr>
            <w:noProof/>
            <w:webHidden/>
          </w:rPr>
          <w:instrText xml:space="preserve"> PAGEREF _Toc102586254 \h </w:instrText>
        </w:r>
        <w:r w:rsidR="003B2832">
          <w:rPr>
            <w:noProof/>
            <w:webHidden/>
          </w:rPr>
        </w:r>
        <w:r w:rsidR="003B2832">
          <w:rPr>
            <w:noProof/>
            <w:webHidden/>
          </w:rPr>
          <w:fldChar w:fldCharType="separate"/>
        </w:r>
        <w:r w:rsidR="00AA5AAC">
          <w:rPr>
            <w:noProof/>
            <w:webHidden/>
          </w:rPr>
          <w:t>60</w:t>
        </w:r>
        <w:r w:rsidR="003B2832">
          <w:rPr>
            <w:noProof/>
            <w:webHidden/>
          </w:rPr>
          <w:fldChar w:fldCharType="end"/>
        </w:r>
      </w:hyperlink>
    </w:p>
    <w:p w14:paraId="51E3410E" w14:textId="65C1D149" w:rsidR="003B2832" w:rsidRDefault="002C1A5C">
      <w:pPr>
        <w:pStyle w:val="TOC3"/>
        <w:tabs>
          <w:tab w:val="right" w:leader="dot" w:pos="9350"/>
        </w:tabs>
        <w:rPr>
          <w:rFonts w:asciiTheme="minorHAnsi" w:eastAsiaTheme="minorEastAsia" w:hAnsiTheme="minorHAnsi"/>
          <w:noProof/>
          <w:sz w:val="22"/>
        </w:rPr>
      </w:pPr>
      <w:hyperlink w:anchor="_Toc102586255" w:history="1">
        <w:r w:rsidR="003B2832" w:rsidRPr="00CE6351">
          <w:rPr>
            <w:rStyle w:val="Hyperlink"/>
            <w:noProof/>
          </w:rPr>
          <w:t>2.2.3 Significance of the primary amine.</w:t>
        </w:r>
        <w:r w:rsidR="003B2832">
          <w:rPr>
            <w:noProof/>
            <w:webHidden/>
          </w:rPr>
          <w:tab/>
        </w:r>
        <w:r w:rsidR="003B2832">
          <w:rPr>
            <w:noProof/>
            <w:webHidden/>
          </w:rPr>
          <w:fldChar w:fldCharType="begin"/>
        </w:r>
        <w:r w:rsidR="003B2832">
          <w:rPr>
            <w:noProof/>
            <w:webHidden/>
          </w:rPr>
          <w:instrText xml:space="preserve"> PAGEREF _Toc102586255 \h </w:instrText>
        </w:r>
        <w:r w:rsidR="003B2832">
          <w:rPr>
            <w:noProof/>
            <w:webHidden/>
          </w:rPr>
        </w:r>
        <w:r w:rsidR="003B2832">
          <w:rPr>
            <w:noProof/>
            <w:webHidden/>
          </w:rPr>
          <w:fldChar w:fldCharType="separate"/>
        </w:r>
        <w:r w:rsidR="00AA5AAC">
          <w:rPr>
            <w:noProof/>
            <w:webHidden/>
          </w:rPr>
          <w:t>63</w:t>
        </w:r>
        <w:r w:rsidR="003B2832">
          <w:rPr>
            <w:noProof/>
            <w:webHidden/>
          </w:rPr>
          <w:fldChar w:fldCharType="end"/>
        </w:r>
      </w:hyperlink>
    </w:p>
    <w:p w14:paraId="1643A163" w14:textId="6765C862" w:rsidR="003B2832" w:rsidRDefault="002C1A5C">
      <w:pPr>
        <w:pStyle w:val="TOC3"/>
        <w:tabs>
          <w:tab w:val="right" w:leader="dot" w:pos="9350"/>
        </w:tabs>
        <w:rPr>
          <w:rFonts w:asciiTheme="minorHAnsi" w:eastAsiaTheme="minorEastAsia" w:hAnsiTheme="minorHAnsi"/>
          <w:noProof/>
          <w:sz w:val="22"/>
        </w:rPr>
      </w:pPr>
      <w:hyperlink w:anchor="_Toc102586256" w:history="1">
        <w:r w:rsidR="003B2832" w:rsidRPr="00CE6351">
          <w:rPr>
            <w:rStyle w:val="Hyperlink"/>
            <w:noProof/>
          </w:rPr>
          <w:t>2.2.4 Probing the mechanisms of CpxRA modulation.</w:t>
        </w:r>
        <w:r w:rsidR="003B2832">
          <w:rPr>
            <w:noProof/>
            <w:webHidden/>
          </w:rPr>
          <w:tab/>
        </w:r>
        <w:r w:rsidR="003B2832">
          <w:rPr>
            <w:noProof/>
            <w:webHidden/>
          </w:rPr>
          <w:fldChar w:fldCharType="begin"/>
        </w:r>
        <w:r w:rsidR="003B2832">
          <w:rPr>
            <w:noProof/>
            <w:webHidden/>
          </w:rPr>
          <w:instrText xml:space="preserve"> PAGEREF _Toc102586256 \h </w:instrText>
        </w:r>
        <w:r w:rsidR="003B2832">
          <w:rPr>
            <w:noProof/>
            <w:webHidden/>
          </w:rPr>
        </w:r>
        <w:r w:rsidR="003B2832">
          <w:rPr>
            <w:noProof/>
            <w:webHidden/>
          </w:rPr>
          <w:fldChar w:fldCharType="separate"/>
        </w:r>
        <w:r w:rsidR="00AA5AAC">
          <w:rPr>
            <w:noProof/>
            <w:webHidden/>
          </w:rPr>
          <w:t>65</w:t>
        </w:r>
        <w:r w:rsidR="003B2832">
          <w:rPr>
            <w:noProof/>
            <w:webHidden/>
          </w:rPr>
          <w:fldChar w:fldCharType="end"/>
        </w:r>
      </w:hyperlink>
    </w:p>
    <w:p w14:paraId="3B930AA3" w14:textId="197BE5E5" w:rsidR="003B2832" w:rsidRDefault="002C1A5C">
      <w:pPr>
        <w:pStyle w:val="TOC2"/>
        <w:tabs>
          <w:tab w:val="right" w:leader="dot" w:pos="9350"/>
        </w:tabs>
        <w:rPr>
          <w:rFonts w:asciiTheme="minorHAnsi" w:eastAsiaTheme="minorEastAsia" w:hAnsiTheme="minorHAnsi"/>
          <w:noProof/>
          <w:sz w:val="22"/>
        </w:rPr>
      </w:pPr>
      <w:hyperlink w:anchor="_Toc102586257" w:history="1">
        <w:r w:rsidR="003B2832" w:rsidRPr="00CE6351">
          <w:rPr>
            <w:rStyle w:val="Hyperlink"/>
            <w:noProof/>
          </w:rPr>
          <w:t>2.3 Conclusions and future directions</w:t>
        </w:r>
        <w:r w:rsidR="003B2832">
          <w:rPr>
            <w:noProof/>
            <w:webHidden/>
          </w:rPr>
          <w:tab/>
        </w:r>
        <w:r w:rsidR="003B2832">
          <w:rPr>
            <w:noProof/>
            <w:webHidden/>
          </w:rPr>
          <w:fldChar w:fldCharType="begin"/>
        </w:r>
        <w:r w:rsidR="003B2832">
          <w:rPr>
            <w:noProof/>
            <w:webHidden/>
          </w:rPr>
          <w:instrText xml:space="preserve"> PAGEREF _Toc102586257 \h </w:instrText>
        </w:r>
        <w:r w:rsidR="003B2832">
          <w:rPr>
            <w:noProof/>
            <w:webHidden/>
          </w:rPr>
        </w:r>
        <w:r w:rsidR="003B2832">
          <w:rPr>
            <w:noProof/>
            <w:webHidden/>
          </w:rPr>
          <w:fldChar w:fldCharType="separate"/>
        </w:r>
        <w:r w:rsidR="00AA5AAC">
          <w:rPr>
            <w:noProof/>
            <w:webHidden/>
          </w:rPr>
          <w:t>73</w:t>
        </w:r>
        <w:r w:rsidR="003B2832">
          <w:rPr>
            <w:noProof/>
            <w:webHidden/>
          </w:rPr>
          <w:fldChar w:fldCharType="end"/>
        </w:r>
      </w:hyperlink>
    </w:p>
    <w:p w14:paraId="130BE77C" w14:textId="4A9AF942" w:rsidR="003B2832" w:rsidRDefault="002C1A5C">
      <w:pPr>
        <w:pStyle w:val="TOC2"/>
        <w:tabs>
          <w:tab w:val="right" w:leader="dot" w:pos="9350"/>
        </w:tabs>
        <w:rPr>
          <w:rFonts w:asciiTheme="minorHAnsi" w:eastAsiaTheme="minorEastAsia" w:hAnsiTheme="minorHAnsi"/>
          <w:noProof/>
          <w:sz w:val="22"/>
        </w:rPr>
      </w:pPr>
      <w:hyperlink w:anchor="_Toc102586258" w:history="1">
        <w:r w:rsidR="003B2832" w:rsidRPr="00CE6351">
          <w:rPr>
            <w:rStyle w:val="Hyperlink"/>
            <w:noProof/>
          </w:rPr>
          <w:t>2.4 Experimental</w:t>
        </w:r>
        <w:r w:rsidR="003B2832">
          <w:rPr>
            <w:noProof/>
            <w:webHidden/>
          </w:rPr>
          <w:tab/>
        </w:r>
        <w:r w:rsidR="003B2832">
          <w:rPr>
            <w:noProof/>
            <w:webHidden/>
          </w:rPr>
          <w:fldChar w:fldCharType="begin"/>
        </w:r>
        <w:r w:rsidR="003B2832">
          <w:rPr>
            <w:noProof/>
            <w:webHidden/>
          </w:rPr>
          <w:instrText xml:space="preserve"> PAGEREF _Toc102586258 \h </w:instrText>
        </w:r>
        <w:r w:rsidR="003B2832">
          <w:rPr>
            <w:noProof/>
            <w:webHidden/>
          </w:rPr>
        </w:r>
        <w:r w:rsidR="003B2832">
          <w:rPr>
            <w:noProof/>
            <w:webHidden/>
          </w:rPr>
          <w:fldChar w:fldCharType="separate"/>
        </w:r>
        <w:r w:rsidR="00AA5AAC">
          <w:rPr>
            <w:noProof/>
            <w:webHidden/>
          </w:rPr>
          <w:t>75</w:t>
        </w:r>
        <w:r w:rsidR="003B2832">
          <w:rPr>
            <w:noProof/>
            <w:webHidden/>
          </w:rPr>
          <w:fldChar w:fldCharType="end"/>
        </w:r>
      </w:hyperlink>
    </w:p>
    <w:p w14:paraId="4ABC3279" w14:textId="191035CE" w:rsidR="003B2832" w:rsidRDefault="002C1A5C">
      <w:pPr>
        <w:pStyle w:val="TOC3"/>
        <w:tabs>
          <w:tab w:val="right" w:leader="dot" w:pos="9350"/>
        </w:tabs>
        <w:rPr>
          <w:rFonts w:asciiTheme="minorHAnsi" w:eastAsiaTheme="minorEastAsia" w:hAnsiTheme="minorHAnsi"/>
          <w:noProof/>
          <w:sz w:val="22"/>
        </w:rPr>
      </w:pPr>
      <w:hyperlink w:anchor="_Toc102586259" w:history="1">
        <w:r w:rsidR="003B2832" w:rsidRPr="00CE6351">
          <w:rPr>
            <w:rStyle w:val="Hyperlink"/>
            <w:noProof/>
          </w:rPr>
          <w:t>2.4.1 General Chemistry Methods</w:t>
        </w:r>
        <w:r w:rsidR="003B2832">
          <w:rPr>
            <w:noProof/>
            <w:webHidden/>
          </w:rPr>
          <w:tab/>
        </w:r>
        <w:r w:rsidR="003B2832">
          <w:rPr>
            <w:noProof/>
            <w:webHidden/>
          </w:rPr>
          <w:fldChar w:fldCharType="begin"/>
        </w:r>
        <w:r w:rsidR="003B2832">
          <w:rPr>
            <w:noProof/>
            <w:webHidden/>
          </w:rPr>
          <w:instrText xml:space="preserve"> PAGEREF _Toc102586259 \h </w:instrText>
        </w:r>
        <w:r w:rsidR="003B2832">
          <w:rPr>
            <w:noProof/>
            <w:webHidden/>
          </w:rPr>
        </w:r>
        <w:r w:rsidR="003B2832">
          <w:rPr>
            <w:noProof/>
            <w:webHidden/>
          </w:rPr>
          <w:fldChar w:fldCharType="separate"/>
        </w:r>
        <w:r w:rsidR="00AA5AAC">
          <w:rPr>
            <w:noProof/>
            <w:webHidden/>
          </w:rPr>
          <w:t>75</w:t>
        </w:r>
        <w:r w:rsidR="003B2832">
          <w:rPr>
            <w:noProof/>
            <w:webHidden/>
          </w:rPr>
          <w:fldChar w:fldCharType="end"/>
        </w:r>
      </w:hyperlink>
    </w:p>
    <w:p w14:paraId="30E92F2A" w14:textId="22BB26FE" w:rsidR="003B2832" w:rsidRDefault="002C1A5C">
      <w:pPr>
        <w:pStyle w:val="TOC3"/>
        <w:tabs>
          <w:tab w:val="right" w:leader="dot" w:pos="9350"/>
        </w:tabs>
        <w:rPr>
          <w:rFonts w:asciiTheme="minorHAnsi" w:eastAsiaTheme="minorEastAsia" w:hAnsiTheme="minorHAnsi"/>
          <w:noProof/>
          <w:sz w:val="22"/>
        </w:rPr>
      </w:pPr>
      <w:hyperlink w:anchor="_Toc102586260" w:history="1">
        <w:r w:rsidR="003B2832" w:rsidRPr="00CE6351">
          <w:rPr>
            <w:rStyle w:val="Hyperlink"/>
            <w:noProof/>
          </w:rPr>
          <w:t>2.4.2 Synthetic Procedures</w:t>
        </w:r>
        <w:r w:rsidR="003B2832">
          <w:rPr>
            <w:noProof/>
            <w:webHidden/>
          </w:rPr>
          <w:tab/>
        </w:r>
        <w:r w:rsidR="003B2832">
          <w:rPr>
            <w:noProof/>
            <w:webHidden/>
          </w:rPr>
          <w:fldChar w:fldCharType="begin"/>
        </w:r>
        <w:r w:rsidR="003B2832">
          <w:rPr>
            <w:noProof/>
            <w:webHidden/>
          </w:rPr>
          <w:instrText xml:space="preserve"> PAGEREF _Toc102586260 \h </w:instrText>
        </w:r>
        <w:r w:rsidR="003B2832">
          <w:rPr>
            <w:noProof/>
            <w:webHidden/>
          </w:rPr>
        </w:r>
        <w:r w:rsidR="003B2832">
          <w:rPr>
            <w:noProof/>
            <w:webHidden/>
          </w:rPr>
          <w:fldChar w:fldCharType="separate"/>
        </w:r>
        <w:r w:rsidR="00AA5AAC">
          <w:rPr>
            <w:noProof/>
            <w:webHidden/>
          </w:rPr>
          <w:t>76</w:t>
        </w:r>
        <w:r w:rsidR="003B2832">
          <w:rPr>
            <w:noProof/>
            <w:webHidden/>
          </w:rPr>
          <w:fldChar w:fldCharType="end"/>
        </w:r>
      </w:hyperlink>
    </w:p>
    <w:p w14:paraId="7CC3249D" w14:textId="53CF9347" w:rsidR="003B2832" w:rsidRDefault="002C1A5C">
      <w:pPr>
        <w:pStyle w:val="TOC3"/>
        <w:tabs>
          <w:tab w:val="right" w:leader="dot" w:pos="9350"/>
        </w:tabs>
        <w:rPr>
          <w:rFonts w:asciiTheme="minorHAnsi" w:eastAsiaTheme="minorEastAsia" w:hAnsiTheme="minorHAnsi"/>
          <w:noProof/>
          <w:sz w:val="22"/>
        </w:rPr>
      </w:pPr>
      <w:hyperlink w:anchor="_Toc102586261" w:history="1">
        <w:r w:rsidR="003B2832" w:rsidRPr="00CE6351">
          <w:rPr>
            <w:rStyle w:val="Hyperlink"/>
            <w:noProof/>
          </w:rPr>
          <w:t>2.4.3 Biological evaluation</w:t>
        </w:r>
        <w:r w:rsidR="003B2832">
          <w:rPr>
            <w:noProof/>
            <w:webHidden/>
          </w:rPr>
          <w:tab/>
        </w:r>
        <w:r w:rsidR="003B2832">
          <w:rPr>
            <w:noProof/>
            <w:webHidden/>
          </w:rPr>
          <w:fldChar w:fldCharType="begin"/>
        </w:r>
        <w:r w:rsidR="003B2832">
          <w:rPr>
            <w:noProof/>
            <w:webHidden/>
          </w:rPr>
          <w:instrText xml:space="preserve"> PAGEREF _Toc102586261 \h </w:instrText>
        </w:r>
        <w:r w:rsidR="003B2832">
          <w:rPr>
            <w:noProof/>
            <w:webHidden/>
          </w:rPr>
        </w:r>
        <w:r w:rsidR="003B2832">
          <w:rPr>
            <w:noProof/>
            <w:webHidden/>
          </w:rPr>
          <w:fldChar w:fldCharType="separate"/>
        </w:r>
        <w:r w:rsidR="00AA5AAC">
          <w:rPr>
            <w:noProof/>
            <w:webHidden/>
          </w:rPr>
          <w:t>83</w:t>
        </w:r>
        <w:r w:rsidR="003B2832">
          <w:rPr>
            <w:noProof/>
            <w:webHidden/>
          </w:rPr>
          <w:fldChar w:fldCharType="end"/>
        </w:r>
      </w:hyperlink>
    </w:p>
    <w:p w14:paraId="65608A60" w14:textId="2AB42CDE" w:rsidR="003B2832" w:rsidRDefault="002C1A5C">
      <w:pPr>
        <w:pStyle w:val="TOC3"/>
        <w:tabs>
          <w:tab w:val="right" w:leader="dot" w:pos="9350"/>
        </w:tabs>
        <w:rPr>
          <w:rFonts w:asciiTheme="minorHAnsi" w:eastAsiaTheme="minorEastAsia" w:hAnsiTheme="minorHAnsi"/>
          <w:noProof/>
          <w:sz w:val="22"/>
        </w:rPr>
      </w:pPr>
      <w:hyperlink w:anchor="_Toc102586262" w:history="1">
        <w:r w:rsidR="003B2832" w:rsidRPr="00CE6351">
          <w:rPr>
            <w:rStyle w:val="Hyperlink"/>
            <w:noProof/>
          </w:rPr>
          <w:t>2.4.5 Proteomic analysis</w:t>
        </w:r>
        <w:r w:rsidR="003B2832">
          <w:rPr>
            <w:noProof/>
            <w:webHidden/>
          </w:rPr>
          <w:tab/>
        </w:r>
        <w:r w:rsidR="003B2832">
          <w:rPr>
            <w:noProof/>
            <w:webHidden/>
          </w:rPr>
          <w:fldChar w:fldCharType="begin"/>
        </w:r>
        <w:r w:rsidR="003B2832">
          <w:rPr>
            <w:noProof/>
            <w:webHidden/>
          </w:rPr>
          <w:instrText xml:space="preserve"> PAGEREF _Toc102586262 \h </w:instrText>
        </w:r>
        <w:r w:rsidR="003B2832">
          <w:rPr>
            <w:noProof/>
            <w:webHidden/>
          </w:rPr>
        </w:r>
        <w:r w:rsidR="003B2832">
          <w:rPr>
            <w:noProof/>
            <w:webHidden/>
          </w:rPr>
          <w:fldChar w:fldCharType="separate"/>
        </w:r>
        <w:r w:rsidR="00AA5AAC">
          <w:rPr>
            <w:noProof/>
            <w:webHidden/>
          </w:rPr>
          <w:t>86</w:t>
        </w:r>
        <w:r w:rsidR="003B2832">
          <w:rPr>
            <w:noProof/>
            <w:webHidden/>
          </w:rPr>
          <w:fldChar w:fldCharType="end"/>
        </w:r>
      </w:hyperlink>
    </w:p>
    <w:p w14:paraId="43A98215" w14:textId="30A37D7A" w:rsidR="003B2832" w:rsidRDefault="002C1A5C">
      <w:pPr>
        <w:pStyle w:val="TOC2"/>
        <w:tabs>
          <w:tab w:val="right" w:leader="dot" w:pos="9350"/>
        </w:tabs>
        <w:rPr>
          <w:rFonts w:asciiTheme="minorHAnsi" w:eastAsiaTheme="minorEastAsia" w:hAnsiTheme="minorHAnsi"/>
          <w:noProof/>
          <w:sz w:val="22"/>
        </w:rPr>
      </w:pPr>
      <w:hyperlink w:anchor="_Toc102586263" w:history="1">
        <w:r w:rsidR="003B2832" w:rsidRPr="00CE6351">
          <w:rPr>
            <w:rStyle w:val="Hyperlink"/>
            <w:noProof/>
          </w:rPr>
          <w:t>2.5 References for Chapter 2</w:t>
        </w:r>
        <w:r w:rsidR="003B2832">
          <w:rPr>
            <w:noProof/>
            <w:webHidden/>
          </w:rPr>
          <w:tab/>
        </w:r>
        <w:r w:rsidR="003B2832">
          <w:rPr>
            <w:noProof/>
            <w:webHidden/>
          </w:rPr>
          <w:fldChar w:fldCharType="begin"/>
        </w:r>
        <w:r w:rsidR="003B2832">
          <w:rPr>
            <w:noProof/>
            <w:webHidden/>
          </w:rPr>
          <w:instrText xml:space="preserve"> PAGEREF _Toc102586263 \h </w:instrText>
        </w:r>
        <w:r w:rsidR="003B2832">
          <w:rPr>
            <w:noProof/>
            <w:webHidden/>
          </w:rPr>
        </w:r>
        <w:r w:rsidR="003B2832">
          <w:rPr>
            <w:noProof/>
            <w:webHidden/>
          </w:rPr>
          <w:fldChar w:fldCharType="separate"/>
        </w:r>
        <w:r w:rsidR="00AA5AAC">
          <w:rPr>
            <w:noProof/>
            <w:webHidden/>
          </w:rPr>
          <w:t>88</w:t>
        </w:r>
        <w:r w:rsidR="003B2832">
          <w:rPr>
            <w:noProof/>
            <w:webHidden/>
          </w:rPr>
          <w:fldChar w:fldCharType="end"/>
        </w:r>
      </w:hyperlink>
    </w:p>
    <w:p w14:paraId="58F0271C" w14:textId="36AAC864" w:rsidR="003B2832" w:rsidRDefault="002C1A5C">
      <w:pPr>
        <w:pStyle w:val="TOC1"/>
        <w:rPr>
          <w:rFonts w:asciiTheme="minorHAnsi" w:eastAsiaTheme="minorEastAsia" w:hAnsiTheme="minorHAnsi"/>
          <w:b w:val="0"/>
          <w:bCs w:val="0"/>
          <w:noProof/>
          <w:sz w:val="22"/>
        </w:rPr>
      </w:pPr>
      <w:hyperlink w:anchor="_Toc102586264" w:history="1">
        <w:r w:rsidR="003B2832" w:rsidRPr="00CE6351">
          <w:rPr>
            <w:rStyle w:val="Hyperlink"/>
            <w:noProof/>
          </w:rPr>
          <w:t>Appendix I. Spectra Relevant to Chapter 2</w:t>
        </w:r>
        <w:r w:rsidR="003B2832">
          <w:rPr>
            <w:noProof/>
            <w:webHidden/>
          </w:rPr>
          <w:tab/>
        </w:r>
        <w:r w:rsidR="003B2832">
          <w:rPr>
            <w:noProof/>
            <w:webHidden/>
          </w:rPr>
          <w:fldChar w:fldCharType="begin"/>
        </w:r>
        <w:r w:rsidR="003B2832">
          <w:rPr>
            <w:noProof/>
            <w:webHidden/>
          </w:rPr>
          <w:instrText xml:space="preserve"> PAGEREF _Toc102586264 \h </w:instrText>
        </w:r>
        <w:r w:rsidR="003B2832">
          <w:rPr>
            <w:noProof/>
            <w:webHidden/>
          </w:rPr>
        </w:r>
        <w:r w:rsidR="003B2832">
          <w:rPr>
            <w:noProof/>
            <w:webHidden/>
          </w:rPr>
          <w:fldChar w:fldCharType="separate"/>
        </w:r>
        <w:r w:rsidR="00AA5AAC">
          <w:rPr>
            <w:noProof/>
            <w:webHidden/>
          </w:rPr>
          <w:t>94</w:t>
        </w:r>
        <w:r w:rsidR="003B2832">
          <w:rPr>
            <w:noProof/>
            <w:webHidden/>
          </w:rPr>
          <w:fldChar w:fldCharType="end"/>
        </w:r>
      </w:hyperlink>
    </w:p>
    <w:p w14:paraId="101941F4" w14:textId="50E0DBB7" w:rsidR="003B2832" w:rsidRDefault="002C1A5C">
      <w:pPr>
        <w:pStyle w:val="TOC1"/>
        <w:rPr>
          <w:rFonts w:asciiTheme="minorHAnsi" w:eastAsiaTheme="minorEastAsia" w:hAnsiTheme="minorHAnsi"/>
          <w:b w:val="0"/>
          <w:bCs w:val="0"/>
          <w:noProof/>
          <w:sz w:val="22"/>
        </w:rPr>
      </w:pPr>
      <w:hyperlink w:anchor="_Toc102586265" w:history="1">
        <w:r w:rsidR="003B2832" w:rsidRPr="00CE6351">
          <w:rPr>
            <w:rStyle w:val="Hyperlink"/>
            <w:noProof/>
          </w:rPr>
          <w:t>Chapter 3: β-carboline synthesis and functionalization for studies toward the total synthesis of picrasidine alkaloids</w:t>
        </w:r>
        <w:r w:rsidR="003B2832">
          <w:rPr>
            <w:noProof/>
            <w:webHidden/>
          </w:rPr>
          <w:tab/>
        </w:r>
        <w:r w:rsidR="003B2832">
          <w:rPr>
            <w:noProof/>
            <w:webHidden/>
          </w:rPr>
          <w:fldChar w:fldCharType="begin"/>
        </w:r>
        <w:r w:rsidR="003B2832">
          <w:rPr>
            <w:noProof/>
            <w:webHidden/>
          </w:rPr>
          <w:instrText xml:space="preserve"> PAGEREF _Toc102586265 \h </w:instrText>
        </w:r>
        <w:r w:rsidR="003B2832">
          <w:rPr>
            <w:noProof/>
            <w:webHidden/>
          </w:rPr>
        </w:r>
        <w:r w:rsidR="003B2832">
          <w:rPr>
            <w:noProof/>
            <w:webHidden/>
          </w:rPr>
          <w:fldChar w:fldCharType="separate"/>
        </w:r>
        <w:r w:rsidR="00AA5AAC">
          <w:rPr>
            <w:noProof/>
            <w:webHidden/>
          </w:rPr>
          <w:t>109</w:t>
        </w:r>
        <w:r w:rsidR="003B2832">
          <w:rPr>
            <w:noProof/>
            <w:webHidden/>
          </w:rPr>
          <w:fldChar w:fldCharType="end"/>
        </w:r>
      </w:hyperlink>
    </w:p>
    <w:p w14:paraId="3403ECE2" w14:textId="58AD2FBB" w:rsidR="003B2832" w:rsidRDefault="002C1A5C">
      <w:pPr>
        <w:pStyle w:val="TOC2"/>
        <w:tabs>
          <w:tab w:val="right" w:leader="dot" w:pos="9350"/>
        </w:tabs>
        <w:rPr>
          <w:rFonts w:asciiTheme="minorHAnsi" w:eastAsiaTheme="minorEastAsia" w:hAnsiTheme="minorHAnsi"/>
          <w:noProof/>
          <w:sz w:val="22"/>
        </w:rPr>
      </w:pPr>
      <w:hyperlink w:anchor="_Toc102586266" w:history="1">
        <w:r w:rsidR="003B2832" w:rsidRPr="00CE6351">
          <w:rPr>
            <w:rStyle w:val="Hyperlink"/>
            <w:noProof/>
          </w:rPr>
          <w:t xml:space="preserve">3.1 Introduction to </w:t>
        </w:r>
        <w:r w:rsidR="003B2832" w:rsidRPr="00CE6351">
          <w:rPr>
            <w:rStyle w:val="Hyperlink"/>
            <w:i/>
            <w:iCs/>
            <w:noProof/>
          </w:rPr>
          <w:t>Picrasma</w:t>
        </w:r>
        <w:r w:rsidR="003B2832" w:rsidRPr="00CE6351">
          <w:rPr>
            <w:rStyle w:val="Hyperlink"/>
            <w:noProof/>
          </w:rPr>
          <w:t xml:space="preserve"> alkaloids</w:t>
        </w:r>
        <w:r w:rsidR="003B2832">
          <w:rPr>
            <w:noProof/>
            <w:webHidden/>
          </w:rPr>
          <w:tab/>
        </w:r>
        <w:r w:rsidR="003B2832">
          <w:rPr>
            <w:noProof/>
            <w:webHidden/>
          </w:rPr>
          <w:fldChar w:fldCharType="begin"/>
        </w:r>
        <w:r w:rsidR="003B2832">
          <w:rPr>
            <w:noProof/>
            <w:webHidden/>
          </w:rPr>
          <w:instrText xml:space="preserve"> PAGEREF _Toc102586266 \h </w:instrText>
        </w:r>
        <w:r w:rsidR="003B2832">
          <w:rPr>
            <w:noProof/>
            <w:webHidden/>
          </w:rPr>
        </w:r>
        <w:r w:rsidR="003B2832">
          <w:rPr>
            <w:noProof/>
            <w:webHidden/>
          </w:rPr>
          <w:fldChar w:fldCharType="separate"/>
        </w:r>
        <w:r w:rsidR="00AA5AAC">
          <w:rPr>
            <w:noProof/>
            <w:webHidden/>
          </w:rPr>
          <w:t>110</w:t>
        </w:r>
        <w:r w:rsidR="003B2832">
          <w:rPr>
            <w:noProof/>
            <w:webHidden/>
          </w:rPr>
          <w:fldChar w:fldCharType="end"/>
        </w:r>
      </w:hyperlink>
    </w:p>
    <w:p w14:paraId="15A35945" w14:textId="16C1C7FE" w:rsidR="003B2832" w:rsidRDefault="002C1A5C">
      <w:pPr>
        <w:pStyle w:val="TOC3"/>
        <w:tabs>
          <w:tab w:val="right" w:leader="dot" w:pos="9350"/>
        </w:tabs>
        <w:rPr>
          <w:rFonts w:asciiTheme="minorHAnsi" w:eastAsiaTheme="minorEastAsia" w:hAnsiTheme="minorHAnsi"/>
          <w:noProof/>
          <w:sz w:val="22"/>
        </w:rPr>
      </w:pPr>
      <w:hyperlink w:anchor="_Toc102586267" w:history="1">
        <w:r w:rsidR="003B2832" w:rsidRPr="00CE6351">
          <w:rPr>
            <w:rStyle w:val="Hyperlink"/>
            <w:noProof/>
          </w:rPr>
          <w:t xml:space="preserve">3.1.1 </w:t>
        </w:r>
        <w:r w:rsidR="003B2832" w:rsidRPr="00CE6351">
          <w:rPr>
            <w:rStyle w:val="Hyperlink"/>
            <w:i/>
            <w:iCs/>
            <w:noProof/>
          </w:rPr>
          <w:t>Picrasma</w:t>
        </w:r>
        <w:r w:rsidR="003B2832" w:rsidRPr="00CE6351">
          <w:rPr>
            <w:rStyle w:val="Hyperlink"/>
            <w:noProof/>
          </w:rPr>
          <w:t xml:space="preserve"> alkaloids in traditional medicine.</w:t>
        </w:r>
        <w:r w:rsidR="003B2832">
          <w:rPr>
            <w:noProof/>
            <w:webHidden/>
          </w:rPr>
          <w:tab/>
        </w:r>
        <w:r w:rsidR="003B2832">
          <w:rPr>
            <w:noProof/>
            <w:webHidden/>
          </w:rPr>
          <w:fldChar w:fldCharType="begin"/>
        </w:r>
        <w:r w:rsidR="003B2832">
          <w:rPr>
            <w:noProof/>
            <w:webHidden/>
          </w:rPr>
          <w:instrText xml:space="preserve"> PAGEREF _Toc102586267 \h </w:instrText>
        </w:r>
        <w:r w:rsidR="003B2832">
          <w:rPr>
            <w:noProof/>
            <w:webHidden/>
          </w:rPr>
        </w:r>
        <w:r w:rsidR="003B2832">
          <w:rPr>
            <w:noProof/>
            <w:webHidden/>
          </w:rPr>
          <w:fldChar w:fldCharType="separate"/>
        </w:r>
        <w:r w:rsidR="00AA5AAC">
          <w:rPr>
            <w:noProof/>
            <w:webHidden/>
          </w:rPr>
          <w:t>110</w:t>
        </w:r>
        <w:r w:rsidR="003B2832">
          <w:rPr>
            <w:noProof/>
            <w:webHidden/>
          </w:rPr>
          <w:fldChar w:fldCharType="end"/>
        </w:r>
      </w:hyperlink>
    </w:p>
    <w:p w14:paraId="36A46443" w14:textId="6E65B8DB" w:rsidR="003B2832" w:rsidRDefault="002C1A5C">
      <w:pPr>
        <w:pStyle w:val="TOC3"/>
        <w:tabs>
          <w:tab w:val="right" w:leader="dot" w:pos="9350"/>
        </w:tabs>
        <w:rPr>
          <w:rFonts w:asciiTheme="minorHAnsi" w:eastAsiaTheme="minorEastAsia" w:hAnsiTheme="minorHAnsi"/>
          <w:noProof/>
          <w:sz w:val="22"/>
        </w:rPr>
      </w:pPr>
      <w:hyperlink w:anchor="_Toc102586268" w:history="1">
        <w:r w:rsidR="003B2832" w:rsidRPr="00CE6351">
          <w:rPr>
            <w:rStyle w:val="Hyperlink"/>
            <w:noProof/>
          </w:rPr>
          <w:t>3.1.2 Overview of β-carbolines and existing synthetic methods.</w:t>
        </w:r>
        <w:r w:rsidR="003B2832">
          <w:rPr>
            <w:noProof/>
            <w:webHidden/>
          </w:rPr>
          <w:tab/>
        </w:r>
        <w:r w:rsidR="003B2832">
          <w:rPr>
            <w:noProof/>
            <w:webHidden/>
          </w:rPr>
          <w:fldChar w:fldCharType="begin"/>
        </w:r>
        <w:r w:rsidR="003B2832">
          <w:rPr>
            <w:noProof/>
            <w:webHidden/>
          </w:rPr>
          <w:instrText xml:space="preserve"> PAGEREF _Toc102586268 \h </w:instrText>
        </w:r>
        <w:r w:rsidR="003B2832">
          <w:rPr>
            <w:noProof/>
            <w:webHidden/>
          </w:rPr>
        </w:r>
        <w:r w:rsidR="003B2832">
          <w:rPr>
            <w:noProof/>
            <w:webHidden/>
          </w:rPr>
          <w:fldChar w:fldCharType="separate"/>
        </w:r>
        <w:r w:rsidR="00AA5AAC">
          <w:rPr>
            <w:noProof/>
            <w:webHidden/>
          </w:rPr>
          <w:t>112</w:t>
        </w:r>
        <w:r w:rsidR="003B2832">
          <w:rPr>
            <w:noProof/>
            <w:webHidden/>
          </w:rPr>
          <w:fldChar w:fldCharType="end"/>
        </w:r>
      </w:hyperlink>
    </w:p>
    <w:p w14:paraId="5BA74105" w14:textId="56035597" w:rsidR="003B2832" w:rsidRDefault="002C1A5C">
      <w:pPr>
        <w:pStyle w:val="TOC2"/>
        <w:tabs>
          <w:tab w:val="right" w:leader="dot" w:pos="9350"/>
        </w:tabs>
        <w:rPr>
          <w:rFonts w:asciiTheme="minorHAnsi" w:eastAsiaTheme="minorEastAsia" w:hAnsiTheme="minorHAnsi"/>
          <w:noProof/>
          <w:sz w:val="22"/>
        </w:rPr>
      </w:pPr>
      <w:hyperlink w:anchor="_Toc102586269" w:history="1">
        <w:r w:rsidR="003B2832" w:rsidRPr="00CE6351">
          <w:rPr>
            <w:rStyle w:val="Hyperlink"/>
            <w:noProof/>
          </w:rPr>
          <w:t>3.2 Retrosynthetic analysis</w:t>
        </w:r>
        <w:r w:rsidR="003B2832">
          <w:rPr>
            <w:noProof/>
            <w:webHidden/>
          </w:rPr>
          <w:tab/>
        </w:r>
        <w:r w:rsidR="003B2832">
          <w:rPr>
            <w:noProof/>
            <w:webHidden/>
          </w:rPr>
          <w:fldChar w:fldCharType="begin"/>
        </w:r>
        <w:r w:rsidR="003B2832">
          <w:rPr>
            <w:noProof/>
            <w:webHidden/>
          </w:rPr>
          <w:instrText xml:space="preserve"> PAGEREF _Toc102586269 \h </w:instrText>
        </w:r>
        <w:r w:rsidR="003B2832">
          <w:rPr>
            <w:noProof/>
            <w:webHidden/>
          </w:rPr>
        </w:r>
        <w:r w:rsidR="003B2832">
          <w:rPr>
            <w:noProof/>
            <w:webHidden/>
          </w:rPr>
          <w:fldChar w:fldCharType="separate"/>
        </w:r>
        <w:r w:rsidR="00AA5AAC">
          <w:rPr>
            <w:noProof/>
            <w:webHidden/>
          </w:rPr>
          <w:t>117</w:t>
        </w:r>
        <w:r w:rsidR="003B2832">
          <w:rPr>
            <w:noProof/>
            <w:webHidden/>
          </w:rPr>
          <w:fldChar w:fldCharType="end"/>
        </w:r>
      </w:hyperlink>
    </w:p>
    <w:p w14:paraId="3A763F1F" w14:textId="24BC2AE1" w:rsidR="003B2832" w:rsidRDefault="002C1A5C">
      <w:pPr>
        <w:pStyle w:val="TOC3"/>
        <w:tabs>
          <w:tab w:val="right" w:leader="dot" w:pos="9350"/>
        </w:tabs>
        <w:rPr>
          <w:rFonts w:asciiTheme="minorHAnsi" w:eastAsiaTheme="minorEastAsia" w:hAnsiTheme="minorHAnsi"/>
          <w:noProof/>
          <w:sz w:val="22"/>
        </w:rPr>
      </w:pPr>
      <w:hyperlink w:anchor="_Toc102586270" w:history="1">
        <w:r w:rsidR="003B2832" w:rsidRPr="00CE6351">
          <w:rPr>
            <w:rStyle w:val="Hyperlink"/>
            <w:noProof/>
          </w:rPr>
          <w:t>3.2.1 Iterative β-carboline ring construction (Approach 1).</w:t>
        </w:r>
        <w:r w:rsidR="003B2832">
          <w:rPr>
            <w:noProof/>
            <w:webHidden/>
          </w:rPr>
          <w:tab/>
        </w:r>
        <w:r w:rsidR="003B2832">
          <w:rPr>
            <w:noProof/>
            <w:webHidden/>
          </w:rPr>
          <w:fldChar w:fldCharType="begin"/>
        </w:r>
        <w:r w:rsidR="003B2832">
          <w:rPr>
            <w:noProof/>
            <w:webHidden/>
          </w:rPr>
          <w:instrText xml:space="preserve"> PAGEREF _Toc102586270 \h </w:instrText>
        </w:r>
        <w:r w:rsidR="003B2832">
          <w:rPr>
            <w:noProof/>
            <w:webHidden/>
          </w:rPr>
        </w:r>
        <w:r w:rsidR="003B2832">
          <w:rPr>
            <w:noProof/>
            <w:webHidden/>
          </w:rPr>
          <w:fldChar w:fldCharType="separate"/>
        </w:r>
        <w:r w:rsidR="00AA5AAC">
          <w:rPr>
            <w:noProof/>
            <w:webHidden/>
          </w:rPr>
          <w:t>117</w:t>
        </w:r>
        <w:r w:rsidR="003B2832">
          <w:rPr>
            <w:noProof/>
            <w:webHidden/>
          </w:rPr>
          <w:fldChar w:fldCharType="end"/>
        </w:r>
      </w:hyperlink>
    </w:p>
    <w:p w14:paraId="65606E16" w14:textId="7D0509ED" w:rsidR="003B2832" w:rsidRDefault="002C1A5C">
      <w:pPr>
        <w:pStyle w:val="TOC3"/>
        <w:tabs>
          <w:tab w:val="right" w:leader="dot" w:pos="9350"/>
        </w:tabs>
        <w:rPr>
          <w:rFonts w:asciiTheme="minorHAnsi" w:eastAsiaTheme="minorEastAsia" w:hAnsiTheme="minorHAnsi"/>
          <w:noProof/>
          <w:sz w:val="22"/>
        </w:rPr>
      </w:pPr>
      <w:hyperlink w:anchor="_Toc102586271" w:history="1">
        <w:r w:rsidR="003B2832" w:rsidRPr="00CE6351">
          <w:rPr>
            <w:rStyle w:val="Hyperlink"/>
            <w:noProof/>
          </w:rPr>
          <w:t>3.2.2 β-carboline functionalization (Approach 2).</w:t>
        </w:r>
        <w:r w:rsidR="003B2832">
          <w:rPr>
            <w:noProof/>
            <w:webHidden/>
          </w:rPr>
          <w:tab/>
        </w:r>
        <w:r w:rsidR="003B2832">
          <w:rPr>
            <w:noProof/>
            <w:webHidden/>
          </w:rPr>
          <w:fldChar w:fldCharType="begin"/>
        </w:r>
        <w:r w:rsidR="003B2832">
          <w:rPr>
            <w:noProof/>
            <w:webHidden/>
          </w:rPr>
          <w:instrText xml:space="preserve"> PAGEREF _Toc102586271 \h </w:instrText>
        </w:r>
        <w:r w:rsidR="003B2832">
          <w:rPr>
            <w:noProof/>
            <w:webHidden/>
          </w:rPr>
        </w:r>
        <w:r w:rsidR="003B2832">
          <w:rPr>
            <w:noProof/>
            <w:webHidden/>
          </w:rPr>
          <w:fldChar w:fldCharType="separate"/>
        </w:r>
        <w:r w:rsidR="00AA5AAC">
          <w:rPr>
            <w:noProof/>
            <w:webHidden/>
          </w:rPr>
          <w:t>119</w:t>
        </w:r>
        <w:r w:rsidR="003B2832">
          <w:rPr>
            <w:noProof/>
            <w:webHidden/>
          </w:rPr>
          <w:fldChar w:fldCharType="end"/>
        </w:r>
      </w:hyperlink>
    </w:p>
    <w:p w14:paraId="3F6C3C6D" w14:textId="4645882A" w:rsidR="003B2832" w:rsidRDefault="002C1A5C">
      <w:pPr>
        <w:pStyle w:val="TOC2"/>
        <w:tabs>
          <w:tab w:val="right" w:leader="dot" w:pos="9350"/>
        </w:tabs>
        <w:rPr>
          <w:rFonts w:asciiTheme="minorHAnsi" w:eastAsiaTheme="minorEastAsia" w:hAnsiTheme="minorHAnsi"/>
          <w:noProof/>
          <w:sz w:val="22"/>
        </w:rPr>
      </w:pPr>
      <w:hyperlink w:anchor="_Toc102586272" w:history="1">
        <w:r w:rsidR="003B2832" w:rsidRPr="00CE6351">
          <w:rPr>
            <w:rStyle w:val="Hyperlink"/>
            <w:noProof/>
          </w:rPr>
          <w:t>3.3 Results and discussion for Approach 1</w:t>
        </w:r>
        <w:r w:rsidR="003B2832">
          <w:rPr>
            <w:noProof/>
            <w:webHidden/>
          </w:rPr>
          <w:tab/>
        </w:r>
        <w:r w:rsidR="003B2832">
          <w:rPr>
            <w:noProof/>
            <w:webHidden/>
          </w:rPr>
          <w:fldChar w:fldCharType="begin"/>
        </w:r>
        <w:r w:rsidR="003B2832">
          <w:rPr>
            <w:noProof/>
            <w:webHidden/>
          </w:rPr>
          <w:instrText xml:space="preserve"> PAGEREF _Toc102586272 \h </w:instrText>
        </w:r>
        <w:r w:rsidR="003B2832">
          <w:rPr>
            <w:noProof/>
            <w:webHidden/>
          </w:rPr>
        </w:r>
        <w:r w:rsidR="003B2832">
          <w:rPr>
            <w:noProof/>
            <w:webHidden/>
          </w:rPr>
          <w:fldChar w:fldCharType="separate"/>
        </w:r>
        <w:r w:rsidR="00AA5AAC">
          <w:rPr>
            <w:noProof/>
            <w:webHidden/>
          </w:rPr>
          <w:t>121</w:t>
        </w:r>
        <w:r w:rsidR="003B2832">
          <w:rPr>
            <w:noProof/>
            <w:webHidden/>
          </w:rPr>
          <w:fldChar w:fldCharType="end"/>
        </w:r>
      </w:hyperlink>
    </w:p>
    <w:p w14:paraId="3656F3CB" w14:textId="453D4A54" w:rsidR="003B2832" w:rsidRDefault="002C1A5C">
      <w:pPr>
        <w:pStyle w:val="TOC3"/>
        <w:tabs>
          <w:tab w:val="right" w:leader="dot" w:pos="9350"/>
        </w:tabs>
        <w:rPr>
          <w:rFonts w:asciiTheme="minorHAnsi" w:eastAsiaTheme="minorEastAsia" w:hAnsiTheme="minorHAnsi"/>
          <w:noProof/>
          <w:sz w:val="22"/>
        </w:rPr>
      </w:pPr>
      <w:hyperlink w:anchor="_Toc102586273" w:history="1">
        <w:r w:rsidR="003B2832" w:rsidRPr="00CE6351">
          <w:rPr>
            <w:rStyle w:val="Hyperlink"/>
            <w:noProof/>
          </w:rPr>
          <w:t>3.3.1 Step 1: Pictet-Spengler cyclization with cyclopentene-1-aldehyde for the formation of THBC 3.</w:t>
        </w:r>
        <w:r w:rsidR="003B2832" w:rsidRPr="00CE6351">
          <w:rPr>
            <w:rStyle w:val="Hyperlink"/>
            <w:bCs/>
            <w:noProof/>
          </w:rPr>
          <w:t>34</w:t>
        </w:r>
        <w:r w:rsidR="003B2832" w:rsidRPr="00CE6351">
          <w:rPr>
            <w:rStyle w:val="Hyperlink"/>
            <w:noProof/>
          </w:rPr>
          <w:t xml:space="preserve"> (PSR1).</w:t>
        </w:r>
        <w:r w:rsidR="003B2832">
          <w:rPr>
            <w:noProof/>
            <w:webHidden/>
          </w:rPr>
          <w:tab/>
        </w:r>
        <w:r w:rsidR="003B2832">
          <w:rPr>
            <w:noProof/>
            <w:webHidden/>
          </w:rPr>
          <w:fldChar w:fldCharType="begin"/>
        </w:r>
        <w:r w:rsidR="003B2832">
          <w:rPr>
            <w:noProof/>
            <w:webHidden/>
          </w:rPr>
          <w:instrText xml:space="preserve"> PAGEREF _Toc102586273 \h </w:instrText>
        </w:r>
        <w:r w:rsidR="003B2832">
          <w:rPr>
            <w:noProof/>
            <w:webHidden/>
          </w:rPr>
        </w:r>
        <w:r w:rsidR="003B2832">
          <w:rPr>
            <w:noProof/>
            <w:webHidden/>
          </w:rPr>
          <w:fldChar w:fldCharType="separate"/>
        </w:r>
        <w:r w:rsidR="00AA5AAC">
          <w:rPr>
            <w:noProof/>
            <w:webHidden/>
          </w:rPr>
          <w:t>122</w:t>
        </w:r>
        <w:r w:rsidR="003B2832">
          <w:rPr>
            <w:noProof/>
            <w:webHidden/>
          </w:rPr>
          <w:fldChar w:fldCharType="end"/>
        </w:r>
      </w:hyperlink>
    </w:p>
    <w:p w14:paraId="40D3968D" w14:textId="0C12863C" w:rsidR="003B2832" w:rsidRDefault="002C1A5C">
      <w:pPr>
        <w:pStyle w:val="TOC3"/>
        <w:tabs>
          <w:tab w:val="right" w:leader="dot" w:pos="9350"/>
        </w:tabs>
        <w:rPr>
          <w:rFonts w:asciiTheme="minorHAnsi" w:eastAsiaTheme="minorEastAsia" w:hAnsiTheme="minorHAnsi"/>
          <w:noProof/>
          <w:sz w:val="22"/>
        </w:rPr>
      </w:pPr>
      <w:hyperlink w:anchor="_Toc102586274" w:history="1">
        <w:r w:rsidR="003B2832" w:rsidRPr="00CE6351">
          <w:rPr>
            <w:rStyle w:val="Hyperlink"/>
            <w:noProof/>
          </w:rPr>
          <w:t>3.3.2 Step 2: Oxidative aromatization of THBC 3.</w:t>
        </w:r>
        <w:r w:rsidR="003B2832" w:rsidRPr="00CE6351">
          <w:rPr>
            <w:rStyle w:val="Hyperlink"/>
            <w:bCs/>
            <w:noProof/>
          </w:rPr>
          <w:t>34.</w:t>
        </w:r>
        <w:r w:rsidR="003B2832">
          <w:rPr>
            <w:noProof/>
            <w:webHidden/>
          </w:rPr>
          <w:tab/>
        </w:r>
        <w:r w:rsidR="003B2832">
          <w:rPr>
            <w:noProof/>
            <w:webHidden/>
          </w:rPr>
          <w:fldChar w:fldCharType="begin"/>
        </w:r>
        <w:r w:rsidR="003B2832">
          <w:rPr>
            <w:noProof/>
            <w:webHidden/>
          </w:rPr>
          <w:instrText xml:space="preserve"> PAGEREF _Toc102586274 \h </w:instrText>
        </w:r>
        <w:r w:rsidR="003B2832">
          <w:rPr>
            <w:noProof/>
            <w:webHidden/>
          </w:rPr>
        </w:r>
        <w:r w:rsidR="003B2832">
          <w:rPr>
            <w:noProof/>
            <w:webHidden/>
          </w:rPr>
          <w:fldChar w:fldCharType="separate"/>
        </w:r>
        <w:r w:rsidR="00AA5AAC">
          <w:rPr>
            <w:noProof/>
            <w:webHidden/>
          </w:rPr>
          <w:t>126</w:t>
        </w:r>
        <w:r w:rsidR="003B2832">
          <w:rPr>
            <w:noProof/>
            <w:webHidden/>
          </w:rPr>
          <w:fldChar w:fldCharType="end"/>
        </w:r>
      </w:hyperlink>
    </w:p>
    <w:p w14:paraId="104376F8" w14:textId="4CF9C39E" w:rsidR="003B2832" w:rsidRDefault="002C1A5C">
      <w:pPr>
        <w:pStyle w:val="TOC3"/>
        <w:tabs>
          <w:tab w:val="right" w:leader="dot" w:pos="9350"/>
        </w:tabs>
        <w:rPr>
          <w:rFonts w:asciiTheme="minorHAnsi" w:eastAsiaTheme="minorEastAsia" w:hAnsiTheme="minorHAnsi"/>
          <w:noProof/>
          <w:sz w:val="22"/>
        </w:rPr>
      </w:pPr>
      <w:hyperlink w:anchor="_Toc102586275" w:history="1">
        <w:r w:rsidR="003B2832" w:rsidRPr="00CE6351">
          <w:rPr>
            <w:rStyle w:val="Hyperlink"/>
            <w:noProof/>
          </w:rPr>
          <w:t>3.3.3 Step 3: Oxidative cleavage to construct the linker region</w:t>
        </w:r>
        <w:r w:rsidR="003B2832">
          <w:rPr>
            <w:noProof/>
            <w:webHidden/>
          </w:rPr>
          <w:tab/>
        </w:r>
        <w:r w:rsidR="003B2832">
          <w:rPr>
            <w:noProof/>
            <w:webHidden/>
          </w:rPr>
          <w:fldChar w:fldCharType="begin"/>
        </w:r>
        <w:r w:rsidR="003B2832">
          <w:rPr>
            <w:noProof/>
            <w:webHidden/>
          </w:rPr>
          <w:instrText xml:space="preserve"> PAGEREF _Toc102586275 \h </w:instrText>
        </w:r>
        <w:r w:rsidR="003B2832">
          <w:rPr>
            <w:noProof/>
            <w:webHidden/>
          </w:rPr>
        </w:r>
        <w:r w:rsidR="003B2832">
          <w:rPr>
            <w:noProof/>
            <w:webHidden/>
          </w:rPr>
          <w:fldChar w:fldCharType="separate"/>
        </w:r>
        <w:r w:rsidR="00AA5AAC">
          <w:rPr>
            <w:noProof/>
            <w:webHidden/>
          </w:rPr>
          <w:t>131</w:t>
        </w:r>
        <w:r w:rsidR="003B2832">
          <w:rPr>
            <w:noProof/>
            <w:webHidden/>
          </w:rPr>
          <w:fldChar w:fldCharType="end"/>
        </w:r>
      </w:hyperlink>
    </w:p>
    <w:p w14:paraId="0737B01C" w14:textId="3536DEAE" w:rsidR="003B2832" w:rsidRDefault="002C1A5C">
      <w:pPr>
        <w:pStyle w:val="TOC3"/>
        <w:tabs>
          <w:tab w:val="right" w:leader="dot" w:pos="9350"/>
        </w:tabs>
        <w:rPr>
          <w:rFonts w:asciiTheme="minorHAnsi" w:eastAsiaTheme="minorEastAsia" w:hAnsiTheme="minorHAnsi"/>
          <w:noProof/>
          <w:sz w:val="22"/>
        </w:rPr>
      </w:pPr>
      <w:hyperlink w:anchor="_Toc102586276" w:history="1">
        <w:r w:rsidR="003B2832" w:rsidRPr="00CE6351">
          <w:rPr>
            <w:rStyle w:val="Hyperlink"/>
            <w:noProof/>
          </w:rPr>
          <w:t>3.3.4 Step 4: Generating the second β-carboline system from key aldehyde intermediate 3.38 via Pictet-Spengler cyclization (PSR2).</w:t>
        </w:r>
        <w:r w:rsidR="003B2832">
          <w:rPr>
            <w:noProof/>
            <w:webHidden/>
          </w:rPr>
          <w:tab/>
        </w:r>
        <w:r w:rsidR="003B2832">
          <w:rPr>
            <w:noProof/>
            <w:webHidden/>
          </w:rPr>
          <w:fldChar w:fldCharType="begin"/>
        </w:r>
        <w:r w:rsidR="003B2832">
          <w:rPr>
            <w:noProof/>
            <w:webHidden/>
          </w:rPr>
          <w:instrText xml:space="preserve"> PAGEREF _Toc102586276 \h </w:instrText>
        </w:r>
        <w:r w:rsidR="003B2832">
          <w:rPr>
            <w:noProof/>
            <w:webHidden/>
          </w:rPr>
        </w:r>
        <w:r w:rsidR="003B2832">
          <w:rPr>
            <w:noProof/>
            <w:webHidden/>
          </w:rPr>
          <w:fldChar w:fldCharType="separate"/>
        </w:r>
        <w:r w:rsidR="00AA5AAC">
          <w:rPr>
            <w:noProof/>
            <w:webHidden/>
          </w:rPr>
          <w:t>134</w:t>
        </w:r>
        <w:r w:rsidR="003B2832">
          <w:rPr>
            <w:noProof/>
            <w:webHidden/>
          </w:rPr>
          <w:fldChar w:fldCharType="end"/>
        </w:r>
      </w:hyperlink>
    </w:p>
    <w:p w14:paraId="7E6BD57F" w14:textId="27A0D655" w:rsidR="003B2832" w:rsidRDefault="002C1A5C">
      <w:pPr>
        <w:pStyle w:val="TOC3"/>
        <w:tabs>
          <w:tab w:val="right" w:leader="dot" w:pos="9350"/>
        </w:tabs>
        <w:rPr>
          <w:rFonts w:asciiTheme="minorHAnsi" w:eastAsiaTheme="minorEastAsia" w:hAnsiTheme="minorHAnsi"/>
          <w:noProof/>
          <w:sz w:val="22"/>
        </w:rPr>
      </w:pPr>
      <w:hyperlink w:anchor="_Toc102586277" w:history="1">
        <w:r w:rsidR="003B2832" w:rsidRPr="00CE6351">
          <w:rPr>
            <w:rStyle w:val="Hyperlink"/>
            <w:noProof/>
          </w:rPr>
          <w:t>3.3.5 Exploring the enamine reactivity of compound 3.41.</w:t>
        </w:r>
        <w:r w:rsidR="003B2832">
          <w:rPr>
            <w:noProof/>
            <w:webHidden/>
          </w:rPr>
          <w:tab/>
        </w:r>
        <w:r w:rsidR="003B2832">
          <w:rPr>
            <w:noProof/>
            <w:webHidden/>
          </w:rPr>
          <w:fldChar w:fldCharType="begin"/>
        </w:r>
        <w:r w:rsidR="003B2832">
          <w:rPr>
            <w:noProof/>
            <w:webHidden/>
          </w:rPr>
          <w:instrText xml:space="preserve"> PAGEREF _Toc102586277 \h </w:instrText>
        </w:r>
        <w:r w:rsidR="003B2832">
          <w:rPr>
            <w:noProof/>
            <w:webHidden/>
          </w:rPr>
        </w:r>
        <w:r w:rsidR="003B2832">
          <w:rPr>
            <w:noProof/>
            <w:webHidden/>
          </w:rPr>
          <w:fldChar w:fldCharType="separate"/>
        </w:r>
        <w:r w:rsidR="00AA5AAC">
          <w:rPr>
            <w:noProof/>
            <w:webHidden/>
          </w:rPr>
          <w:t>137</w:t>
        </w:r>
        <w:r w:rsidR="003B2832">
          <w:rPr>
            <w:noProof/>
            <w:webHidden/>
          </w:rPr>
          <w:fldChar w:fldCharType="end"/>
        </w:r>
      </w:hyperlink>
    </w:p>
    <w:p w14:paraId="09EA533D" w14:textId="42FE3F89" w:rsidR="003B2832" w:rsidRDefault="002C1A5C">
      <w:pPr>
        <w:pStyle w:val="TOC3"/>
        <w:tabs>
          <w:tab w:val="right" w:leader="dot" w:pos="9350"/>
        </w:tabs>
        <w:rPr>
          <w:rFonts w:asciiTheme="minorHAnsi" w:eastAsiaTheme="minorEastAsia" w:hAnsiTheme="minorHAnsi"/>
          <w:noProof/>
          <w:sz w:val="22"/>
        </w:rPr>
      </w:pPr>
      <w:hyperlink w:anchor="_Toc102586278" w:history="1">
        <w:r w:rsidR="003B2832" w:rsidRPr="00CE6351">
          <w:rPr>
            <w:rStyle w:val="Hyperlink"/>
            <w:noProof/>
          </w:rPr>
          <w:t>3.3.6 Discovery and structural characterization of compound 3.44.</w:t>
        </w:r>
        <w:r w:rsidR="003B2832">
          <w:rPr>
            <w:noProof/>
            <w:webHidden/>
          </w:rPr>
          <w:tab/>
        </w:r>
        <w:r w:rsidR="003B2832">
          <w:rPr>
            <w:noProof/>
            <w:webHidden/>
          </w:rPr>
          <w:fldChar w:fldCharType="begin"/>
        </w:r>
        <w:r w:rsidR="003B2832">
          <w:rPr>
            <w:noProof/>
            <w:webHidden/>
          </w:rPr>
          <w:instrText xml:space="preserve"> PAGEREF _Toc102586278 \h </w:instrText>
        </w:r>
        <w:r w:rsidR="003B2832">
          <w:rPr>
            <w:noProof/>
            <w:webHidden/>
          </w:rPr>
        </w:r>
        <w:r w:rsidR="003B2832">
          <w:rPr>
            <w:noProof/>
            <w:webHidden/>
          </w:rPr>
          <w:fldChar w:fldCharType="separate"/>
        </w:r>
        <w:r w:rsidR="00AA5AAC">
          <w:rPr>
            <w:noProof/>
            <w:webHidden/>
          </w:rPr>
          <w:t>144</w:t>
        </w:r>
        <w:r w:rsidR="003B2832">
          <w:rPr>
            <w:noProof/>
            <w:webHidden/>
          </w:rPr>
          <w:fldChar w:fldCharType="end"/>
        </w:r>
      </w:hyperlink>
    </w:p>
    <w:p w14:paraId="7D88066D" w14:textId="3A6DDF1A" w:rsidR="003B2832" w:rsidRDefault="002C1A5C">
      <w:pPr>
        <w:pStyle w:val="TOC2"/>
        <w:tabs>
          <w:tab w:val="right" w:leader="dot" w:pos="9350"/>
        </w:tabs>
        <w:rPr>
          <w:rFonts w:asciiTheme="minorHAnsi" w:eastAsiaTheme="minorEastAsia" w:hAnsiTheme="minorHAnsi"/>
          <w:noProof/>
          <w:sz w:val="22"/>
        </w:rPr>
      </w:pPr>
      <w:hyperlink w:anchor="_Toc102586279" w:history="1">
        <w:r w:rsidR="003B2832" w:rsidRPr="00CE6351">
          <w:rPr>
            <w:rStyle w:val="Hyperlink"/>
            <w:noProof/>
          </w:rPr>
          <w:t>3.4 Results and discussion for Approach 2</w:t>
        </w:r>
        <w:r w:rsidR="003B2832">
          <w:rPr>
            <w:noProof/>
            <w:webHidden/>
          </w:rPr>
          <w:tab/>
        </w:r>
        <w:r w:rsidR="003B2832">
          <w:rPr>
            <w:noProof/>
            <w:webHidden/>
          </w:rPr>
          <w:fldChar w:fldCharType="begin"/>
        </w:r>
        <w:r w:rsidR="003B2832">
          <w:rPr>
            <w:noProof/>
            <w:webHidden/>
          </w:rPr>
          <w:instrText xml:space="preserve"> PAGEREF _Toc102586279 \h </w:instrText>
        </w:r>
        <w:r w:rsidR="003B2832">
          <w:rPr>
            <w:noProof/>
            <w:webHidden/>
          </w:rPr>
        </w:r>
        <w:r w:rsidR="003B2832">
          <w:rPr>
            <w:noProof/>
            <w:webHidden/>
          </w:rPr>
          <w:fldChar w:fldCharType="separate"/>
        </w:r>
        <w:r w:rsidR="00AA5AAC">
          <w:rPr>
            <w:noProof/>
            <w:webHidden/>
          </w:rPr>
          <w:t>150</w:t>
        </w:r>
        <w:r w:rsidR="003B2832">
          <w:rPr>
            <w:noProof/>
            <w:webHidden/>
          </w:rPr>
          <w:fldChar w:fldCharType="end"/>
        </w:r>
      </w:hyperlink>
    </w:p>
    <w:p w14:paraId="666B776F" w14:textId="4B45FE00" w:rsidR="003B2832" w:rsidRDefault="002C1A5C">
      <w:pPr>
        <w:pStyle w:val="TOC3"/>
        <w:tabs>
          <w:tab w:val="right" w:leader="dot" w:pos="9350"/>
        </w:tabs>
        <w:rPr>
          <w:rFonts w:asciiTheme="minorHAnsi" w:eastAsiaTheme="minorEastAsia" w:hAnsiTheme="minorHAnsi"/>
          <w:noProof/>
          <w:sz w:val="22"/>
        </w:rPr>
      </w:pPr>
      <w:hyperlink w:anchor="_Toc102586280" w:history="1">
        <w:r w:rsidR="003B2832" w:rsidRPr="00CE6351">
          <w:rPr>
            <w:rStyle w:val="Hyperlink"/>
            <w:noProof/>
          </w:rPr>
          <w:t>3.4.1 A preliminary study on β-carboline functionalization, with inspiration from pyridine chemistry.</w:t>
        </w:r>
        <w:r w:rsidR="003B2832">
          <w:rPr>
            <w:noProof/>
            <w:webHidden/>
          </w:rPr>
          <w:tab/>
        </w:r>
        <w:r w:rsidR="003B2832">
          <w:rPr>
            <w:noProof/>
            <w:webHidden/>
          </w:rPr>
          <w:fldChar w:fldCharType="begin"/>
        </w:r>
        <w:r w:rsidR="003B2832">
          <w:rPr>
            <w:noProof/>
            <w:webHidden/>
          </w:rPr>
          <w:instrText xml:space="preserve"> PAGEREF _Toc102586280 \h </w:instrText>
        </w:r>
        <w:r w:rsidR="003B2832">
          <w:rPr>
            <w:noProof/>
            <w:webHidden/>
          </w:rPr>
        </w:r>
        <w:r w:rsidR="003B2832">
          <w:rPr>
            <w:noProof/>
            <w:webHidden/>
          </w:rPr>
          <w:fldChar w:fldCharType="separate"/>
        </w:r>
        <w:r w:rsidR="00AA5AAC">
          <w:rPr>
            <w:noProof/>
            <w:webHidden/>
          </w:rPr>
          <w:t>150</w:t>
        </w:r>
        <w:r w:rsidR="003B2832">
          <w:rPr>
            <w:noProof/>
            <w:webHidden/>
          </w:rPr>
          <w:fldChar w:fldCharType="end"/>
        </w:r>
      </w:hyperlink>
    </w:p>
    <w:p w14:paraId="43D1D6A2" w14:textId="225CAC30" w:rsidR="003B2832" w:rsidRDefault="002C1A5C">
      <w:pPr>
        <w:pStyle w:val="TOC3"/>
        <w:tabs>
          <w:tab w:val="right" w:leader="dot" w:pos="9350"/>
        </w:tabs>
        <w:rPr>
          <w:rFonts w:asciiTheme="minorHAnsi" w:eastAsiaTheme="minorEastAsia" w:hAnsiTheme="minorHAnsi"/>
          <w:noProof/>
          <w:sz w:val="22"/>
        </w:rPr>
      </w:pPr>
      <w:hyperlink w:anchor="_Toc102586281" w:history="1">
        <w:r w:rsidR="003B2832" w:rsidRPr="00CE6351">
          <w:rPr>
            <w:rStyle w:val="Hyperlink"/>
            <w:noProof/>
          </w:rPr>
          <w:t>3.4.2 Discussion on the products of β-carboline substitution reactions.</w:t>
        </w:r>
        <w:r w:rsidR="003B2832">
          <w:rPr>
            <w:noProof/>
            <w:webHidden/>
          </w:rPr>
          <w:tab/>
        </w:r>
        <w:r w:rsidR="003B2832">
          <w:rPr>
            <w:noProof/>
            <w:webHidden/>
          </w:rPr>
          <w:fldChar w:fldCharType="begin"/>
        </w:r>
        <w:r w:rsidR="003B2832">
          <w:rPr>
            <w:noProof/>
            <w:webHidden/>
          </w:rPr>
          <w:instrText xml:space="preserve"> PAGEREF _Toc102586281 \h </w:instrText>
        </w:r>
        <w:r w:rsidR="003B2832">
          <w:rPr>
            <w:noProof/>
            <w:webHidden/>
          </w:rPr>
        </w:r>
        <w:r w:rsidR="003B2832">
          <w:rPr>
            <w:noProof/>
            <w:webHidden/>
          </w:rPr>
          <w:fldChar w:fldCharType="separate"/>
        </w:r>
        <w:r w:rsidR="00AA5AAC">
          <w:rPr>
            <w:noProof/>
            <w:webHidden/>
          </w:rPr>
          <w:t>153</w:t>
        </w:r>
        <w:r w:rsidR="003B2832">
          <w:rPr>
            <w:noProof/>
            <w:webHidden/>
          </w:rPr>
          <w:fldChar w:fldCharType="end"/>
        </w:r>
      </w:hyperlink>
    </w:p>
    <w:p w14:paraId="6423E19C" w14:textId="2447C5E6" w:rsidR="003B2832" w:rsidRDefault="002C1A5C">
      <w:pPr>
        <w:pStyle w:val="TOC2"/>
        <w:tabs>
          <w:tab w:val="right" w:leader="dot" w:pos="9350"/>
        </w:tabs>
        <w:rPr>
          <w:rFonts w:asciiTheme="minorHAnsi" w:eastAsiaTheme="minorEastAsia" w:hAnsiTheme="minorHAnsi"/>
          <w:noProof/>
          <w:sz w:val="22"/>
        </w:rPr>
      </w:pPr>
      <w:hyperlink w:anchor="_Toc102586282" w:history="1">
        <w:r w:rsidR="003B2832" w:rsidRPr="00CE6351">
          <w:rPr>
            <w:rStyle w:val="Hyperlink"/>
            <w:noProof/>
          </w:rPr>
          <w:t>3.5 Conclusions and future directions</w:t>
        </w:r>
        <w:r w:rsidR="003B2832">
          <w:rPr>
            <w:noProof/>
            <w:webHidden/>
          </w:rPr>
          <w:tab/>
        </w:r>
        <w:r w:rsidR="003B2832">
          <w:rPr>
            <w:noProof/>
            <w:webHidden/>
          </w:rPr>
          <w:fldChar w:fldCharType="begin"/>
        </w:r>
        <w:r w:rsidR="003B2832">
          <w:rPr>
            <w:noProof/>
            <w:webHidden/>
          </w:rPr>
          <w:instrText xml:space="preserve"> PAGEREF _Toc102586282 \h </w:instrText>
        </w:r>
        <w:r w:rsidR="003B2832">
          <w:rPr>
            <w:noProof/>
            <w:webHidden/>
          </w:rPr>
        </w:r>
        <w:r w:rsidR="003B2832">
          <w:rPr>
            <w:noProof/>
            <w:webHidden/>
          </w:rPr>
          <w:fldChar w:fldCharType="separate"/>
        </w:r>
        <w:r w:rsidR="00AA5AAC">
          <w:rPr>
            <w:noProof/>
            <w:webHidden/>
          </w:rPr>
          <w:t>155</w:t>
        </w:r>
        <w:r w:rsidR="003B2832">
          <w:rPr>
            <w:noProof/>
            <w:webHidden/>
          </w:rPr>
          <w:fldChar w:fldCharType="end"/>
        </w:r>
      </w:hyperlink>
    </w:p>
    <w:p w14:paraId="4F9318EE" w14:textId="723D2F78" w:rsidR="003B2832" w:rsidRDefault="002C1A5C">
      <w:pPr>
        <w:pStyle w:val="TOC3"/>
        <w:tabs>
          <w:tab w:val="right" w:leader="dot" w:pos="9350"/>
        </w:tabs>
        <w:rPr>
          <w:rFonts w:asciiTheme="minorHAnsi" w:eastAsiaTheme="minorEastAsia" w:hAnsiTheme="minorHAnsi"/>
          <w:noProof/>
          <w:sz w:val="22"/>
        </w:rPr>
      </w:pPr>
      <w:hyperlink w:anchor="_Toc102586283" w:history="1">
        <w:r w:rsidR="003B2832" w:rsidRPr="00CE6351">
          <w:rPr>
            <w:rStyle w:val="Hyperlink"/>
            <w:noProof/>
          </w:rPr>
          <w:t xml:space="preserve">3.5.1 Six new </w:t>
        </w:r>
        <w:r w:rsidR="003B2832" w:rsidRPr="00CE6351">
          <w:rPr>
            <w:rStyle w:val="Hyperlink"/>
            <w:i/>
            <w:iCs/>
            <w:noProof/>
          </w:rPr>
          <w:t>Picrasma</w:t>
        </w:r>
        <w:r w:rsidR="003B2832" w:rsidRPr="00CE6351">
          <w:rPr>
            <w:rStyle w:val="Hyperlink"/>
            <w:noProof/>
          </w:rPr>
          <w:t xml:space="preserve"> alkaloid analogues were synthesized.</w:t>
        </w:r>
        <w:r w:rsidR="003B2832">
          <w:rPr>
            <w:noProof/>
            <w:webHidden/>
          </w:rPr>
          <w:tab/>
        </w:r>
        <w:r w:rsidR="003B2832">
          <w:rPr>
            <w:noProof/>
            <w:webHidden/>
          </w:rPr>
          <w:fldChar w:fldCharType="begin"/>
        </w:r>
        <w:r w:rsidR="003B2832">
          <w:rPr>
            <w:noProof/>
            <w:webHidden/>
          </w:rPr>
          <w:instrText xml:space="preserve"> PAGEREF _Toc102586283 \h </w:instrText>
        </w:r>
        <w:r w:rsidR="003B2832">
          <w:rPr>
            <w:noProof/>
            <w:webHidden/>
          </w:rPr>
        </w:r>
        <w:r w:rsidR="003B2832">
          <w:rPr>
            <w:noProof/>
            <w:webHidden/>
          </w:rPr>
          <w:fldChar w:fldCharType="separate"/>
        </w:r>
        <w:r w:rsidR="00AA5AAC">
          <w:rPr>
            <w:noProof/>
            <w:webHidden/>
          </w:rPr>
          <w:t>155</w:t>
        </w:r>
        <w:r w:rsidR="003B2832">
          <w:rPr>
            <w:noProof/>
            <w:webHidden/>
          </w:rPr>
          <w:fldChar w:fldCharType="end"/>
        </w:r>
      </w:hyperlink>
    </w:p>
    <w:p w14:paraId="59303495" w14:textId="7A801B7A" w:rsidR="003B2832" w:rsidRDefault="002C1A5C">
      <w:pPr>
        <w:pStyle w:val="TOC3"/>
        <w:tabs>
          <w:tab w:val="right" w:leader="dot" w:pos="9350"/>
        </w:tabs>
        <w:rPr>
          <w:rFonts w:asciiTheme="minorHAnsi" w:eastAsiaTheme="minorEastAsia" w:hAnsiTheme="minorHAnsi"/>
          <w:noProof/>
          <w:sz w:val="22"/>
        </w:rPr>
      </w:pPr>
      <w:hyperlink w:anchor="_Toc102586284" w:history="1">
        <w:r w:rsidR="003B2832" w:rsidRPr="00CE6351">
          <w:rPr>
            <w:rStyle w:val="Hyperlink"/>
            <w:noProof/>
          </w:rPr>
          <w:t>3.5.2 A novel cascade reaction for access to indoloquinolizines was discovered.</w:t>
        </w:r>
        <w:r w:rsidR="003B2832">
          <w:rPr>
            <w:noProof/>
            <w:webHidden/>
          </w:rPr>
          <w:tab/>
        </w:r>
        <w:r w:rsidR="003B2832">
          <w:rPr>
            <w:noProof/>
            <w:webHidden/>
          </w:rPr>
          <w:fldChar w:fldCharType="begin"/>
        </w:r>
        <w:r w:rsidR="003B2832">
          <w:rPr>
            <w:noProof/>
            <w:webHidden/>
          </w:rPr>
          <w:instrText xml:space="preserve"> PAGEREF _Toc102586284 \h </w:instrText>
        </w:r>
        <w:r w:rsidR="003B2832">
          <w:rPr>
            <w:noProof/>
            <w:webHidden/>
          </w:rPr>
        </w:r>
        <w:r w:rsidR="003B2832">
          <w:rPr>
            <w:noProof/>
            <w:webHidden/>
          </w:rPr>
          <w:fldChar w:fldCharType="separate"/>
        </w:r>
        <w:r w:rsidR="00AA5AAC">
          <w:rPr>
            <w:noProof/>
            <w:webHidden/>
          </w:rPr>
          <w:t>156</w:t>
        </w:r>
        <w:r w:rsidR="003B2832">
          <w:rPr>
            <w:noProof/>
            <w:webHidden/>
          </w:rPr>
          <w:fldChar w:fldCharType="end"/>
        </w:r>
      </w:hyperlink>
    </w:p>
    <w:p w14:paraId="295E14F7" w14:textId="0244DAE9" w:rsidR="003B2832" w:rsidRDefault="002C1A5C">
      <w:pPr>
        <w:pStyle w:val="TOC3"/>
        <w:tabs>
          <w:tab w:val="right" w:leader="dot" w:pos="9350"/>
        </w:tabs>
        <w:rPr>
          <w:rFonts w:asciiTheme="minorHAnsi" w:eastAsiaTheme="minorEastAsia" w:hAnsiTheme="minorHAnsi"/>
          <w:noProof/>
          <w:sz w:val="22"/>
        </w:rPr>
      </w:pPr>
      <w:hyperlink w:anchor="_Toc102586285" w:history="1">
        <w:r w:rsidR="003B2832" w:rsidRPr="00CE6351">
          <w:rPr>
            <w:rStyle w:val="Hyperlink"/>
            <w:noProof/>
          </w:rPr>
          <w:t>3.5.3 Complex pentacyclic ring system was synthesized from enamine 3.41 and DDQ.</w:t>
        </w:r>
        <w:r w:rsidR="003B2832">
          <w:rPr>
            <w:noProof/>
            <w:webHidden/>
          </w:rPr>
          <w:tab/>
        </w:r>
        <w:r w:rsidR="003B2832">
          <w:rPr>
            <w:noProof/>
            <w:webHidden/>
          </w:rPr>
          <w:fldChar w:fldCharType="begin"/>
        </w:r>
        <w:r w:rsidR="003B2832">
          <w:rPr>
            <w:noProof/>
            <w:webHidden/>
          </w:rPr>
          <w:instrText xml:space="preserve"> PAGEREF _Toc102586285 \h </w:instrText>
        </w:r>
        <w:r w:rsidR="003B2832">
          <w:rPr>
            <w:noProof/>
            <w:webHidden/>
          </w:rPr>
        </w:r>
        <w:r w:rsidR="003B2832">
          <w:rPr>
            <w:noProof/>
            <w:webHidden/>
          </w:rPr>
          <w:fldChar w:fldCharType="separate"/>
        </w:r>
        <w:r w:rsidR="00AA5AAC">
          <w:rPr>
            <w:noProof/>
            <w:webHidden/>
          </w:rPr>
          <w:t>157</w:t>
        </w:r>
        <w:r w:rsidR="003B2832">
          <w:rPr>
            <w:noProof/>
            <w:webHidden/>
          </w:rPr>
          <w:fldChar w:fldCharType="end"/>
        </w:r>
      </w:hyperlink>
    </w:p>
    <w:p w14:paraId="19572398" w14:textId="4F182F57" w:rsidR="003B2832" w:rsidRDefault="002C1A5C">
      <w:pPr>
        <w:pStyle w:val="TOC3"/>
        <w:tabs>
          <w:tab w:val="right" w:leader="dot" w:pos="9350"/>
        </w:tabs>
        <w:rPr>
          <w:rFonts w:asciiTheme="minorHAnsi" w:eastAsiaTheme="minorEastAsia" w:hAnsiTheme="minorHAnsi"/>
          <w:noProof/>
          <w:sz w:val="22"/>
        </w:rPr>
      </w:pPr>
      <w:hyperlink w:anchor="_Toc102586286" w:history="1">
        <w:r w:rsidR="003B2832" w:rsidRPr="00CE6351">
          <w:rPr>
            <w:rStyle w:val="Hyperlink"/>
            <w:noProof/>
          </w:rPr>
          <w:t>3.5.4 Approach 2 provides preliminary studies for developing methodology for the direct functionalization of β-carbolines.</w:t>
        </w:r>
        <w:r w:rsidR="003B2832">
          <w:rPr>
            <w:noProof/>
            <w:webHidden/>
          </w:rPr>
          <w:tab/>
        </w:r>
        <w:r w:rsidR="003B2832">
          <w:rPr>
            <w:noProof/>
            <w:webHidden/>
          </w:rPr>
          <w:fldChar w:fldCharType="begin"/>
        </w:r>
        <w:r w:rsidR="003B2832">
          <w:rPr>
            <w:noProof/>
            <w:webHidden/>
          </w:rPr>
          <w:instrText xml:space="preserve"> PAGEREF _Toc102586286 \h </w:instrText>
        </w:r>
        <w:r w:rsidR="003B2832">
          <w:rPr>
            <w:noProof/>
            <w:webHidden/>
          </w:rPr>
        </w:r>
        <w:r w:rsidR="003B2832">
          <w:rPr>
            <w:noProof/>
            <w:webHidden/>
          </w:rPr>
          <w:fldChar w:fldCharType="separate"/>
        </w:r>
        <w:r w:rsidR="00AA5AAC">
          <w:rPr>
            <w:noProof/>
            <w:webHidden/>
          </w:rPr>
          <w:t>158</w:t>
        </w:r>
        <w:r w:rsidR="003B2832">
          <w:rPr>
            <w:noProof/>
            <w:webHidden/>
          </w:rPr>
          <w:fldChar w:fldCharType="end"/>
        </w:r>
      </w:hyperlink>
    </w:p>
    <w:p w14:paraId="3EFD4C38" w14:textId="542E9F52" w:rsidR="003B2832" w:rsidRDefault="002C1A5C">
      <w:pPr>
        <w:pStyle w:val="TOC2"/>
        <w:tabs>
          <w:tab w:val="right" w:leader="dot" w:pos="9350"/>
        </w:tabs>
        <w:rPr>
          <w:rFonts w:asciiTheme="minorHAnsi" w:eastAsiaTheme="minorEastAsia" w:hAnsiTheme="minorHAnsi"/>
          <w:noProof/>
          <w:sz w:val="22"/>
        </w:rPr>
      </w:pPr>
      <w:hyperlink w:anchor="_Toc102586287" w:history="1">
        <w:r w:rsidR="003B2832" w:rsidRPr="00CE6351">
          <w:rPr>
            <w:rStyle w:val="Hyperlink"/>
            <w:noProof/>
          </w:rPr>
          <w:t>3.6 Experimental</w:t>
        </w:r>
        <w:r w:rsidR="003B2832">
          <w:rPr>
            <w:noProof/>
            <w:webHidden/>
          </w:rPr>
          <w:tab/>
        </w:r>
        <w:r w:rsidR="003B2832">
          <w:rPr>
            <w:noProof/>
            <w:webHidden/>
          </w:rPr>
          <w:fldChar w:fldCharType="begin"/>
        </w:r>
        <w:r w:rsidR="003B2832">
          <w:rPr>
            <w:noProof/>
            <w:webHidden/>
          </w:rPr>
          <w:instrText xml:space="preserve"> PAGEREF _Toc102586287 \h </w:instrText>
        </w:r>
        <w:r w:rsidR="003B2832">
          <w:rPr>
            <w:noProof/>
            <w:webHidden/>
          </w:rPr>
        </w:r>
        <w:r w:rsidR="003B2832">
          <w:rPr>
            <w:noProof/>
            <w:webHidden/>
          </w:rPr>
          <w:fldChar w:fldCharType="separate"/>
        </w:r>
        <w:r w:rsidR="00AA5AAC">
          <w:rPr>
            <w:noProof/>
            <w:webHidden/>
          </w:rPr>
          <w:t>160</w:t>
        </w:r>
        <w:r w:rsidR="003B2832">
          <w:rPr>
            <w:noProof/>
            <w:webHidden/>
          </w:rPr>
          <w:fldChar w:fldCharType="end"/>
        </w:r>
      </w:hyperlink>
    </w:p>
    <w:p w14:paraId="1661DD8F" w14:textId="570E56C6" w:rsidR="003B2832" w:rsidRDefault="002C1A5C">
      <w:pPr>
        <w:pStyle w:val="TOC3"/>
        <w:tabs>
          <w:tab w:val="right" w:leader="dot" w:pos="9350"/>
        </w:tabs>
        <w:rPr>
          <w:rFonts w:asciiTheme="minorHAnsi" w:eastAsiaTheme="minorEastAsia" w:hAnsiTheme="minorHAnsi"/>
          <w:noProof/>
          <w:sz w:val="22"/>
        </w:rPr>
      </w:pPr>
      <w:hyperlink w:anchor="_Toc102586288" w:history="1">
        <w:r w:rsidR="003B2832" w:rsidRPr="00CE6351">
          <w:rPr>
            <w:rStyle w:val="Hyperlink"/>
            <w:noProof/>
          </w:rPr>
          <w:t>3.6.1 General chemistry methods</w:t>
        </w:r>
        <w:r w:rsidR="003B2832">
          <w:rPr>
            <w:noProof/>
            <w:webHidden/>
          </w:rPr>
          <w:tab/>
        </w:r>
        <w:r w:rsidR="003B2832">
          <w:rPr>
            <w:noProof/>
            <w:webHidden/>
          </w:rPr>
          <w:fldChar w:fldCharType="begin"/>
        </w:r>
        <w:r w:rsidR="003B2832">
          <w:rPr>
            <w:noProof/>
            <w:webHidden/>
          </w:rPr>
          <w:instrText xml:space="preserve"> PAGEREF _Toc102586288 \h </w:instrText>
        </w:r>
        <w:r w:rsidR="003B2832">
          <w:rPr>
            <w:noProof/>
            <w:webHidden/>
          </w:rPr>
        </w:r>
        <w:r w:rsidR="003B2832">
          <w:rPr>
            <w:noProof/>
            <w:webHidden/>
          </w:rPr>
          <w:fldChar w:fldCharType="separate"/>
        </w:r>
        <w:r w:rsidR="00AA5AAC">
          <w:rPr>
            <w:noProof/>
            <w:webHidden/>
          </w:rPr>
          <w:t>160</w:t>
        </w:r>
        <w:r w:rsidR="003B2832">
          <w:rPr>
            <w:noProof/>
            <w:webHidden/>
          </w:rPr>
          <w:fldChar w:fldCharType="end"/>
        </w:r>
      </w:hyperlink>
    </w:p>
    <w:p w14:paraId="437D68ED" w14:textId="66A0C5A1" w:rsidR="003B2832" w:rsidRDefault="002C1A5C">
      <w:pPr>
        <w:pStyle w:val="TOC3"/>
        <w:tabs>
          <w:tab w:val="right" w:leader="dot" w:pos="9350"/>
        </w:tabs>
        <w:rPr>
          <w:rFonts w:asciiTheme="minorHAnsi" w:eastAsiaTheme="minorEastAsia" w:hAnsiTheme="minorHAnsi"/>
          <w:noProof/>
          <w:sz w:val="22"/>
        </w:rPr>
      </w:pPr>
      <w:hyperlink w:anchor="_Toc102586289" w:history="1">
        <w:r w:rsidR="003B2832" w:rsidRPr="00CE6351">
          <w:rPr>
            <w:rStyle w:val="Hyperlink"/>
            <w:noProof/>
          </w:rPr>
          <w:t>3.6.2 Synthetic procedures for Approach 1.</w:t>
        </w:r>
        <w:r w:rsidR="003B2832">
          <w:rPr>
            <w:noProof/>
            <w:webHidden/>
          </w:rPr>
          <w:tab/>
        </w:r>
        <w:r w:rsidR="003B2832">
          <w:rPr>
            <w:noProof/>
            <w:webHidden/>
          </w:rPr>
          <w:fldChar w:fldCharType="begin"/>
        </w:r>
        <w:r w:rsidR="003B2832">
          <w:rPr>
            <w:noProof/>
            <w:webHidden/>
          </w:rPr>
          <w:instrText xml:space="preserve"> PAGEREF _Toc102586289 \h </w:instrText>
        </w:r>
        <w:r w:rsidR="003B2832">
          <w:rPr>
            <w:noProof/>
            <w:webHidden/>
          </w:rPr>
        </w:r>
        <w:r w:rsidR="003B2832">
          <w:rPr>
            <w:noProof/>
            <w:webHidden/>
          </w:rPr>
          <w:fldChar w:fldCharType="separate"/>
        </w:r>
        <w:r w:rsidR="00AA5AAC">
          <w:rPr>
            <w:noProof/>
            <w:webHidden/>
          </w:rPr>
          <w:t>161</w:t>
        </w:r>
        <w:r w:rsidR="003B2832">
          <w:rPr>
            <w:noProof/>
            <w:webHidden/>
          </w:rPr>
          <w:fldChar w:fldCharType="end"/>
        </w:r>
      </w:hyperlink>
    </w:p>
    <w:p w14:paraId="3D2F2BDB" w14:textId="36CB561E" w:rsidR="003B2832" w:rsidRDefault="002C1A5C">
      <w:pPr>
        <w:pStyle w:val="TOC3"/>
        <w:tabs>
          <w:tab w:val="right" w:leader="dot" w:pos="9350"/>
        </w:tabs>
        <w:rPr>
          <w:rFonts w:asciiTheme="minorHAnsi" w:eastAsiaTheme="minorEastAsia" w:hAnsiTheme="minorHAnsi"/>
          <w:noProof/>
          <w:sz w:val="22"/>
        </w:rPr>
      </w:pPr>
      <w:hyperlink w:anchor="_Toc102586290" w:history="1">
        <w:r w:rsidR="003B2832" w:rsidRPr="00CE6351">
          <w:rPr>
            <w:rStyle w:val="Hyperlink"/>
            <w:noProof/>
          </w:rPr>
          <w:t>3.6.3 Synthetic procedures for Approach 2.</w:t>
        </w:r>
        <w:r w:rsidR="003B2832">
          <w:rPr>
            <w:noProof/>
            <w:webHidden/>
          </w:rPr>
          <w:tab/>
        </w:r>
        <w:r w:rsidR="003B2832">
          <w:rPr>
            <w:noProof/>
            <w:webHidden/>
          </w:rPr>
          <w:fldChar w:fldCharType="begin"/>
        </w:r>
        <w:r w:rsidR="003B2832">
          <w:rPr>
            <w:noProof/>
            <w:webHidden/>
          </w:rPr>
          <w:instrText xml:space="preserve"> PAGEREF _Toc102586290 \h </w:instrText>
        </w:r>
        <w:r w:rsidR="003B2832">
          <w:rPr>
            <w:noProof/>
            <w:webHidden/>
          </w:rPr>
        </w:r>
        <w:r w:rsidR="003B2832">
          <w:rPr>
            <w:noProof/>
            <w:webHidden/>
          </w:rPr>
          <w:fldChar w:fldCharType="separate"/>
        </w:r>
        <w:r w:rsidR="00AA5AAC">
          <w:rPr>
            <w:noProof/>
            <w:webHidden/>
          </w:rPr>
          <w:t>167</w:t>
        </w:r>
        <w:r w:rsidR="003B2832">
          <w:rPr>
            <w:noProof/>
            <w:webHidden/>
          </w:rPr>
          <w:fldChar w:fldCharType="end"/>
        </w:r>
      </w:hyperlink>
    </w:p>
    <w:p w14:paraId="55B24FA4" w14:textId="5090EF01" w:rsidR="003B2832" w:rsidRDefault="002C1A5C">
      <w:pPr>
        <w:pStyle w:val="TOC2"/>
        <w:tabs>
          <w:tab w:val="right" w:leader="dot" w:pos="9350"/>
        </w:tabs>
        <w:rPr>
          <w:rFonts w:asciiTheme="minorHAnsi" w:eastAsiaTheme="minorEastAsia" w:hAnsiTheme="minorHAnsi"/>
          <w:noProof/>
          <w:sz w:val="22"/>
        </w:rPr>
      </w:pPr>
      <w:hyperlink w:anchor="_Toc102586291" w:history="1">
        <w:r w:rsidR="003B2832" w:rsidRPr="00CE6351">
          <w:rPr>
            <w:rStyle w:val="Hyperlink"/>
            <w:noProof/>
          </w:rPr>
          <w:t>3.7 References for Chapter 3</w:t>
        </w:r>
        <w:r w:rsidR="003B2832">
          <w:rPr>
            <w:noProof/>
            <w:webHidden/>
          </w:rPr>
          <w:tab/>
        </w:r>
        <w:r w:rsidR="003B2832">
          <w:rPr>
            <w:noProof/>
            <w:webHidden/>
          </w:rPr>
          <w:fldChar w:fldCharType="begin"/>
        </w:r>
        <w:r w:rsidR="003B2832">
          <w:rPr>
            <w:noProof/>
            <w:webHidden/>
          </w:rPr>
          <w:instrText xml:space="preserve"> PAGEREF _Toc102586291 \h </w:instrText>
        </w:r>
        <w:r w:rsidR="003B2832">
          <w:rPr>
            <w:noProof/>
            <w:webHidden/>
          </w:rPr>
        </w:r>
        <w:r w:rsidR="003B2832">
          <w:rPr>
            <w:noProof/>
            <w:webHidden/>
          </w:rPr>
          <w:fldChar w:fldCharType="separate"/>
        </w:r>
        <w:r w:rsidR="00AA5AAC">
          <w:rPr>
            <w:noProof/>
            <w:webHidden/>
          </w:rPr>
          <w:t>169</w:t>
        </w:r>
        <w:r w:rsidR="003B2832">
          <w:rPr>
            <w:noProof/>
            <w:webHidden/>
          </w:rPr>
          <w:fldChar w:fldCharType="end"/>
        </w:r>
      </w:hyperlink>
    </w:p>
    <w:p w14:paraId="34A633AD" w14:textId="7303216B" w:rsidR="003B2832" w:rsidRDefault="002C1A5C">
      <w:pPr>
        <w:pStyle w:val="TOC1"/>
        <w:rPr>
          <w:rFonts w:asciiTheme="minorHAnsi" w:eastAsiaTheme="minorEastAsia" w:hAnsiTheme="minorHAnsi"/>
          <w:b w:val="0"/>
          <w:bCs w:val="0"/>
          <w:noProof/>
          <w:sz w:val="22"/>
        </w:rPr>
      </w:pPr>
      <w:hyperlink w:anchor="_Toc102586292" w:history="1">
        <w:r w:rsidR="003B2832" w:rsidRPr="00CE6351">
          <w:rPr>
            <w:rStyle w:val="Hyperlink"/>
            <w:noProof/>
          </w:rPr>
          <w:t>Appendix II. Spectra Relevant to Chapter 3</w:t>
        </w:r>
        <w:r w:rsidR="003B2832">
          <w:rPr>
            <w:noProof/>
            <w:webHidden/>
          </w:rPr>
          <w:tab/>
        </w:r>
        <w:r w:rsidR="003B2832">
          <w:rPr>
            <w:noProof/>
            <w:webHidden/>
          </w:rPr>
          <w:fldChar w:fldCharType="begin"/>
        </w:r>
        <w:r w:rsidR="003B2832">
          <w:rPr>
            <w:noProof/>
            <w:webHidden/>
          </w:rPr>
          <w:instrText xml:space="preserve"> PAGEREF _Toc102586292 \h </w:instrText>
        </w:r>
        <w:r w:rsidR="003B2832">
          <w:rPr>
            <w:noProof/>
            <w:webHidden/>
          </w:rPr>
        </w:r>
        <w:r w:rsidR="003B2832">
          <w:rPr>
            <w:noProof/>
            <w:webHidden/>
          </w:rPr>
          <w:fldChar w:fldCharType="separate"/>
        </w:r>
        <w:r w:rsidR="00AA5AAC">
          <w:rPr>
            <w:noProof/>
            <w:webHidden/>
          </w:rPr>
          <w:t>185</w:t>
        </w:r>
        <w:r w:rsidR="003B2832">
          <w:rPr>
            <w:noProof/>
            <w:webHidden/>
          </w:rPr>
          <w:fldChar w:fldCharType="end"/>
        </w:r>
      </w:hyperlink>
    </w:p>
    <w:p w14:paraId="6719394E" w14:textId="7DA1B138" w:rsidR="003B2832" w:rsidRDefault="002C1A5C">
      <w:pPr>
        <w:pStyle w:val="TOC1"/>
        <w:rPr>
          <w:rFonts w:asciiTheme="minorHAnsi" w:eastAsiaTheme="minorEastAsia" w:hAnsiTheme="minorHAnsi"/>
          <w:b w:val="0"/>
          <w:bCs w:val="0"/>
          <w:noProof/>
          <w:sz w:val="22"/>
        </w:rPr>
      </w:pPr>
      <w:hyperlink w:anchor="_Toc102586293" w:history="1">
        <w:r w:rsidR="003B2832" w:rsidRPr="00CE6351">
          <w:rPr>
            <w:rStyle w:val="Hyperlink"/>
            <w:noProof/>
          </w:rPr>
          <w:t>Chapter 4: SARS-CoV-2 protease inhibitors</w:t>
        </w:r>
        <w:r w:rsidR="003B2832">
          <w:rPr>
            <w:noProof/>
            <w:webHidden/>
          </w:rPr>
          <w:tab/>
        </w:r>
        <w:r w:rsidR="003B2832">
          <w:rPr>
            <w:noProof/>
            <w:webHidden/>
          </w:rPr>
          <w:fldChar w:fldCharType="begin"/>
        </w:r>
        <w:r w:rsidR="003B2832">
          <w:rPr>
            <w:noProof/>
            <w:webHidden/>
          </w:rPr>
          <w:instrText xml:space="preserve"> PAGEREF _Toc102586293 \h </w:instrText>
        </w:r>
        <w:r w:rsidR="003B2832">
          <w:rPr>
            <w:noProof/>
            <w:webHidden/>
          </w:rPr>
        </w:r>
        <w:r w:rsidR="003B2832">
          <w:rPr>
            <w:noProof/>
            <w:webHidden/>
          </w:rPr>
          <w:fldChar w:fldCharType="separate"/>
        </w:r>
        <w:r w:rsidR="00AA5AAC">
          <w:rPr>
            <w:noProof/>
            <w:webHidden/>
          </w:rPr>
          <w:t>200</w:t>
        </w:r>
        <w:r w:rsidR="003B2832">
          <w:rPr>
            <w:noProof/>
            <w:webHidden/>
          </w:rPr>
          <w:fldChar w:fldCharType="end"/>
        </w:r>
      </w:hyperlink>
    </w:p>
    <w:p w14:paraId="4DB84DC9" w14:textId="2EF61556" w:rsidR="003B2832" w:rsidRDefault="002C1A5C">
      <w:pPr>
        <w:pStyle w:val="TOC2"/>
        <w:tabs>
          <w:tab w:val="right" w:leader="dot" w:pos="9350"/>
        </w:tabs>
        <w:rPr>
          <w:rFonts w:asciiTheme="minorHAnsi" w:eastAsiaTheme="minorEastAsia" w:hAnsiTheme="minorHAnsi"/>
          <w:noProof/>
          <w:sz w:val="22"/>
        </w:rPr>
      </w:pPr>
      <w:hyperlink w:anchor="_Toc102586294" w:history="1">
        <w:r w:rsidR="003B2832" w:rsidRPr="00CE6351">
          <w:rPr>
            <w:rStyle w:val="Hyperlink"/>
            <w:noProof/>
          </w:rPr>
          <w:t>4.1 Introduction</w:t>
        </w:r>
        <w:r w:rsidR="003B2832">
          <w:rPr>
            <w:noProof/>
            <w:webHidden/>
          </w:rPr>
          <w:tab/>
        </w:r>
        <w:r w:rsidR="003B2832">
          <w:rPr>
            <w:noProof/>
            <w:webHidden/>
          </w:rPr>
          <w:fldChar w:fldCharType="begin"/>
        </w:r>
        <w:r w:rsidR="003B2832">
          <w:rPr>
            <w:noProof/>
            <w:webHidden/>
          </w:rPr>
          <w:instrText xml:space="preserve"> PAGEREF _Toc102586294 \h </w:instrText>
        </w:r>
        <w:r w:rsidR="003B2832">
          <w:rPr>
            <w:noProof/>
            <w:webHidden/>
          </w:rPr>
        </w:r>
        <w:r w:rsidR="003B2832">
          <w:rPr>
            <w:noProof/>
            <w:webHidden/>
          </w:rPr>
          <w:fldChar w:fldCharType="separate"/>
        </w:r>
        <w:r w:rsidR="00AA5AAC">
          <w:rPr>
            <w:noProof/>
            <w:webHidden/>
          </w:rPr>
          <w:t>201</w:t>
        </w:r>
        <w:r w:rsidR="003B2832">
          <w:rPr>
            <w:noProof/>
            <w:webHidden/>
          </w:rPr>
          <w:fldChar w:fldCharType="end"/>
        </w:r>
      </w:hyperlink>
    </w:p>
    <w:p w14:paraId="328CF9CD" w14:textId="7DAAB7BC" w:rsidR="003B2832" w:rsidRDefault="002C1A5C">
      <w:pPr>
        <w:pStyle w:val="TOC3"/>
        <w:tabs>
          <w:tab w:val="right" w:leader="dot" w:pos="9350"/>
        </w:tabs>
        <w:rPr>
          <w:rFonts w:asciiTheme="minorHAnsi" w:eastAsiaTheme="minorEastAsia" w:hAnsiTheme="minorHAnsi"/>
          <w:noProof/>
          <w:sz w:val="22"/>
        </w:rPr>
      </w:pPr>
      <w:hyperlink w:anchor="_Toc102586295" w:history="1">
        <w:r w:rsidR="003B2832" w:rsidRPr="00CE6351">
          <w:rPr>
            <w:rStyle w:val="Hyperlink"/>
            <w:noProof/>
          </w:rPr>
          <w:t>4.1.1 SARS-CoV-2 and the COVID-19 global pandemic.</w:t>
        </w:r>
        <w:r w:rsidR="003B2832">
          <w:rPr>
            <w:noProof/>
            <w:webHidden/>
          </w:rPr>
          <w:tab/>
        </w:r>
        <w:r w:rsidR="003B2832">
          <w:rPr>
            <w:noProof/>
            <w:webHidden/>
          </w:rPr>
          <w:fldChar w:fldCharType="begin"/>
        </w:r>
        <w:r w:rsidR="003B2832">
          <w:rPr>
            <w:noProof/>
            <w:webHidden/>
          </w:rPr>
          <w:instrText xml:space="preserve"> PAGEREF _Toc102586295 \h </w:instrText>
        </w:r>
        <w:r w:rsidR="003B2832">
          <w:rPr>
            <w:noProof/>
            <w:webHidden/>
          </w:rPr>
        </w:r>
        <w:r w:rsidR="003B2832">
          <w:rPr>
            <w:noProof/>
            <w:webHidden/>
          </w:rPr>
          <w:fldChar w:fldCharType="separate"/>
        </w:r>
        <w:r w:rsidR="00AA5AAC">
          <w:rPr>
            <w:noProof/>
            <w:webHidden/>
          </w:rPr>
          <w:t>201</w:t>
        </w:r>
        <w:r w:rsidR="003B2832">
          <w:rPr>
            <w:noProof/>
            <w:webHidden/>
          </w:rPr>
          <w:fldChar w:fldCharType="end"/>
        </w:r>
      </w:hyperlink>
    </w:p>
    <w:p w14:paraId="655808E2" w14:textId="54E0F2BA" w:rsidR="003B2832" w:rsidRDefault="002C1A5C">
      <w:pPr>
        <w:pStyle w:val="TOC3"/>
        <w:tabs>
          <w:tab w:val="right" w:leader="dot" w:pos="9350"/>
        </w:tabs>
        <w:rPr>
          <w:rFonts w:asciiTheme="minorHAnsi" w:eastAsiaTheme="minorEastAsia" w:hAnsiTheme="minorHAnsi"/>
          <w:noProof/>
          <w:sz w:val="22"/>
        </w:rPr>
      </w:pPr>
      <w:hyperlink w:anchor="_Toc102586296" w:history="1">
        <w:r w:rsidR="003B2832" w:rsidRPr="00CE6351">
          <w:rPr>
            <w:rStyle w:val="Hyperlink"/>
            <w:noProof/>
          </w:rPr>
          <w:t>4.1.2 Learning from older coronaviruses: potential antiviral targets.</w:t>
        </w:r>
        <w:r w:rsidR="003B2832">
          <w:rPr>
            <w:noProof/>
            <w:webHidden/>
          </w:rPr>
          <w:tab/>
        </w:r>
        <w:r w:rsidR="003B2832">
          <w:rPr>
            <w:noProof/>
            <w:webHidden/>
          </w:rPr>
          <w:fldChar w:fldCharType="begin"/>
        </w:r>
        <w:r w:rsidR="003B2832">
          <w:rPr>
            <w:noProof/>
            <w:webHidden/>
          </w:rPr>
          <w:instrText xml:space="preserve"> PAGEREF _Toc102586296 \h </w:instrText>
        </w:r>
        <w:r w:rsidR="003B2832">
          <w:rPr>
            <w:noProof/>
            <w:webHidden/>
          </w:rPr>
        </w:r>
        <w:r w:rsidR="003B2832">
          <w:rPr>
            <w:noProof/>
            <w:webHidden/>
          </w:rPr>
          <w:fldChar w:fldCharType="separate"/>
        </w:r>
        <w:r w:rsidR="00AA5AAC">
          <w:rPr>
            <w:noProof/>
            <w:webHidden/>
          </w:rPr>
          <w:t>203</w:t>
        </w:r>
        <w:r w:rsidR="003B2832">
          <w:rPr>
            <w:noProof/>
            <w:webHidden/>
          </w:rPr>
          <w:fldChar w:fldCharType="end"/>
        </w:r>
      </w:hyperlink>
    </w:p>
    <w:p w14:paraId="7D59B704" w14:textId="4D96B76C" w:rsidR="003B2832" w:rsidRDefault="002C1A5C">
      <w:pPr>
        <w:pStyle w:val="TOC2"/>
        <w:tabs>
          <w:tab w:val="right" w:leader="dot" w:pos="9350"/>
        </w:tabs>
        <w:rPr>
          <w:rFonts w:asciiTheme="minorHAnsi" w:eastAsiaTheme="minorEastAsia" w:hAnsiTheme="minorHAnsi"/>
          <w:noProof/>
          <w:sz w:val="22"/>
        </w:rPr>
      </w:pPr>
      <w:hyperlink w:anchor="_Toc102586297" w:history="1">
        <w:r w:rsidR="003B2832" w:rsidRPr="00CE6351">
          <w:rPr>
            <w:rStyle w:val="Hyperlink"/>
            <w:noProof/>
          </w:rPr>
          <w:t>4.2 Results and discussion</w:t>
        </w:r>
        <w:r w:rsidR="003B2832">
          <w:rPr>
            <w:noProof/>
            <w:webHidden/>
          </w:rPr>
          <w:tab/>
        </w:r>
        <w:r w:rsidR="003B2832">
          <w:rPr>
            <w:noProof/>
            <w:webHidden/>
          </w:rPr>
          <w:fldChar w:fldCharType="begin"/>
        </w:r>
        <w:r w:rsidR="003B2832">
          <w:rPr>
            <w:noProof/>
            <w:webHidden/>
          </w:rPr>
          <w:instrText xml:space="preserve"> PAGEREF _Toc102586297 \h </w:instrText>
        </w:r>
        <w:r w:rsidR="003B2832">
          <w:rPr>
            <w:noProof/>
            <w:webHidden/>
          </w:rPr>
        </w:r>
        <w:r w:rsidR="003B2832">
          <w:rPr>
            <w:noProof/>
            <w:webHidden/>
          </w:rPr>
          <w:fldChar w:fldCharType="separate"/>
        </w:r>
        <w:r w:rsidR="00AA5AAC">
          <w:rPr>
            <w:noProof/>
            <w:webHidden/>
          </w:rPr>
          <w:t>208</w:t>
        </w:r>
        <w:r w:rsidR="003B2832">
          <w:rPr>
            <w:noProof/>
            <w:webHidden/>
          </w:rPr>
          <w:fldChar w:fldCharType="end"/>
        </w:r>
      </w:hyperlink>
    </w:p>
    <w:p w14:paraId="75CF0A63" w14:textId="7F036BD2" w:rsidR="003B2832" w:rsidRDefault="002C1A5C">
      <w:pPr>
        <w:pStyle w:val="TOC3"/>
        <w:tabs>
          <w:tab w:val="right" w:leader="dot" w:pos="9350"/>
        </w:tabs>
        <w:rPr>
          <w:rFonts w:asciiTheme="minorHAnsi" w:eastAsiaTheme="minorEastAsia" w:hAnsiTheme="minorHAnsi"/>
          <w:noProof/>
          <w:sz w:val="22"/>
        </w:rPr>
      </w:pPr>
      <w:hyperlink w:anchor="_Toc102586298" w:history="1">
        <w:r w:rsidR="003B2832" w:rsidRPr="00CE6351">
          <w:rPr>
            <w:rStyle w:val="Hyperlink"/>
            <w:noProof/>
          </w:rPr>
          <w:t>4.2.1 Structural comparisons inspire viral replication inhibition screen of existing compounds in the Duerfeldt lab library.</w:t>
        </w:r>
        <w:r w:rsidR="003B2832">
          <w:rPr>
            <w:noProof/>
            <w:webHidden/>
          </w:rPr>
          <w:tab/>
        </w:r>
        <w:r w:rsidR="003B2832">
          <w:rPr>
            <w:noProof/>
            <w:webHidden/>
          </w:rPr>
          <w:fldChar w:fldCharType="begin"/>
        </w:r>
        <w:r w:rsidR="003B2832">
          <w:rPr>
            <w:noProof/>
            <w:webHidden/>
          </w:rPr>
          <w:instrText xml:space="preserve"> PAGEREF _Toc102586298 \h </w:instrText>
        </w:r>
        <w:r w:rsidR="003B2832">
          <w:rPr>
            <w:noProof/>
            <w:webHidden/>
          </w:rPr>
        </w:r>
        <w:r w:rsidR="003B2832">
          <w:rPr>
            <w:noProof/>
            <w:webHidden/>
          </w:rPr>
          <w:fldChar w:fldCharType="separate"/>
        </w:r>
        <w:r w:rsidR="00AA5AAC">
          <w:rPr>
            <w:noProof/>
            <w:webHidden/>
          </w:rPr>
          <w:t>208</w:t>
        </w:r>
        <w:r w:rsidR="003B2832">
          <w:rPr>
            <w:noProof/>
            <w:webHidden/>
          </w:rPr>
          <w:fldChar w:fldCharType="end"/>
        </w:r>
      </w:hyperlink>
    </w:p>
    <w:p w14:paraId="22CE7493" w14:textId="25641586" w:rsidR="003B2832" w:rsidRDefault="002C1A5C">
      <w:pPr>
        <w:pStyle w:val="TOC3"/>
        <w:tabs>
          <w:tab w:val="right" w:leader="dot" w:pos="9350"/>
        </w:tabs>
        <w:rPr>
          <w:rFonts w:asciiTheme="minorHAnsi" w:eastAsiaTheme="minorEastAsia" w:hAnsiTheme="minorHAnsi"/>
          <w:noProof/>
          <w:sz w:val="22"/>
        </w:rPr>
      </w:pPr>
      <w:hyperlink w:anchor="_Toc102586299" w:history="1">
        <w:r w:rsidR="003B2832" w:rsidRPr="00CE6351">
          <w:rPr>
            <w:rStyle w:val="Hyperlink"/>
            <w:noProof/>
          </w:rPr>
          <w:t>4.2.2 Structure and function of M</w:t>
        </w:r>
        <w:r w:rsidR="003B2832" w:rsidRPr="00CE6351">
          <w:rPr>
            <w:rStyle w:val="Hyperlink"/>
            <w:noProof/>
            <w:vertAlign w:val="superscript"/>
          </w:rPr>
          <w:t>pro</w:t>
        </w:r>
        <w:r w:rsidR="003B2832" w:rsidRPr="00CE6351">
          <w:rPr>
            <w:rStyle w:val="Hyperlink"/>
            <w:noProof/>
          </w:rPr>
          <w:t xml:space="preserve"> provides insights for the rational design of M</w:t>
        </w:r>
        <w:r w:rsidR="003B2832" w:rsidRPr="00CE6351">
          <w:rPr>
            <w:rStyle w:val="Hyperlink"/>
            <w:noProof/>
            <w:vertAlign w:val="superscript"/>
          </w:rPr>
          <w:t>pro</w:t>
        </w:r>
        <w:r w:rsidR="003B2832" w:rsidRPr="00CE6351">
          <w:rPr>
            <w:rStyle w:val="Hyperlink"/>
            <w:noProof/>
          </w:rPr>
          <w:t xml:space="preserve"> inhibitors.</w:t>
        </w:r>
        <w:r w:rsidR="003B2832">
          <w:rPr>
            <w:noProof/>
            <w:webHidden/>
          </w:rPr>
          <w:tab/>
        </w:r>
        <w:r w:rsidR="003B2832">
          <w:rPr>
            <w:noProof/>
            <w:webHidden/>
          </w:rPr>
          <w:fldChar w:fldCharType="begin"/>
        </w:r>
        <w:r w:rsidR="003B2832">
          <w:rPr>
            <w:noProof/>
            <w:webHidden/>
          </w:rPr>
          <w:instrText xml:space="preserve"> PAGEREF _Toc102586299 \h </w:instrText>
        </w:r>
        <w:r w:rsidR="003B2832">
          <w:rPr>
            <w:noProof/>
            <w:webHidden/>
          </w:rPr>
        </w:r>
        <w:r w:rsidR="003B2832">
          <w:rPr>
            <w:noProof/>
            <w:webHidden/>
          </w:rPr>
          <w:fldChar w:fldCharType="separate"/>
        </w:r>
        <w:r w:rsidR="00AA5AAC">
          <w:rPr>
            <w:noProof/>
            <w:webHidden/>
          </w:rPr>
          <w:t>212</w:t>
        </w:r>
        <w:r w:rsidR="003B2832">
          <w:rPr>
            <w:noProof/>
            <w:webHidden/>
          </w:rPr>
          <w:fldChar w:fldCharType="end"/>
        </w:r>
      </w:hyperlink>
    </w:p>
    <w:p w14:paraId="655AE193" w14:textId="41B1E7CF" w:rsidR="003B2832" w:rsidRDefault="002C1A5C">
      <w:pPr>
        <w:pStyle w:val="TOC3"/>
        <w:tabs>
          <w:tab w:val="right" w:leader="dot" w:pos="9350"/>
        </w:tabs>
        <w:rPr>
          <w:rFonts w:asciiTheme="minorHAnsi" w:eastAsiaTheme="minorEastAsia" w:hAnsiTheme="minorHAnsi"/>
          <w:noProof/>
          <w:sz w:val="22"/>
        </w:rPr>
      </w:pPr>
      <w:hyperlink w:anchor="_Toc102586300" w:history="1">
        <w:r w:rsidR="003B2832" w:rsidRPr="00CE6351">
          <w:rPr>
            <w:rStyle w:val="Hyperlink"/>
            <w:noProof/>
          </w:rPr>
          <w:t>4.2.3 Synthesis of peptidomimetic analogs.</w:t>
        </w:r>
        <w:r w:rsidR="003B2832">
          <w:rPr>
            <w:noProof/>
            <w:webHidden/>
          </w:rPr>
          <w:tab/>
        </w:r>
        <w:r w:rsidR="003B2832">
          <w:rPr>
            <w:noProof/>
            <w:webHidden/>
          </w:rPr>
          <w:fldChar w:fldCharType="begin"/>
        </w:r>
        <w:r w:rsidR="003B2832">
          <w:rPr>
            <w:noProof/>
            <w:webHidden/>
          </w:rPr>
          <w:instrText xml:space="preserve"> PAGEREF _Toc102586300 \h </w:instrText>
        </w:r>
        <w:r w:rsidR="003B2832">
          <w:rPr>
            <w:noProof/>
            <w:webHidden/>
          </w:rPr>
        </w:r>
        <w:r w:rsidR="003B2832">
          <w:rPr>
            <w:noProof/>
            <w:webHidden/>
          </w:rPr>
          <w:fldChar w:fldCharType="separate"/>
        </w:r>
        <w:r w:rsidR="00AA5AAC">
          <w:rPr>
            <w:noProof/>
            <w:webHidden/>
          </w:rPr>
          <w:t>218</w:t>
        </w:r>
        <w:r w:rsidR="003B2832">
          <w:rPr>
            <w:noProof/>
            <w:webHidden/>
          </w:rPr>
          <w:fldChar w:fldCharType="end"/>
        </w:r>
      </w:hyperlink>
    </w:p>
    <w:p w14:paraId="6A8CAAC1" w14:textId="43F2808D" w:rsidR="003B2832" w:rsidRDefault="002C1A5C">
      <w:pPr>
        <w:pStyle w:val="TOC3"/>
        <w:tabs>
          <w:tab w:val="right" w:leader="dot" w:pos="9350"/>
        </w:tabs>
        <w:rPr>
          <w:rFonts w:asciiTheme="minorHAnsi" w:eastAsiaTheme="minorEastAsia" w:hAnsiTheme="minorHAnsi"/>
          <w:noProof/>
          <w:sz w:val="22"/>
        </w:rPr>
      </w:pPr>
      <w:hyperlink w:anchor="_Toc102586301" w:history="1">
        <w:r w:rsidR="003B2832" w:rsidRPr="00CE6351">
          <w:rPr>
            <w:rStyle w:val="Hyperlink"/>
            <w:noProof/>
          </w:rPr>
          <w:t>4.2.4 Preliminary biological evaluation for M</w:t>
        </w:r>
        <w:r w:rsidR="003B2832" w:rsidRPr="00CE6351">
          <w:rPr>
            <w:rStyle w:val="Hyperlink"/>
            <w:noProof/>
            <w:vertAlign w:val="superscript"/>
          </w:rPr>
          <w:t>pro</w:t>
        </w:r>
        <w:r w:rsidR="003B2832" w:rsidRPr="00CE6351">
          <w:rPr>
            <w:rStyle w:val="Hyperlink"/>
            <w:noProof/>
          </w:rPr>
          <w:t xml:space="preserve"> inhibition.</w:t>
        </w:r>
        <w:r w:rsidR="003B2832">
          <w:rPr>
            <w:noProof/>
            <w:webHidden/>
          </w:rPr>
          <w:tab/>
        </w:r>
        <w:r w:rsidR="003B2832">
          <w:rPr>
            <w:noProof/>
            <w:webHidden/>
          </w:rPr>
          <w:fldChar w:fldCharType="begin"/>
        </w:r>
        <w:r w:rsidR="003B2832">
          <w:rPr>
            <w:noProof/>
            <w:webHidden/>
          </w:rPr>
          <w:instrText xml:space="preserve"> PAGEREF _Toc102586301 \h </w:instrText>
        </w:r>
        <w:r w:rsidR="003B2832">
          <w:rPr>
            <w:noProof/>
            <w:webHidden/>
          </w:rPr>
        </w:r>
        <w:r w:rsidR="003B2832">
          <w:rPr>
            <w:noProof/>
            <w:webHidden/>
          </w:rPr>
          <w:fldChar w:fldCharType="separate"/>
        </w:r>
        <w:r w:rsidR="00AA5AAC">
          <w:rPr>
            <w:noProof/>
            <w:webHidden/>
          </w:rPr>
          <w:t>222</w:t>
        </w:r>
        <w:r w:rsidR="003B2832">
          <w:rPr>
            <w:noProof/>
            <w:webHidden/>
          </w:rPr>
          <w:fldChar w:fldCharType="end"/>
        </w:r>
      </w:hyperlink>
    </w:p>
    <w:p w14:paraId="317F8C99" w14:textId="65EE6B32" w:rsidR="003B2832" w:rsidRDefault="002C1A5C">
      <w:pPr>
        <w:pStyle w:val="TOC2"/>
        <w:tabs>
          <w:tab w:val="right" w:leader="dot" w:pos="9350"/>
        </w:tabs>
        <w:rPr>
          <w:rFonts w:asciiTheme="minorHAnsi" w:eastAsiaTheme="minorEastAsia" w:hAnsiTheme="minorHAnsi"/>
          <w:noProof/>
          <w:sz w:val="22"/>
        </w:rPr>
      </w:pPr>
      <w:hyperlink w:anchor="_Toc102586302" w:history="1">
        <w:r w:rsidR="003B2832" w:rsidRPr="00CE6351">
          <w:rPr>
            <w:rStyle w:val="Hyperlink"/>
            <w:noProof/>
          </w:rPr>
          <w:t>4.3 Conclusions</w:t>
        </w:r>
        <w:r w:rsidR="003B2832">
          <w:rPr>
            <w:noProof/>
            <w:webHidden/>
          </w:rPr>
          <w:tab/>
        </w:r>
        <w:r w:rsidR="003B2832">
          <w:rPr>
            <w:noProof/>
            <w:webHidden/>
          </w:rPr>
          <w:fldChar w:fldCharType="begin"/>
        </w:r>
        <w:r w:rsidR="003B2832">
          <w:rPr>
            <w:noProof/>
            <w:webHidden/>
          </w:rPr>
          <w:instrText xml:space="preserve"> PAGEREF _Toc102586302 \h </w:instrText>
        </w:r>
        <w:r w:rsidR="003B2832">
          <w:rPr>
            <w:noProof/>
            <w:webHidden/>
          </w:rPr>
        </w:r>
        <w:r w:rsidR="003B2832">
          <w:rPr>
            <w:noProof/>
            <w:webHidden/>
          </w:rPr>
          <w:fldChar w:fldCharType="separate"/>
        </w:r>
        <w:r w:rsidR="00AA5AAC">
          <w:rPr>
            <w:noProof/>
            <w:webHidden/>
          </w:rPr>
          <w:t>225</w:t>
        </w:r>
        <w:r w:rsidR="003B2832">
          <w:rPr>
            <w:noProof/>
            <w:webHidden/>
          </w:rPr>
          <w:fldChar w:fldCharType="end"/>
        </w:r>
      </w:hyperlink>
    </w:p>
    <w:p w14:paraId="0541A54C" w14:textId="5A8C3DB2" w:rsidR="003B2832" w:rsidRDefault="002C1A5C">
      <w:pPr>
        <w:pStyle w:val="TOC2"/>
        <w:tabs>
          <w:tab w:val="right" w:leader="dot" w:pos="9350"/>
        </w:tabs>
        <w:rPr>
          <w:rFonts w:asciiTheme="minorHAnsi" w:eastAsiaTheme="minorEastAsia" w:hAnsiTheme="minorHAnsi"/>
          <w:noProof/>
          <w:sz w:val="22"/>
        </w:rPr>
      </w:pPr>
      <w:hyperlink w:anchor="_Toc102586303" w:history="1">
        <w:r w:rsidR="003B2832" w:rsidRPr="00CE6351">
          <w:rPr>
            <w:rStyle w:val="Hyperlink"/>
            <w:noProof/>
          </w:rPr>
          <w:t>4.4 Perspective</w:t>
        </w:r>
        <w:r w:rsidR="003B2832">
          <w:rPr>
            <w:noProof/>
            <w:webHidden/>
          </w:rPr>
          <w:tab/>
        </w:r>
        <w:r w:rsidR="003B2832">
          <w:rPr>
            <w:noProof/>
            <w:webHidden/>
          </w:rPr>
          <w:fldChar w:fldCharType="begin"/>
        </w:r>
        <w:r w:rsidR="003B2832">
          <w:rPr>
            <w:noProof/>
            <w:webHidden/>
          </w:rPr>
          <w:instrText xml:space="preserve"> PAGEREF _Toc102586303 \h </w:instrText>
        </w:r>
        <w:r w:rsidR="003B2832">
          <w:rPr>
            <w:noProof/>
            <w:webHidden/>
          </w:rPr>
        </w:r>
        <w:r w:rsidR="003B2832">
          <w:rPr>
            <w:noProof/>
            <w:webHidden/>
          </w:rPr>
          <w:fldChar w:fldCharType="separate"/>
        </w:r>
        <w:r w:rsidR="00AA5AAC">
          <w:rPr>
            <w:noProof/>
            <w:webHidden/>
          </w:rPr>
          <w:t>227</w:t>
        </w:r>
        <w:r w:rsidR="003B2832">
          <w:rPr>
            <w:noProof/>
            <w:webHidden/>
          </w:rPr>
          <w:fldChar w:fldCharType="end"/>
        </w:r>
      </w:hyperlink>
    </w:p>
    <w:p w14:paraId="426F14AC" w14:textId="7C08C813" w:rsidR="003B2832" w:rsidRDefault="002C1A5C">
      <w:pPr>
        <w:pStyle w:val="TOC2"/>
        <w:tabs>
          <w:tab w:val="right" w:leader="dot" w:pos="9350"/>
        </w:tabs>
        <w:rPr>
          <w:rFonts w:asciiTheme="minorHAnsi" w:eastAsiaTheme="minorEastAsia" w:hAnsiTheme="minorHAnsi"/>
          <w:noProof/>
          <w:sz w:val="22"/>
        </w:rPr>
      </w:pPr>
      <w:hyperlink w:anchor="_Toc102586304" w:history="1">
        <w:r w:rsidR="003B2832" w:rsidRPr="00CE6351">
          <w:rPr>
            <w:rStyle w:val="Hyperlink"/>
            <w:noProof/>
          </w:rPr>
          <w:t>4.5 Experimental</w:t>
        </w:r>
        <w:r w:rsidR="003B2832">
          <w:rPr>
            <w:noProof/>
            <w:webHidden/>
          </w:rPr>
          <w:tab/>
        </w:r>
        <w:r w:rsidR="003B2832">
          <w:rPr>
            <w:noProof/>
            <w:webHidden/>
          </w:rPr>
          <w:fldChar w:fldCharType="begin"/>
        </w:r>
        <w:r w:rsidR="003B2832">
          <w:rPr>
            <w:noProof/>
            <w:webHidden/>
          </w:rPr>
          <w:instrText xml:space="preserve"> PAGEREF _Toc102586304 \h </w:instrText>
        </w:r>
        <w:r w:rsidR="003B2832">
          <w:rPr>
            <w:noProof/>
            <w:webHidden/>
          </w:rPr>
        </w:r>
        <w:r w:rsidR="003B2832">
          <w:rPr>
            <w:noProof/>
            <w:webHidden/>
          </w:rPr>
          <w:fldChar w:fldCharType="separate"/>
        </w:r>
        <w:r w:rsidR="00AA5AAC">
          <w:rPr>
            <w:noProof/>
            <w:webHidden/>
          </w:rPr>
          <w:t>229</w:t>
        </w:r>
        <w:r w:rsidR="003B2832">
          <w:rPr>
            <w:noProof/>
            <w:webHidden/>
          </w:rPr>
          <w:fldChar w:fldCharType="end"/>
        </w:r>
      </w:hyperlink>
    </w:p>
    <w:p w14:paraId="3A78EFF0" w14:textId="5DA1BC7E" w:rsidR="003B2832" w:rsidRDefault="002C1A5C">
      <w:pPr>
        <w:pStyle w:val="TOC3"/>
        <w:tabs>
          <w:tab w:val="right" w:leader="dot" w:pos="9350"/>
        </w:tabs>
        <w:rPr>
          <w:rFonts w:asciiTheme="minorHAnsi" w:eastAsiaTheme="minorEastAsia" w:hAnsiTheme="minorHAnsi"/>
          <w:noProof/>
          <w:sz w:val="22"/>
        </w:rPr>
      </w:pPr>
      <w:hyperlink w:anchor="_Toc102586305" w:history="1">
        <w:r w:rsidR="003B2832" w:rsidRPr="00CE6351">
          <w:rPr>
            <w:rStyle w:val="Hyperlink"/>
            <w:noProof/>
          </w:rPr>
          <w:t>4.5.1 General chemistry methods.</w:t>
        </w:r>
        <w:r w:rsidR="003B2832">
          <w:rPr>
            <w:noProof/>
            <w:webHidden/>
          </w:rPr>
          <w:tab/>
        </w:r>
        <w:r w:rsidR="003B2832">
          <w:rPr>
            <w:noProof/>
            <w:webHidden/>
          </w:rPr>
          <w:fldChar w:fldCharType="begin"/>
        </w:r>
        <w:r w:rsidR="003B2832">
          <w:rPr>
            <w:noProof/>
            <w:webHidden/>
          </w:rPr>
          <w:instrText xml:space="preserve"> PAGEREF _Toc102586305 \h </w:instrText>
        </w:r>
        <w:r w:rsidR="003B2832">
          <w:rPr>
            <w:noProof/>
            <w:webHidden/>
          </w:rPr>
        </w:r>
        <w:r w:rsidR="003B2832">
          <w:rPr>
            <w:noProof/>
            <w:webHidden/>
          </w:rPr>
          <w:fldChar w:fldCharType="separate"/>
        </w:r>
        <w:r w:rsidR="00AA5AAC">
          <w:rPr>
            <w:noProof/>
            <w:webHidden/>
          </w:rPr>
          <w:t>229</w:t>
        </w:r>
        <w:r w:rsidR="003B2832">
          <w:rPr>
            <w:noProof/>
            <w:webHidden/>
          </w:rPr>
          <w:fldChar w:fldCharType="end"/>
        </w:r>
      </w:hyperlink>
    </w:p>
    <w:p w14:paraId="4C99A1C7" w14:textId="5C9A53AB" w:rsidR="003B2832" w:rsidRDefault="002C1A5C">
      <w:pPr>
        <w:pStyle w:val="TOC3"/>
        <w:tabs>
          <w:tab w:val="right" w:leader="dot" w:pos="9350"/>
        </w:tabs>
        <w:rPr>
          <w:rFonts w:asciiTheme="minorHAnsi" w:eastAsiaTheme="minorEastAsia" w:hAnsiTheme="minorHAnsi"/>
          <w:noProof/>
          <w:sz w:val="22"/>
        </w:rPr>
      </w:pPr>
      <w:hyperlink w:anchor="_Toc102586306" w:history="1">
        <w:r w:rsidR="003B2832" w:rsidRPr="00CE6351">
          <w:rPr>
            <w:rStyle w:val="Hyperlink"/>
            <w:noProof/>
          </w:rPr>
          <w:t>4.5.2 Synthetic procedures.</w:t>
        </w:r>
        <w:r w:rsidR="003B2832">
          <w:rPr>
            <w:noProof/>
            <w:webHidden/>
          </w:rPr>
          <w:tab/>
        </w:r>
        <w:r w:rsidR="003B2832">
          <w:rPr>
            <w:noProof/>
            <w:webHidden/>
          </w:rPr>
          <w:fldChar w:fldCharType="begin"/>
        </w:r>
        <w:r w:rsidR="003B2832">
          <w:rPr>
            <w:noProof/>
            <w:webHidden/>
          </w:rPr>
          <w:instrText xml:space="preserve"> PAGEREF _Toc102586306 \h </w:instrText>
        </w:r>
        <w:r w:rsidR="003B2832">
          <w:rPr>
            <w:noProof/>
            <w:webHidden/>
          </w:rPr>
        </w:r>
        <w:r w:rsidR="003B2832">
          <w:rPr>
            <w:noProof/>
            <w:webHidden/>
          </w:rPr>
          <w:fldChar w:fldCharType="separate"/>
        </w:r>
        <w:r w:rsidR="00AA5AAC">
          <w:rPr>
            <w:noProof/>
            <w:webHidden/>
          </w:rPr>
          <w:t>229</w:t>
        </w:r>
        <w:r w:rsidR="003B2832">
          <w:rPr>
            <w:noProof/>
            <w:webHidden/>
          </w:rPr>
          <w:fldChar w:fldCharType="end"/>
        </w:r>
      </w:hyperlink>
    </w:p>
    <w:p w14:paraId="3CE03618" w14:textId="436AE2CF" w:rsidR="003B2832" w:rsidRDefault="002C1A5C">
      <w:pPr>
        <w:pStyle w:val="TOC3"/>
        <w:tabs>
          <w:tab w:val="right" w:leader="dot" w:pos="9350"/>
        </w:tabs>
        <w:rPr>
          <w:rFonts w:asciiTheme="minorHAnsi" w:eastAsiaTheme="minorEastAsia" w:hAnsiTheme="minorHAnsi"/>
          <w:noProof/>
          <w:sz w:val="22"/>
        </w:rPr>
      </w:pPr>
      <w:hyperlink w:anchor="_Toc102586307" w:history="1">
        <w:r w:rsidR="003B2832" w:rsidRPr="00CE6351">
          <w:rPr>
            <w:rStyle w:val="Hyperlink"/>
            <w:noProof/>
          </w:rPr>
          <w:t>4.5.3 Computational methods.</w:t>
        </w:r>
        <w:r w:rsidR="003B2832">
          <w:rPr>
            <w:noProof/>
            <w:webHidden/>
          </w:rPr>
          <w:tab/>
        </w:r>
        <w:r w:rsidR="003B2832">
          <w:rPr>
            <w:noProof/>
            <w:webHidden/>
          </w:rPr>
          <w:fldChar w:fldCharType="begin"/>
        </w:r>
        <w:r w:rsidR="003B2832">
          <w:rPr>
            <w:noProof/>
            <w:webHidden/>
          </w:rPr>
          <w:instrText xml:space="preserve"> PAGEREF _Toc102586307 \h </w:instrText>
        </w:r>
        <w:r w:rsidR="003B2832">
          <w:rPr>
            <w:noProof/>
            <w:webHidden/>
          </w:rPr>
        </w:r>
        <w:r w:rsidR="003B2832">
          <w:rPr>
            <w:noProof/>
            <w:webHidden/>
          </w:rPr>
          <w:fldChar w:fldCharType="separate"/>
        </w:r>
        <w:r w:rsidR="00AA5AAC">
          <w:rPr>
            <w:noProof/>
            <w:webHidden/>
          </w:rPr>
          <w:t>235</w:t>
        </w:r>
        <w:r w:rsidR="003B2832">
          <w:rPr>
            <w:noProof/>
            <w:webHidden/>
          </w:rPr>
          <w:fldChar w:fldCharType="end"/>
        </w:r>
      </w:hyperlink>
    </w:p>
    <w:p w14:paraId="008818A7" w14:textId="744DB5C0" w:rsidR="003B2832" w:rsidRDefault="002C1A5C">
      <w:pPr>
        <w:pStyle w:val="TOC3"/>
        <w:tabs>
          <w:tab w:val="right" w:leader="dot" w:pos="9350"/>
        </w:tabs>
        <w:rPr>
          <w:rFonts w:asciiTheme="minorHAnsi" w:eastAsiaTheme="minorEastAsia" w:hAnsiTheme="minorHAnsi"/>
          <w:noProof/>
          <w:sz w:val="22"/>
        </w:rPr>
      </w:pPr>
      <w:hyperlink w:anchor="_Toc102586308" w:history="1">
        <w:r w:rsidR="003B2832" w:rsidRPr="00CE6351">
          <w:rPr>
            <w:rStyle w:val="Hyperlink"/>
            <w:noProof/>
          </w:rPr>
          <w:t>4.5.4 Viral replication cellular assay.</w:t>
        </w:r>
        <w:r w:rsidR="003B2832">
          <w:rPr>
            <w:noProof/>
            <w:webHidden/>
          </w:rPr>
          <w:tab/>
        </w:r>
        <w:r w:rsidR="003B2832">
          <w:rPr>
            <w:noProof/>
            <w:webHidden/>
          </w:rPr>
          <w:fldChar w:fldCharType="begin"/>
        </w:r>
        <w:r w:rsidR="003B2832">
          <w:rPr>
            <w:noProof/>
            <w:webHidden/>
          </w:rPr>
          <w:instrText xml:space="preserve"> PAGEREF _Toc102586308 \h </w:instrText>
        </w:r>
        <w:r w:rsidR="003B2832">
          <w:rPr>
            <w:noProof/>
            <w:webHidden/>
          </w:rPr>
        </w:r>
        <w:r w:rsidR="003B2832">
          <w:rPr>
            <w:noProof/>
            <w:webHidden/>
          </w:rPr>
          <w:fldChar w:fldCharType="separate"/>
        </w:r>
        <w:r w:rsidR="00AA5AAC">
          <w:rPr>
            <w:noProof/>
            <w:webHidden/>
          </w:rPr>
          <w:t>235</w:t>
        </w:r>
        <w:r w:rsidR="003B2832">
          <w:rPr>
            <w:noProof/>
            <w:webHidden/>
          </w:rPr>
          <w:fldChar w:fldCharType="end"/>
        </w:r>
      </w:hyperlink>
    </w:p>
    <w:p w14:paraId="002681A8" w14:textId="62E4C290" w:rsidR="003B2832" w:rsidRDefault="002C1A5C">
      <w:pPr>
        <w:pStyle w:val="TOC3"/>
        <w:tabs>
          <w:tab w:val="right" w:leader="dot" w:pos="9350"/>
        </w:tabs>
        <w:rPr>
          <w:rFonts w:asciiTheme="minorHAnsi" w:eastAsiaTheme="minorEastAsia" w:hAnsiTheme="minorHAnsi"/>
          <w:noProof/>
          <w:sz w:val="22"/>
        </w:rPr>
      </w:pPr>
      <w:hyperlink w:anchor="_Toc102586309" w:history="1">
        <w:r w:rsidR="003B2832" w:rsidRPr="00CE6351">
          <w:rPr>
            <w:rStyle w:val="Hyperlink"/>
            <w:noProof/>
          </w:rPr>
          <w:t>4.5.5 Enzymatic inhibition assays.</w:t>
        </w:r>
        <w:r w:rsidR="003B2832">
          <w:rPr>
            <w:noProof/>
            <w:webHidden/>
          </w:rPr>
          <w:tab/>
        </w:r>
        <w:r w:rsidR="003B2832">
          <w:rPr>
            <w:noProof/>
            <w:webHidden/>
          </w:rPr>
          <w:fldChar w:fldCharType="begin"/>
        </w:r>
        <w:r w:rsidR="003B2832">
          <w:rPr>
            <w:noProof/>
            <w:webHidden/>
          </w:rPr>
          <w:instrText xml:space="preserve"> PAGEREF _Toc102586309 \h </w:instrText>
        </w:r>
        <w:r w:rsidR="003B2832">
          <w:rPr>
            <w:noProof/>
            <w:webHidden/>
          </w:rPr>
        </w:r>
        <w:r w:rsidR="003B2832">
          <w:rPr>
            <w:noProof/>
            <w:webHidden/>
          </w:rPr>
          <w:fldChar w:fldCharType="separate"/>
        </w:r>
        <w:r w:rsidR="00AA5AAC">
          <w:rPr>
            <w:noProof/>
            <w:webHidden/>
          </w:rPr>
          <w:t>236</w:t>
        </w:r>
        <w:r w:rsidR="003B2832">
          <w:rPr>
            <w:noProof/>
            <w:webHidden/>
          </w:rPr>
          <w:fldChar w:fldCharType="end"/>
        </w:r>
      </w:hyperlink>
    </w:p>
    <w:p w14:paraId="6048CC58" w14:textId="5EA15995" w:rsidR="003B2832" w:rsidRDefault="002C1A5C">
      <w:pPr>
        <w:pStyle w:val="TOC2"/>
        <w:tabs>
          <w:tab w:val="right" w:leader="dot" w:pos="9350"/>
        </w:tabs>
        <w:rPr>
          <w:rFonts w:asciiTheme="minorHAnsi" w:eastAsiaTheme="minorEastAsia" w:hAnsiTheme="minorHAnsi"/>
          <w:noProof/>
          <w:sz w:val="22"/>
        </w:rPr>
      </w:pPr>
      <w:hyperlink w:anchor="_Toc102586310" w:history="1">
        <w:r w:rsidR="003B2832" w:rsidRPr="00CE6351">
          <w:rPr>
            <w:rStyle w:val="Hyperlink"/>
            <w:noProof/>
          </w:rPr>
          <w:t>4.6 References for Chapter 4</w:t>
        </w:r>
        <w:r w:rsidR="003B2832">
          <w:rPr>
            <w:noProof/>
            <w:webHidden/>
          </w:rPr>
          <w:tab/>
        </w:r>
        <w:r w:rsidR="003B2832">
          <w:rPr>
            <w:noProof/>
            <w:webHidden/>
          </w:rPr>
          <w:fldChar w:fldCharType="begin"/>
        </w:r>
        <w:r w:rsidR="003B2832">
          <w:rPr>
            <w:noProof/>
            <w:webHidden/>
          </w:rPr>
          <w:instrText xml:space="preserve"> PAGEREF _Toc102586310 \h </w:instrText>
        </w:r>
        <w:r w:rsidR="003B2832">
          <w:rPr>
            <w:noProof/>
            <w:webHidden/>
          </w:rPr>
        </w:r>
        <w:r w:rsidR="003B2832">
          <w:rPr>
            <w:noProof/>
            <w:webHidden/>
          </w:rPr>
          <w:fldChar w:fldCharType="separate"/>
        </w:r>
        <w:r w:rsidR="00AA5AAC">
          <w:rPr>
            <w:noProof/>
            <w:webHidden/>
          </w:rPr>
          <w:t>237</w:t>
        </w:r>
        <w:r w:rsidR="003B2832">
          <w:rPr>
            <w:noProof/>
            <w:webHidden/>
          </w:rPr>
          <w:fldChar w:fldCharType="end"/>
        </w:r>
      </w:hyperlink>
    </w:p>
    <w:p w14:paraId="63D427CA" w14:textId="038C6471" w:rsidR="003B2832" w:rsidRDefault="002C1A5C">
      <w:pPr>
        <w:pStyle w:val="TOC1"/>
        <w:rPr>
          <w:rFonts w:asciiTheme="minorHAnsi" w:eastAsiaTheme="minorEastAsia" w:hAnsiTheme="minorHAnsi"/>
          <w:b w:val="0"/>
          <w:bCs w:val="0"/>
          <w:noProof/>
          <w:sz w:val="22"/>
        </w:rPr>
      </w:pPr>
      <w:hyperlink w:anchor="_Toc102586311" w:history="1">
        <w:r w:rsidR="003B2832" w:rsidRPr="00CE6351">
          <w:rPr>
            <w:rStyle w:val="Hyperlink"/>
            <w:noProof/>
          </w:rPr>
          <w:t>Appendix II. Spectra Relevant to Chapter 4</w:t>
        </w:r>
        <w:r w:rsidR="003B2832">
          <w:rPr>
            <w:noProof/>
            <w:webHidden/>
          </w:rPr>
          <w:tab/>
        </w:r>
        <w:r w:rsidR="003B2832">
          <w:rPr>
            <w:noProof/>
            <w:webHidden/>
          </w:rPr>
          <w:fldChar w:fldCharType="begin"/>
        </w:r>
        <w:r w:rsidR="003B2832">
          <w:rPr>
            <w:noProof/>
            <w:webHidden/>
          </w:rPr>
          <w:instrText xml:space="preserve"> PAGEREF _Toc102586311 \h </w:instrText>
        </w:r>
        <w:r w:rsidR="003B2832">
          <w:rPr>
            <w:noProof/>
            <w:webHidden/>
          </w:rPr>
        </w:r>
        <w:r w:rsidR="003B2832">
          <w:rPr>
            <w:noProof/>
            <w:webHidden/>
          </w:rPr>
          <w:fldChar w:fldCharType="separate"/>
        </w:r>
        <w:r w:rsidR="00AA5AAC">
          <w:rPr>
            <w:noProof/>
            <w:webHidden/>
          </w:rPr>
          <w:t>253</w:t>
        </w:r>
        <w:r w:rsidR="003B2832">
          <w:rPr>
            <w:noProof/>
            <w:webHidden/>
          </w:rPr>
          <w:fldChar w:fldCharType="end"/>
        </w:r>
      </w:hyperlink>
    </w:p>
    <w:p w14:paraId="717D8B78" w14:textId="5D076053" w:rsidR="00852D0E" w:rsidRDefault="003A44BE">
      <w:pPr>
        <w:spacing w:line="259" w:lineRule="auto"/>
        <w:jc w:val="left"/>
      </w:pPr>
      <w:r>
        <w:fldChar w:fldCharType="end"/>
      </w:r>
    </w:p>
    <w:p w14:paraId="0D398598" w14:textId="77777777" w:rsidR="00AC5AC1" w:rsidRDefault="00AC5AC1">
      <w:pPr>
        <w:spacing w:line="259" w:lineRule="auto"/>
        <w:jc w:val="left"/>
        <w:rPr>
          <w:b/>
          <w:bCs/>
          <w:sz w:val="28"/>
          <w:szCs w:val="24"/>
        </w:rPr>
      </w:pPr>
      <w:r>
        <w:rPr>
          <w:b/>
          <w:bCs/>
          <w:sz w:val="28"/>
          <w:szCs w:val="24"/>
        </w:rPr>
        <w:br w:type="page"/>
      </w:r>
    </w:p>
    <w:p w14:paraId="7A0D37C5" w14:textId="766B4B6D" w:rsidR="00852D0E" w:rsidRPr="00852D0E" w:rsidRDefault="00852D0E">
      <w:pPr>
        <w:spacing w:line="259" w:lineRule="auto"/>
        <w:jc w:val="left"/>
        <w:rPr>
          <w:b/>
          <w:bCs/>
          <w:sz w:val="28"/>
          <w:szCs w:val="24"/>
        </w:rPr>
      </w:pPr>
      <w:r w:rsidRPr="00852D0E">
        <w:rPr>
          <w:b/>
          <w:bCs/>
          <w:sz w:val="28"/>
          <w:szCs w:val="24"/>
        </w:rPr>
        <w:lastRenderedPageBreak/>
        <w:t>Table of Figures:</w:t>
      </w:r>
    </w:p>
    <w:p w14:paraId="1B6DADB3" w14:textId="04C7F774" w:rsidR="00406E6F" w:rsidRDefault="00852D0E">
      <w:pPr>
        <w:pStyle w:val="TableofFigures"/>
        <w:tabs>
          <w:tab w:val="right" w:leader="dot" w:pos="9350"/>
        </w:tabs>
        <w:rPr>
          <w:rFonts w:asciiTheme="minorHAnsi" w:eastAsiaTheme="minorEastAsia" w:hAnsiTheme="minorHAnsi"/>
          <w:noProof/>
          <w:sz w:val="22"/>
        </w:rPr>
      </w:pPr>
      <w:r>
        <w:fldChar w:fldCharType="begin"/>
      </w:r>
      <w:r>
        <w:instrText xml:space="preserve"> TOC \h \z \c "Figure" </w:instrText>
      </w:r>
      <w:r>
        <w:fldChar w:fldCharType="separate"/>
      </w:r>
      <w:hyperlink r:id="rId10" w:anchor="_Toc100748282" w:history="1">
        <w:r w:rsidR="00406E6F" w:rsidRPr="00C021B0">
          <w:rPr>
            <w:rStyle w:val="Hyperlink"/>
            <w:noProof/>
          </w:rPr>
          <w:t>Figure 1.1. General antibiotic resistance mechanisms in Gram-negative bacteria.</w:t>
        </w:r>
        <w:r w:rsidR="00406E6F">
          <w:rPr>
            <w:noProof/>
            <w:webHidden/>
          </w:rPr>
          <w:tab/>
        </w:r>
        <w:r w:rsidR="00406E6F">
          <w:rPr>
            <w:noProof/>
            <w:webHidden/>
          </w:rPr>
          <w:fldChar w:fldCharType="begin"/>
        </w:r>
        <w:r w:rsidR="00406E6F">
          <w:rPr>
            <w:noProof/>
            <w:webHidden/>
          </w:rPr>
          <w:instrText xml:space="preserve"> PAGEREF _Toc100748282 \h </w:instrText>
        </w:r>
        <w:r w:rsidR="00406E6F">
          <w:rPr>
            <w:noProof/>
            <w:webHidden/>
          </w:rPr>
        </w:r>
        <w:r w:rsidR="00406E6F">
          <w:rPr>
            <w:noProof/>
            <w:webHidden/>
          </w:rPr>
          <w:fldChar w:fldCharType="separate"/>
        </w:r>
        <w:r w:rsidR="00AA5AAC">
          <w:rPr>
            <w:noProof/>
            <w:webHidden/>
          </w:rPr>
          <w:t>2</w:t>
        </w:r>
        <w:r w:rsidR="00406E6F">
          <w:rPr>
            <w:noProof/>
            <w:webHidden/>
          </w:rPr>
          <w:fldChar w:fldCharType="end"/>
        </w:r>
      </w:hyperlink>
    </w:p>
    <w:p w14:paraId="59AD62B9" w14:textId="156707C6" w:rsidR="00406E6F" w:rsidRDefault="002C1A5C">
      <w:pPr>
        <w:pStyle w:val="TableofFigures"/>
        <w:tabs>
          <w:tab w:val="right" w:leader="dot" w:pos="9350"/>
        </w:tabs>
        <w:rPr>
          <w:rFonts w:asciiTheme="minorHAnsi" w:eastAsiaTheme="minorEastAsia" w:hAnsiTheme="minorHAnsi"/>
          <w:noProof/>
          <w:sz w:val="22"/>
        </w:rPr>
      </w:pPr>
      <w:hyperlink r:id="rId11" w:anchor="_Toc100748283" w:history="1">
        <w:r w:rsidR="00406E6F" w:rsidRPr="00C021B0">
          <w:rPr>
            <w:rStyle w:val="Hyperlink"/>
            <w:noProof/>
          </w:rPr>
          <w:t>Figure 1.2. New antibiotic drug applications approved by FDA by year interval up to 2019.</w:t>
        </w:r>
        <w:r w:rsidR="00406E6F">
          <w:rPr>
            <w:noProof/>
            <w:webHidden/>
          </w:rPr>
          <w:tab/>
        </w:r>
        <w:r w:rsidR="00406E6F">
          <w:rPr>
            <w:noProof/>
            <w:webHidden/>
          </w:rPr>
          <w:fldChar w:fldCharType="begin"/>
        </w:r>
        <w:r w:rsidR="00406E6F">
          <w:rPr>
            <w:noProof/>
            <w:webHidden/>
          </w:rPr>
          <w:instrText xml:space="preserve"> PAGEREF _Toc100748283 \h </w:instrText>
        </w:r>
        <w:r w:rsidR="00406E6F">
          <w:rPr>
            <w:noProof/>
            <w:webHidden/>
          </w:rPr>
        </w:r>
        <w:r w:rsidR="00406E6F">
          <w:rPr>
            <w:noProof/>
            <w:webHidden/>
          </w:rPr>
          <w:fldChar w:fldCharType="separate"/>
        </w:r>
        <w:r w:rsidR="00AA5AAC">
          <w:rPr>
            <w:noProof/>
            <w:webHidden/>
          </w:rPr>
          <w:t>3</w:t>
        </w:r>
        <w:r w:rsidR="00406E6F">
          <w:rPr>
            <w:noProof/>
            <w:webHidden/>
          </w:rPr>
          <w:fldChar w:fldCharType="end"/>
        </w:r>
      </w:hyperlink>
    </w:p>
    <w:p w14:paraId="6BB143F9" w14:textId="5D92E7F5" w:rsidR="00406E6F" w:rsidRDefault="002C1A5C">
      <w:pPr>
        <w:pStyle w:val="TableofFigures"/>
        <w:tabs>
          <w:tab w:val="right" w:leader="dot" w:pos="9350"/>
        </w:tabs>
        <w:rPr>
          <w:rFonts w:asciiTheme="minorHAnsi" w:eastAsiaTheme="minorEastAsia" w:hAnsiTheme="minorHAnsi"/>
          <w:noProof/>
          <w:sz w:val="22"/>
        </w:rPr>
      </w:pPr>
      <w:hyperlink r:id="rId12" w:anchor="_Toc100748284" w:history="1">
        <w:r w:rsidR="00406E6F" w:rsidRPr="00C021B0">
          <w:rPr>
            <w:rStyle w:val="Hyperlink"/>
            <w:noProof/>
          </w:rPr>
          <w:t xml:space="preserve">Figure 1.3. </w:t>
        </w:r>
        <w:r w:rsidR="00406E6F" w:rsidRPr="00C021B0">
          <w:rPr>
            <w:rStyle w:val="Hyperlink"/>
            <w:rFonts w:cs="Times New Roman"/>
            <w:noProof/>
          </w:rPr>
          <w:t>2CSTS signaling overview.</w:t>
        </w:r>
        <w:r w:rsidR="00406E6F">
          <w:rPr>
            <w:noProof/>
            <w:webHidden/>
          </w:rPr>
          <w:tab/>
        </w:r>
        <w:r w:rsidR="00406E6F">
          <w:rPr>
            <w:noProof/>
            <w:webHidden/>
          </w:rPr>
          <w:fldChar w:fldCharType="begin"/>
        </w:r>
        <w:r w:rsidR="00406E6F">
          <w:rPr>
            <w:noProof/>
            <w:webHidden/>
          </w:rPr>
          <w:instrText xml:space="preserve"> PAGEREF _Toc100748284 \h </w:instrText>
        </w:r>
        <w:r w:rsidR="00406E6F">
          <w:rPr>
            <w:noProof/>
            <w:webHidden/>
          </w:rPr>
        </w:r>
        <w:r w:rsidR="00406E6F">
          <w:rPr>
            <w:noProof/>
            <w:webHidden/>
          </w:rPr>
          <w:fldChar w:fldCharType="separate"/>
        </w:r>
        <w:r w:rsidR="00AA5AAC">
          <w:rPr>
            <w:noProof/>
            <w:webHidden/>
          </w:rPr>
          <w:t>4</w:t>
        </w:r>
        <w:r w:rsidR="00406E6F">
          <w:rPr>
            <w:noProof/>
            <w:webHidden/>
          </w:rPr>
          <w:fldChar w:fldCharType="end"/>
        </w:r>
      </w:hyperlink>
    </w:p>
    <w:p w14:paraId="0A898F76" w14:textId="1E653426" w:rsidR="00406E6F" w:rsidRDefault="002C1A5C">
      <w:pPr>
        <w:pStyle w:val="TableofFigures"/>
        <w:tabs>
          <w:tab w:val="right" w:leader="dot" w:pos="9350"/>
        </w:tabs>
        <w:rPr>
          <w:rFonts w:asciiTheme="minorHAnsi" w:eastAsiaTheme="minorEastAsia" w:hAnsiTheme="minorHAnsi"/>
          <w:noProof/>
          <w:sz w:val="22"/>
        </w:rPr>
      </w:pPr>
      <w:hyperlink r:id="rId13" w:anchor="_Toc100748285" w:history="1">
        <w:r w:rsidR="00406E6F" w:rsidRPr="00C021B0">
          <w:rPr>
            <w:rStyle w:val="Hyperlink"/>
            <w:noProof/>
          </w:rPr>
          <w:t>Figure 1.4. Structural evolution towards lead compound.</w:t>
        </w:r>
        <w:r w:rsidR="00406E6F">
          <w:rPr>
            <w:noProof/>
            <w:webHidden/>
          </w:rPr>
          <w:tab/>
        </w:r>
        <w:r w:rsidR="00406E6F">
          <w:rPr>
            <w:noProof/>
            <w:webHidden/>
          </w:rPr>
          <w:fldChar w:fldCharType="begin"/>
        </w:r>
        <w:r w:rsidR="00406E6F">
          <w:rPr>
            <w:noProof/>
            <w:webHidden/>
          </w:rPr>
          <w:instrText xml:space="preserve"> PAGEREF _Toc100748285 \h </w:instrText>
        </w:r>
        <w:r w:rsidR="00406E6F">
          <w:rPr>
            <w:noProof/>
            <w:webHidden/>
          </w:rPr>
        </w:r>
        <w:r w:rsidR="00406E6F">
          <w:rPr>
            <w:noProof/>
            <w:webHidden/>
          </w:rPr>
          <w:fldChar w:fldCharType="separate"/>
        </w:r>
        <w:r w:rsidR="00AA5AAC">
          <w:rPr>
            <w:noProof/>
            <w:webHidden/>
          </w:rPr>
          <w:t>6</w:t>
        </w:r>
        <w:r w:rsidR="00406E6F">
          <w:rPr>
            <w:noProof/>
            <w:webHidden/>
          </w:rPr>
          <w:fldChar w:fldCharType="end"/>
        </w:r>
      </w:hyperlink>
    </w:p>
    <w:p w14:paraId="5A5159D6" w14:textId="118C080F" w:rsidR="00406E6F" w:rsidRDefault="002C1A5C">
      <w:pPr>
        <w:pStyle w:val="TableofFigures"/>
        <w:tabs>
          <w:tab w:val="right" w:leader="dot" w:pos="9350"/>
        </w:tabs>
        <w:rPr>
          <w:rFonts w:asciiTheme="minorHAnsi" w:eastAsiaTheme="minorEastAsia" w:hAnsiTheme="minorHAnsi"/>
          <w:noProof/>
          <w:sz w:val="22"/>
        </w:rPr>
      </w:pPr>
      <w:hyperlink r:id="rId14" w:anchor="_Toc100748286" w:history="1">
        <w:r w:rsidR="00406E6F" w:rsidRPr="00C021B0">
          <w:rPr>
            <w:rStyle w:val="Hyperlink"/>
            <w:noProof/>
          </w:rPr>
          <w:t>Figure 1.5. The general β-carboline and tetrahydro- β -carboline structure.</w:t>
        </w:r>
        <w:r w:rsidR="00406E6F">
          <w:rPr>
            <w:noProof/>
            <w:webHidden/>
          </w:rPr>
          <w:tab/>
        </w:r>
        <w:r w:rsidR="00406E6F">
          <w:rPr>
            <w:noProof/>
            <w:webHidden/>
          </w:rPr>
          <w:fldChar w:fldCharType="begin"/>
        </w:r>
        <w:r w:rsidR="00406E6F">
          <w:rPr>
            <w:noProof/>
            <w:webHidden/>
          </w:rPr>
          <w:instrText xml:space="preserve"> PAGEREF _Toc100748286 \h </w:instrText>
        </w:r>
        <w:r w:rsidR="00406E6F">
          <w:rPr>
            <w:noProof/>
            <w:webHidden/>
          </w:rPr>
        </w:r>
        <w:r w:rsidR="00406E6F">
          <w:rPr>
            <w:noProof/>
            <w:webHidden/>
          </w:rPr>
          <w:fldChar w:fldCharType="separate"/>
        </w:r>
        <w:r w:rsidR="00AA5AAC">
          <w:rPr>
            <w:noProof/>
            <w:webHidden/>
          </w:rPr>
          <w:t>7</w:t>
        </w:r>
        <w:r w:rsidR="00406E6F">
          <w:rPr>
            <w:noProof/>
            <w:webHidden/>
          </w:rPr>
          <w:fldChar w:fldCharType="end"/>
        </w:r>
      </w:hyperlink>
    </w:p>
    <w:p w14:paraId="7DF05AE1" w14:textId="476A7305" w:rsidR="00406E6F" w:rsidRDefault="002C1A5C">
      <w:pPr>
        <w:pStyle w:val="TableofFigures"/>
        <w:tabs>
          <w:tab w:val="right" w:leader="dot" w:pos="9350"/>
        </w:tabs>
        <w:rPr>
          <w:rFonts w:asciiTheme="minorHAnsi" w:eastAsiaTheme="minorEastAsia" w:hAnsiTheme="minorHAnsi"/>
          <w:noProof/>
          <w:sz w:val="22"/>
        </w:rPr>
      </w:pPr>
      <w:hyperlink r:id="rId15" w:anchor="_Toc100748287" w:history="1">
        <w:r w:rsidR="00406E6F" w:rsidRPr="00C021B0">
          <w:rPr>
            <w:rStyle w:val="Hyperlink"/>
            <w:noProof/>
          </w:rPr>
          <w:t xml:space="preserve">Figure 1.6. </w:t>
        </w:r>
        <w:r w:rsidR="00406E6F" w:rsidRPr="00C021B0">
          <w:rPr>
            <w:rStyle w:val="Hyperlink"/>
            <w:rFonts w:cs="Times New Roman"/>
            <w:noProof/>
          </w:rPr>
          <w:t>β</w:t>
        </w:r>
        <w:r w:rsidR="00406E6F" w:rsidRPr="00C021B0">
          <w:rPr>
            <w:rStyle w:val="Hyperlink"/>
            <w:rFonts w:cstheme="minorHAnsi"/>
            <w:noProof/>
          </w:rPr>
          <w:t>-carboline</w:t>
        </w:r>
        <w:r w:rsidR="00406E6F" w:rsidRPr="00C021B0">
          <w:rPr>
            <w:rStyle w:val="Hyperlink"/>
            <w:noProof/>
          </w:rPr>
          <w:t>-containing natural products and biologically active compounds.</w:t>
        </w:r>
        <w:r w:rsidR="00406E6F">
          <w:rPr>
            <w:noProof/>
            <w:webHidden/>
          </w:rPr>
          <w:tab/>
        </w:r>
        <w:r w:rsidR="00406E6F">
          <w:rPr>
            <w:noProof/>
            <w:webHidden/>
          </w:rPr>
          <w:fldChar w:fldCharType="begin"/>
        </w:r>
        <w:r w:rsidR="00406E6F">
          <w:rPr>
            <w:noProof/>
            <w:webHidden/>
          </w:rPr>
          <w:instrText xml:space="preserve"> PAGEREF _Toc100748287 \h </w:instrText>
        </w:r>
        <w:r w:rsidR="00406E6F">
          <w:rPr>
            <w:noProof/>
            <w:webHidden/>
          </w:rPr>
        </w:r>
        <w:r w:rsidR="00406E6F">
          <w:rPr>
            <w:noProof/>
            <w:webHidden/>
          </w:rPr>
          <w:fldChar w:fldCharType="separate"/>
        </w:r>
        <w:r w:rsidR="00AA5AAC">
          <w:rPr>
            <w:noProof/>
            <w:webHidden/>
          </w:rPr>
          <w:t>8</w:t>
        </w:r>
        <w:r w:rsidR="00406E6F">
          <w:rPr>
            <w:noProof/>
            <w:webHidden/>
          </w:rPr>
          <w:fldChar w:fldCharType="end"/>
        </w:r>
      </w:hyperlink>
    </w:p>
    <w:p w14:paraId="08DB5869" w14:textId="6C336896" w:rsidR="00406E6F" w:rsidRDefault="002C1A5C">
      <w:pPr>
        <w:pStyle w:val="TableofFigures"/>
        <w:tabs>
          <w:tab w:val="right" w:leader="dot" w:pos="9350"/>
        </w:tabs>
        <w:rPr>
          <w:rFonts w:asciiTheme="minorHAnsi" w:eastAsiaTheme="minorEastAsia" w:hAnsiTheme="minorHAnsi"/>
          <w:noProof/>
          <w:sz w:val="22"/>
        </w:rPr>
      </w:pPr>
      <w:hyperlink r:id="rId16" w:anchor="_Toc100748288" w:history="1">
        <w:r w:rsidR="00406E6F" w:rsidRPr="00C021B0">
          <w:rPr>
            <w:rStyle w:val="Hyperlink"/>
            <w:noProof/>
          </w:rPr>
          <w:t>Figure 1.7. Depiction of isolation process of bis-</w:t>
        </w:r>
        <w:r w:rsidR="00406E6F" w:rsidRPr="00C021B0">
          <w:rPr>
            <w:rStyle w:val="Hyperlink"/>
            <w:rFonts w:cs="Times New Roman"/>
            <w:noProof/>
          </w:rPr>
          <w:t>β</w:t>
        </w:r>
        <w:r w:rsidR="00406E6F" w:rsidRPr="00C021B0">
          <w:rPr>
            <w:rStyle w:val="Hyperlink"/>
            <w:noProof/>
          </w:rPr>
          <w:t>-carbolines conducted by Yao et al.</w:t>
        </w:r>
        <w:r w:rsidR="00406E6F">
          <w:rPr>
            <w:noProof/>
            <w:webHidden/>
          </w:rPr>
          <w:tab/>
        </w:r>
        <w:r w:rsidR="00406E6F">
          <w:rPr>
            <w:noProof/>
            <w:webHidden/>
          </w:rPr>
          <w:fldChar w:fldCharType="begin"/>
        </w:r>
        <w:r w:rsidR="00406E6F">
          <w:rPr>
            <w:noProof/>
            <w:webHidden/>
          </w:rPr>
          <w:instrText xml:space="preserve"> PAGEREF _Toc100748288 \h </w:instrText>
        </w:r>
        <w:r w:rsidR="00406E6F">
          <w:rPr>
            <w:noProof/>
            <w:webHidden/>
          </w:rPr>
        </w:r>
        <w:r w:rsidR="00406E6F">
          <w:rPr>
            <w:noProof/>
            <w:webHidden/>
          </w:rPr>
          <w:fldChar w:fldCharType="separate"/>
        </w:r>
        <w:r w:rsidR="00AA5AAC">
          <w:rPr>
            <w:noProof/>
            <w:webHidden/>
          </w:rPr>
          <w:t>9</w:t>
        </w:r>
        <w:r w:rsidR="00406E6F">
          <w:rPr>
            <w:noProof/>
            <w:webHidden/>
          </w:rPr>
          <w:fldChar w:fldCharType="end"/>
        </w:r>
      </w:hyperlink>
    </w:p>
    <w:p w14:paraId="61DB728F" w14:textId="391AF18E" w:rsidR="00406E6F" w:rsidRDefault="002C1A5C">
      <w:pPr>
        <w:pStyle w:val="TableofFigures"/>
        <w:tabs>
          <w:tab w:val="right" w:leader="dot" w:pos="9350"/>
        </w:tabs>
        <w:rPr>
          <w:rFonts w:asciiTheme="minorHAnsi" w:eastAsiaTheme="minorEastAsia" w:hAnsiTheme="minorHAnsi"/>
          <w:noProof/>
          <w:sz w:val="22"/>
        </w:rPr>
      </w:pPr>
      <w:hyperlink r:id="rId17" w:anchor="_Toc100748289" w:history="1">
        <w:r w:rsidR="00406E6F" w:rsidRPr="00C021B0">
          <w:rPr>
            <w:rStyle w:val="Hyperlink"/>
            <w:noProof/>
          </w:rPr>
          <w:t>Figure 1.8. Stages of Diabetic Retinopathy through retinal images.</w:t>
        </w:r>
        <w:r w:rsidR="00406E6F">
          <w:rPr>
            <w:noProof/>
            <w:webHidden/>
          </w:rPr>
          <w:tab/>
        </w:r>
        <w:r w:rsidR="00406E6F">
          <w:rPr>
            <w:noProof/>
            <w:webHidden/>
          </w:rPr>
          <w:fldChar w:fldCharType="begin"/>
        </w:r>
        <w:r w:rsidR="00406E6F">
          <w:rPr>
            <w:noProof/>
            <w:webHidden/>
          </w:rPr>
          <w:instrText xml:space="preserve"> PAGEREF _Toc100748289 \h </w:instrText>
        </w:r>
        <w:r w:rsidR="00406E6F">
          <w:rPr>
            <w:noProof/>
            <w:webHidden/>
          </w:rPr>
        </w:r>
        <w:r w:rsidR="00406E6F">
          <w:rPr>
            <w:noProof/>
            <w:webHidden/>
          </w:rPr>
          <w:fldChar w:fldCharType="separate"/>
        </w:r>
        <w:r w:rsidR="00AA5AAC">
          <w:rPr>
            <w:noProof/>
            <w:webHidden/>
          </w:rPr>
          <w:t>15</w:t>
        </w:r>
        <w:r w:rsidR="00406E6F">
          <w:rPr>
            <w:noProof/>
            <w:webHidden/>
          </w:rPr>
          <w:fldChar w:fldCharType="end"/>
        </w:r>
      </w:hyperlink>
    </w:p>
    <w:p w14:paraId="3AC6BD8D" w14:textId="101E818A" w:rsidR="00406E6F" w:rsidRDefault="002C1A5C">
      <w:pPr>
        <w:pStyle w:val="TableofFigures"/>
        <w:tabs>
          <w:tab w:val="right" w:leader="dot" w:pos="9350"/>
        </w:tabs>
        <w:rPr>
          <w:rFonts w:asciiTheme="minorHAnsi" w:eastAsiaTheme="minorEastAsia" w:hAnsiTheme="minorHAnsi"/>
          <w:noProof/>
          <w:sz w:val="22"/>
        </w:rPr>
      </w:pPr>
      <w:hyperlink r:id="rId18" w:anchor="_Toc100748290" w:history="1">
        <w:r w:rsidR="00406E6F" w:rsidRPr="00C021B0">
          <w:rPr>
            <w:rStyle w:val="Hyperlink"/>
            <w:noProof/>
          </w:rPr>
          <w:t>Figure 1.9. Structures of PPAR active compounds referenced in this section.</w:t>
        </w:r>
        <w:r w:rsidR="00406E6F">
          <w:rPr>
            <w:noProof/>
            <w:webHidden/>
          </w:rPr>
          <w:tab/>
        </w:r>
        <w:r w:rsidR="00406E6F">
          <w:rPr>
            <w:noProof/>
            <w:webHidden/>
          </w:rPr>
          <w:fldChar w:fldCharType="begin"/>
        </w:r>
        <w:r w:rsidR="00406E6F">
          <w:rPr>
            <w:noProof/>
            <w:webHidden/>
          </w:rPr>
          <w:instrText xml:space="preserve"> PAGEREF _Toc100748290 \h </w:instrText>
        </w:r>
        <w:r w:rsidR="00406E6F">
          <w:rPr>
            <w:noProof/>
            <w:webHidden/>
          </w:rPr>
        </w:r>
        <w:r w:rsidR="00406E6F">
          <w:rPr>
            <w:noProof/>
            <w:webHidden/>
          </w:rPr>
          <w:fldChar w:fldCharType="separate"/>
        </w:r>
        <w:r w:rsidR="00AA5AAC">
          <w:rPr>
            <w:noProof/>
            <w:webHidden/>
          </w:rPr>
          <w:t>18</w:t>
        </w:r>
        <w:r w:rsidR="00406E6F">
          <w:rPr>
            <w:noProof/>
            <w:webHidden/>
          </w:rPr>
          <w:fldChar w:fldCharType="end"/>
        </w:r>
      </w:hyperlink>
    </w:p>
    <w:p w14:paraId="7562AFBF" w14:textId="59EB7509" w:rsidR="00406E6F" w:rsidRDefault="002C1A5C">
      <w:pPr>
        <w:pStyle w:val="TableofFigures"/>
        <w:tabs>
          <w:tab w:val="right" w:leader="dot" w:pos="9350"/>
        </w:tabs>
        <w:rPr>
          <w:rFonts w:asciiTheme="minorHAnsi" w:eastAsiaTheme="minorEastAsia" w:hAnsiTheme="minorHAnsi"/>
          <w:noProof/>
          <w:sz w:val="22"/>
        </w:rPr>
      </w:pPr>
      <w:hyperlink r:id="rId19" w:anchor="_Toc100748291" w:history="1">
        <w:r w:rsidR="00406E6F" w:rsidRPr="00C021B0">
          <w:rPr>
            <w:rStyle w:val="Hyperlink"/>
            <w:noProof/>
          </w:rPr>
          <w:t xml:space="preserve">Figure 1.10. Structures of β-carboline alkaloids from </w:t>
        </w:r>
        <w:r w:rsidR="00406E6F" w:rsidRPr="00C021B0">
          <w:rPr>
            <w:rStyle w:val="Hyperlink"/>
            <w:i/>
            <w:noProof/>
          </w:rPr>
          <w:t xml:space="preserve">Picrasma quassioides </w:t>
        </w:r>
        <w:r w:rsidR="00406E6F" w:rsidRPr="00C021B0">
          <w:rPr>
            <w:rStyle w:val="Hyperlink"/>
            <w:noProof/>
          </w:rPr>
          <w:t>extracts.</w:t>
        </w:r>
        <w:r w:rsidR="00406E6F">
          <w:rPr>
            <w:noProof/>
            <w:webHidden/>
          </w:rPr>
          <w:tab/>
        </w:r>
        <w:r w:rsidR="00406E6F">
          <w:rPr>
            <w:noProof/>
            <w:webHidden/>
          </w:rPr>
          <w:fldChar w:fldCharType="begin"/>
        </w:r>
        <w:r w:rsidR="00406E6F">
          <w:rPr>
            <w:noProof/>
            <w:webHidden/>
          </w:rPr>
          <w:instrText xml:space="preserve"> PAGEREF _Toc100748291 \h </w:instrText>
        </w:r>
        <w:r w:rsidR="00406E6F">
          <w:rPr>
            <w:noProof/>
            <w:webHidden/>
          </w:rPr>
        </w:r>
        <w:r w:rsidR="00406E6F">
          <w:rPr>
            <w:noProof/>
            <w:webHidden/>
          </w:rPr>
          <w:fldChar w:fldCharType="separate"/>
        </w:r>
        <w:r w:rsidR="00AA5AAC">
          <w:rPr>
            <w:noProof/>
            <w:webHidden/>
          </w:rPr>
          <w:t>21</w:t>
        </w:r>
        <w:r w:rsidR="00406E6F">
          <w:rPr>
            <w:noProof/>
            <w:webHidden/>
          </w:rPr>
          <w:fldChar w:fldCharType="end"/>
        </w:r>
      </w:hyperlink>
    </w:p>
    <w:p w14:paraId="65FD374F" w14:textId="48DCBBDF" w:rsidR="00406E6F" w:rsidRDefault="002C1A5C">
      <w:pPr>
        <w:pStyle w:val="TableofFigures"/>
        <w:tabs>
          <w:tab w:val="right" w:leader="dot" w:pos="9350"/>
        </w:tabs>
        <w:rPr>
          <w:rFonts w:asciiTheme="minorHAnsi" w:eastAsiaTheme="minorEastAsia" w:hAnsiTheme="minorHAnsi"/>
          <w:noProof/>
          <w:sz w:val="22"/>
        </w:rPr>
      </w:pPr>
      <w:hyperlink r:id="rId20" w:anchor="_Toc100748292" w:history="1">
        <w:r w:rsidR="00406E6F" w:rsidRPr="00C021B0">
          <w:rPr>
            <w:rStyle w:val="Hyperlink"/>
            <w:noProof/>
          </w:rPr>
          <w:t>Figure 1.11. Cumulative COVID-19 cases in ten countries by date.</w:t>
        </w:r>
        <w:r w:rsidR="00406E6F">
          <w:rPr>
            <w:noProof/>
            <w:webHidden/>
          </w:rPr>
          <w:tab/>
        </w:r>
        <w:r w:rsidR="00406E6F">
          <w:rPr>
            <w:noProof/>
            <w:webHidden/>
          </w:rPr>
          <w:fldChar w:fldCharType="begin"/>
        </w:r>
        <w:r w:rsidR="00406E6F">
          <w:rPr>
            <w:noProof/>
            <w:webHidden/>
          </w:rPr>
          <w:instrText xml:space="preserve"> PAGEREF _Toc100748292 \h </w:instrText>
        </w:r>
        <w:r w:rsidR="00406E6F">
          <w:rPr>
            <w:noProof/>
            <w:webHidden/>
          </w:rPr>
        </w:r>
        <w:r w:rsidR="00406E6F">
          <w:rPr>
            <w:noProof/>
            <w:webHidden/>
          </w:rPr>
          <w:fldChar w:fldCharType="separate"/>
        </w:r>
        <w:r w:rsidR="00AA5AAC">
          <w:rPr>
            <w:noProof/>
            <w:webHidden/>
          </w:rPr>
          <w:t>24</w:t>
        </w:r>
        <w:r w:rsidR="00406E6F">
          <w:rPr>
            <w:noProof/>
            <w:webHidden/>
          </w:rPr>
          <w:fldChar w:fldCharType="end"/>
        </w:r>
      </w:hyperlink>
    </w:p>
    <w:p w14:paraId="3E3FB488" w14:textId="0C1E2517" w:rsidR="00406E6F" w:rsidRDefault="002C1A5C">
      <w:pPr>
        <w:pStyle w:val="TableofFigures"/>
        <w:tabs>
          <w:tab w:val="right" w:leader="dot" w:pos="9350"/>
        </w:tabs>
        <w:rPr>
          <w:rFonts w:asciiTheme="minorHAnsi" w:eastAsiaTheme="minorEastAsia" w:hAnsiTheme="minorHAnsi"/>
          <w:noProof/>
          <w:sz w:val="22"/>
        </w:rPr>
      </w:pPr>
      <w:hyperlink r:id="rId21" w:anchor="_Toc100748293" w:history="1">
        <w:r w:rsidR="00406E6F" w:rsidRPr="00C021B0">
          <w:rPr>
            <w:rStyle w:val="Hyperlink"/>
            <w:noProof/>
          </w:rPr>
          <w:t>Figure 1.12. (A – C) Compounds with reported antiviral activity, and (D) Existing compounds in the Duerfeldt lab small molecule library.</w:t>
        </w:r>
        <w:r w:rsidR="00406E6F">
          <w:rPr>
            <w:noProof/>
            <w:webHidden/>
          </w:rPr>
          <w:tab/>
        </w:r>
        <w:r w:rsidR="00406E6F">
          <w:rPr>
            <w:noProof/>
            <w:webHidden/>
          </w:rPr>
          <w:fldChar w:fldCharType="begin"/>
        </w:r>
        <w:r w:rsidR="00406E6F">
          <w:rPr>
            <w:noProof/>
            <w:webHidden/>
          </w:rPr>
          <w:instrText xml:space="preserve"> PAGEREF _Toc100748293 \h </w:instrText>
        </w:r>
        <w:r w:rsidR="00406E6F">
          <w:rPr>
            <w:noProof/>
            <w:webHidden/>
          </w:rPr>
        </w:r>
        <w:r w:rsidR="00406E6F">
          <w:rPr>
            <w:noProof/>
            <w:webHidden/>
          </w:rPr>
          <w:fldChar w:fldCharType="separate"/>
        </w:r>
        <w:r w:rsidR="00AA5AAC">
          <w:rPr>
            <w:noProof/>
            <w:webHidden/>
          </w:rPr>
          <w:t>27</w:t>
        </w:r>
        <w:r w:rsidR="00406E6F">
          <w:rPr>
            <w:noProof/>
            <w:webHidden/>
          </w:rPr>
          <w:fldChar w:fldCharType="end"/>
        </w:r>
      </w:hyperlink>
    </w:p>
    <w:p w14:paraId="2CFD8F49" w14:textId="37F11F1E" w:rsidR="00406E6F" w:rsidRDefault="002C1A5C">
      <w:pPr>
        <w:pStyle w:val="TableofFigures"/>
        <w:tabs>
          <w:tab w:val="right" w:leader="dot" w:pos="9350"/>
        </w:tabs>
        <w:rPr>
          <w:rFonts w:asciiTheme="minorHAnsi" w:eastAsiaTheme="minorEastAsia" w:hAnsiTheme="minorHAnsi"/>
          <w:noProof/>
          <w:sz w:val="22"/>
        </w:rPr>
      </w:pPr>
      <w:hyperlink r:id="rId22" w:anchor="_Toc100748294" w:history="1">
        <w:r w:rsidR="00406E6F" w:rsidRPr="00C021B0">
          <w:rPr>
            <w:rStyle w:val="Hyperlink"/>
            <w:noProof/>
          </w:rPr>
          <w:t>Figure 1.13. Structural evolution from ML188 to JG58.</w:t>
        </w:r>
        <w:r w:rsidR="00406E6F">
          <w:rPr>
            <w:noProof/>
            <w:webHidden/>
          </w:rPr>
          <w:tab/>
        </w:r>
        <w:r w:rsidR="00406E6F">
          <w:rPr>
            <w:noProof/>
            <w:webHidden/>
          </w:rPr>
          <w:fldChar w:fldCharType="begin"/>
        </w:r>
        <w:r w:rsidR="00406E6F">
          <w:rPr>
            <w:noProof/>
            <w:webHidden/>
          </w:rPr>
          <w:instrText xml:space="preserve"> PAGEREF _Toc100748294 \h </w:instrText>
        </w:r>
        <w:r w:rsidR="00406E6F">
          <w:rPr>
            <w:noProof/>
            <w:webHidden/>
          </w:rPr>
        </w:r>
        <w:r w:rsidR="00406E6F">
          <w:rPr>
            <w:noProof/>
            <w:webHidden/>
          </w:rPr>
          <w:fldChar w:fldCharType="separate"/>
        </w:r>
        <w:r w:rsidR="00AA5AAC">
          <w:rPr>
            <w:noProof/>
            <w:webHidden/>
          </w:rPr>
          <w:t>29</w:t>
        </w:r>
        <w:r w:rsidR="00406E6F">
          <w:rPr>
            <w:noProof/>
            <w:webHidden/>
          </w:rPr>
          <w:fldChar w:fldCharType="end"/>
        </w:r>
      </w:hyperlink>
    </w:p>
    <w:p w14:paraId="166EC11C" w14:textId="1384014D" w:rsidR="00406E6F" w:rsidRDefault="002C1A5C">
      <w:pPr>
        <w:pStyle w:val="TableofFigures"/>
        <w:tabs>
          <w:tab w:val="right" w:leader="dot" w:pos="9350"/>
        </w:tabs>
        <w:rPr>
          <w:rFonts w:asciiTheme="minorHAnsi" w:eastAsiaTheme="minorEastAsia" w:hAnsiTheme="minorHAnsi"/>
          <w:noProof/>
          <w:sz w:val="22"/>
        </w:rPr>
      </w:pPr>
      <w:hyperlink r:id="rId23" w:anchor="_Toc100748295" w:history="1">
        <w:r w:rsidR="00406E6F" w:rsidRPr="00C021B0">
          <w:rPr>
            <w:rStyle w:val="Hyperlink"/>
            <w:noProof/>
          </w:rPr>
          <w:t xml:space="preserve">Figure 2.1. </w:t>
        </w:r>
        <w:r w:rsidR="00406E6F" w:rsidRPr="00C021B0">
          <w:rPr>
            <w:rStyle w:val="Hyperlink"/>
            <w:rFonts w:cs="Times New Roman"/>
            <w:noProof/>
          </w:rPr>
          <w:t>CpxRA signaling overview.</w:t>
        </w:r>
        <w:r w:rsidR="00406E6F">
          <w:rPr>
            <w:noProof/>
            <w:webHidden/>
          </w:rPr>
          <w:tab/>
        </w:r>
        <w:r w:rsidR="00406E6F">
          <w:rPr>
            <w:noProof/>
            <w:webHidden/>
          </w:rPr>
          <w:fldChar w:fldCharType="begin"/>
        </w:r>
        <w:r w:rsidR="00406E6F">
          <w:rPr>
            <w:noProof/>
            <w:webHidden/>
          </w:rPr>
          <w:instrText xml:space="preserve"> PAGEREF _Toc100748295 \h </w:instrText>
        </w:r>
        <w:r w:rsidR="00406E6F">
          <w:rPr>
            <w:noProof/>
            <w:webHidden/>
          </w:rPr>
        </w:r>
        <w:r w:rsidR="00406E6F">
          <w:rPr>
            <w:noProof/>
            <w:webHidden/>
          </w:rPr>
          <w:fldChar w:fldCharType="separate"/>
        </w:r>
        <w:r w:rsidR="00AA5AAC">
          <w:rPr>
            <w:noProof/>
            <w:webHidden/>
          </w:rPr>
          <w:t>55</w:t>
        </w:r>
        <w:r w:rsidR="00406E6F">
          <w:rPr>
            <w:noProof/>
            <w:webHidden/>
          </w:rPr>
          <w:fldChar w:fldCharType="end"/>
        </w:r>
      </w:hyperlink>
    </w:p>
    <w:p w14:paraId="31F2FDA1" w14:textId="15C01865" w:rsidR="00406E6F" w:rsidRDefault="002C1A5C">
      <w:pPr>
        <w:pStyle w:val="TableofFigures"/>
        <w:tabs>
          <w:tab w:val="right" w:leader="dot" w:pos="9350"/>
        </w:tabs>
        <w:rPr>
          <w:rFonts w:asciiTheme="minorHAnsi" w:eastAsiaTheme="minorEastAsia" w:hAnsiTheme="minorHAnsi"/>
          <w:noProof/>
          <w:sz w:val="22"/>
        </w:rPr>
      </w:pPr>
      <w:hyperlink r:id="rId24" w:anchor="_Toc100748296" w:history="1">
        <w:r w:rsidR="00406E6F" w:rsidRPr="00C021B0">
          <w:rPr>
            <w:rStyle w:val="Hyperlink"/>
            <w:noProof/>
          </w:rPr>
          <w:t>Figure 2.2. Initial SAR reported on the 2,3,4,9-tetrahydro-1</w:t>
        </w:r>
        <w:r w:rsidR="00406E6F" w:rsidRPr="00C021B0">
          <w:rPr>
            <w:rStyle w:val="Hyperlink"/>
            <w:i/>
            <w:noProof/>
          </w:rPr>
          <w:t>H</w:t>
        </w:r>
        <w:r w:rsidR="00406E6F" w:rsidRPr="00C021B0">
          <w:rPr>
            <w:rStyle w:val="Hyperlink"/>
            <w:noProof/>
          </w:rPr>
          <w:t>-carbazol-1-amine chemotype.</w:t>
        </w:r>
        <w:r w:rsidR="00406E6F">
          <w:rPr>
            <w:noProof/>
            <w:webHidden/>
          </w:rPr>
          <w:tab/>
        </w:r>
        <w:r w:rsidR="00406E6F">
          <w:rPr>
            <w:noProof/>
            <w:webHidden/>
          </w:rPr>
          <w:fldChar w:fldCharType="begin"/>
        </w:r>
        <w:r w:rsidR="00406E6F">
          <w:rPr>
            <w:noProof/>
            <w:webHidden/>
          </w:rPr>
          <w:instrText xml:space="preserve"> PAGEREF _Toc100748296 \h </w:instrText>
        </w:r>
        <w:r w:rsidR="00406E6F">
          <w:rPr>
            <w:noProof/>
            <w:webHidden/>
          </w:rPr>
        </w:r>
        <w:r w:rsidR="00406E6F">
          <w:rPr>
            <w:noProof/>
            <w:webHidden/>
          </w:rPr>
          <w:fldChar w:fldCharType="separate"/>
        </w:r>
        <w:r w:rsidR="00AA5AAC">
          <w:rPr>
            <w:noProof/>
            <w:webHidden/>
          </w:rPr>
          <w:t>56</w:t>
        </w:r>
        <w:r w:rsidR="00406E6F">
          <w:rPr>
            <w:noProof/>
            <w:webHidden/>
          </w:rPr>
          <w:fldChar w:fldCharType="end"/>
        </w:r>
      </w:hyperlink>
    </w:p>
    <w:p w14:paraId="51F8D4A4" w14:textId="66A3B514" w:rsidR="00406E6F" w:rsidRDefault="002C1A5C">
      <w:pPr>
        <w:pStyle w:val="TableofFigures"/>
        <w:tabs>
          <w:tab w:val="right" w:leader="dot" w:pos="9350"/>
        </w:tabs>
        <w:rPr>
          <w:rFonts w:asciiTheme="minorHAnsi" w:eastAsiaTheme="minorEastAsia" w:hAnsiTheme="minorHAnsi"/>
          <w:noProof/>
          <w:sz w:val="22"/>
        </w:rPr>
      </w:pPr>
      <w:hyperlink r:id="rId25" w:anchor="_Toc100748297" w:history="1">
        <w:r w:rsidR="00406E6F" w:rsidRPr="00C021B0">
          <w:rPr>
            <w:rStyle w:val="Hyperlink"/>
            <w:noProof/>
          </w:rPr>
          <w:t>Figure 2.3.</w:t>
        </w:r>
        <w:r w:rsidR="00406E6F" w:rsidRPr="00C021B0">
          <w:rPr>
            <w:rStyle w:val="Hyperlink"/>
            <w:i/>
            <w:iCs/>
            <w:noProof/>
          </w:rPr>
          <w:t xml:space="preserve"> </w:t>
        </w:r>
        <w:r w:rsidR="00406E6F" w:rsidRPr="00C021B0">
          <w:rPr>
            <w:rStyle w:val="Hyperlink"/>
            <w:rFonts w:cs="Times New Roman"/>
            <w:noProof/>
            <w:shd w:val="clear" w:color="auto" w:fill="FFFFFF"/>
          </w:rPr>
          <w:t>SAR strategy and rationale for the targeted analogs.</w:t>
        </w:r>
        <w:r w:rsidR="00406E6F">
          <w:rPr>
            <w:noProof/>
            <w:webHidden/>
          </w:rPr>
          <w:tab/>
        </w:r>
        <w:r w:rsidR="00406E6F">
          <w:rPr>
            <w:noProof/>
            <w:webHidden/>
          </w:rPr>
          <w:fldChar w:fldCharType="begin"/>
        </w:r>
        <w:r w:rsidR="00406E6F">
          <w:rPr>
            <w:noProof/>
            <w:webHidden/>
          </w:rPr>
          <w:instrText xml:space="preserve"> PAGEREF _Toc100748297 \h </w:instrText>
        </w:r>
        <w:r w:rsidR="00406E6F">
          <w:rPr>
            <w:noProof/>
            <w:webHidden/>
          </w:rPr>
        </w:r>
        <w:r w:rsidR="00406E6F">
          <w:rPr>
            <w:noProof/>
            <w:webHidden/>
          </w:rPr>
          <w:fldChar w:fldCharType="separate"/>
        </w:r>
        <w:r w:rsidR="00AA5AAC">
          <w:rPr>
            <w:noProof/>
            <w:webHidden/>
          </w:rPr>
          <w:t>57</w:t>
        </w:r>
        <w:r w:rsidR="00406E6F">
          <w:rPr>
            <w:noProof/>
            <w:webHidden/>
          </w:rPr>
          <w:fldChar w:fldCharType="end"/>
        </w:r>
      </w:hyperlink>
    </w:p>
    <w:p w14:paraId="52027889" w14:textId="4D6E5337" w:rsidR="00406E6F" w:rsidRDefault="002C1A5C">
      <w:pPr>
        <w:pStyle w:val="TableofFigures"/>
        <w:tabs>
          <w:tab w:val="right" w:leader="dot" w:pos="9350"/>
        </w:tabs>
        <w:rPr>
          <w:rFonts w:asciiTheme="minorHAnsi" w:eastAsiaTheme="minorEastAsia" w:hAnsiTheme="minorHAnsi"/>
          <w:noProof/>
          <w:sz w:val="22"/>
        </w:rPr>
      </w:pPr>
      <w:hyperlink r:id="rId26" w:anchor="_Toc100748298" w:history="1">
        <w:r w:rsidR="00406E6F" w:rsidRPr="00C021B0">
          <w:rPr>
            <w:rStyle w:val="Hyperlink"/>
            <w:noProof/>
          </w:rPr>
          <w:t xml:space="preserve">Figure 2.4. </w:t>
        </w:r>
        <w:r w:rsidR="00406E6F" w:rsidRPr="00C021B0">
          <w:rPr>
            <w:rStyle w:val="Hyperlink"/>
            <w:rFonts w:cs="Times New Roman"/>
            <w:noProof/>
            <w:shd w:val="clear" w:color="auto" w:fill="FFFFFF"/>
          </w:rPr>
          <w:t>β-galactosidase activity of A-ring substituted analogs.</w:t>
        </w:r>
        <w:r w:rsidR="00406E6F">
          <w:rPr>
            <w:noProof/>
            <w:webHidden/>
          </w:rPr>
          <w:tab/>
        </w:r>
        <w:r w:rsidR="00406E6F">
          <w:rPr>
            <w:noProof/>
            <w:webHidden/>
          </w:rPr>
          <w:fldChar w:fldCharType="begin"/>
        </w:r>
        <w:r w:rsidR="00406E6F">
          <w:rPr>
            <w:noProof/>
            <w:webHidden/>
          </w:rPr>
          <w:instrText xml:space="preserve"> PAGEREF _Toc100748298 \h </w:instrText>
        </w:r>
        <w:r w:rsidR="00406E6F">
          <w:rPr>
            <w:noProof/>
            <w:webHidden/>
          </w:rPr>
        </w:r>
        <w:r w:rsidR="00406E6F">
          <w:rPr>
            <w:noProof/>
            <w:webHidden/>
          </w:rPr>
          <w:fldChar w:fldCharType="separate"/>
        </w:r>
        <w:r w:rsidR="00AA5AAC">
          <w:rPr>
            <w:noProof/>
            <w:webHidden/>
          </w:rPr>
          <w:t>59</w:t>
        </w:r>
        <w:r w:rsidR="00406E6F">
          <w:rPr>
            <w:noProof/>
            <w:webHidden/>
          </w:rPr>
          <w:fldChar w:fldCharType="end"/>
        </w:r>
      </w:hyperlink>
    </w:p>
    <w:p w14:paraId="43D6FB42" w14:textId="3EBE549E" w:rsidR="00406E6F" w:rsidRDefault="002C1A5C">
      <w:pPr>
        <w:pStyle w:val="TableofFigures"/>
        <w:tabs>
          <w:tab w:val="right" w:leader="dot" w:pos="9350"/>
        </w:tabs>
        <w:rPr>
          <w:rFonts w:asciiTheme="minorHAnsi" w:eastAsiaTheme="minorEastAsia" w:hAnsiTheme="minorHAnsi"/>
          <w:noProof/>
          <w:sz w:val="22"/>
        </w:rPr>
      </w:pPr>
      <w:hyperlink r:id="rId27" w:anchor="_Toc100748299" w:history="1">
        <w:r w:rsidR="00406E6F" w:rsidRPr="00C021B0">
          <w:rPr>
            <w:rStyle w:val="Hyperlink"/>
            <w:noProof/>
          </w:rPr>
          <w:t xml:space="preserve">Figure 2.5. </w:t>
        </w:r>
        <w:r w:rsidR="00406E6F" w:rsidRPr="00C021B0">
          <w:rPr>
            <w:rStyle w:val="Hyperlink"/>
            <w:rFonts w:cs="Times New Roman"/>
            <w:noProof/>
            <w:shd w:val="clear" w:color="auto" w:fill="FFFFFF"/>
          </w:rPr>
          <w:t>Results of “substituent-walk” around the A-ring.</w:t>
        </w:r>
        <w:r w:rsidR="00406E6F">
          <w:rPr>
            <w:noProof/>
            <w:webHidden/>
          </w:rPr>
          <w:tab/>
        </w:r>
        <w:r w:rsidR="00406E6F">
          <w:rPr>
            <w:noProof/>
            <w:webHidden/>
          </w:rPr>
          <w:fldChar w:fldCharType="begin"/>
        </w:r>
        <w:r w:rsidR="00406E6F">
          <w:rPr>
            <w:noProof/>
            <w:webHidden/>
          </w:rPr>
          <w:instrText xml:space="preserve"> PAGEREF _Toc100748299 \h </w:instrText>
        </w:r>
        <w:r w:rsidR="00406E6F">
          <w:rPr>
            <w:noProof/>
            <w:webHidden/>
          </w:rPr>
        </w:r>
        <w:r w:rsidR="00406E6F">
          <w:rPr>
            <w:noProof/>
            <w:webHidden/>
          </w:rPr>
          <w:fldChar w:fldCharType="separate"/>
        </w:r>
        <w:r w:rsidR="00AA5AAC">
          <w:rPr>
            <w:noProof/>
            <w:webHidden/>
          </w:rPr>
          <w:t>60</w:t>
        </w:r>
        <w:r w:rsidR="00406E6F">
          <w:rPr>
            <w:noProof/>
            <w:webHidden/>
          </w:rPr>
          <w:fldChar w:fldCharType="end"/>
        </w:r>
      </w:hyperlink>
    </w:p>
    <w:p w14:paraId="2971E480" w14:textId="56043E67" w:rsidR="00406E6F" w:rsidRDefault="002C1A5C">
      <w:pPr>
        <w:pStyle w:val="TableofFigures"/>
        <w:tabs>
          <w:tab w:val="right" w:leader="dot" w:pos="9350"/>
        </w:tabs>
        <w:rPr>
          <w:rFonts w:asciiTheme="minorHAnsi" w:eastAsiaTheme="minorEastAsia" w:hAnsiTheme="minorHAnsi"/>
          <w:noProof/>
          <w:sz w:val="22"/>
        </w:rPr>
      </w:pPr>
      <w:hyperlink r:id="rId28" w:anchor="_Toc100748300" w:history="1">
        <w:r w:rsidR="00406E6F" w:rsidRPr="00C021B0">
          <w:rPr>
            <w:rStyle w:val="Hyperlink"/>
            <w:noProof/>
          </w:rPr>
          <w:t xml:space="preserve">Figure 2.6. </w:t>
        </w:r>
        <w:r w:rsidR="00406E6F" w:rsidRPr="00C021B0">
          <w:rPr>
            <w:rStyle w:val="Hyperlink"/>
            <w:rFonts w:cs="Times New Roman"/>
            <w:noProof/>
            <w:shd w:val="clear" w:color="auto" w:fill="FFFFFF"/>
          </w:rPr>
          <w:t>Effects of C-ring deconstruction.</w:t>
        </w:r>
        <w:r w:rsidR="00406E6F">
          <w:rPr>
            <w:noProof/>
            <w:webHidden/>
          </w:rPr>
          <w:tab/>
        </w:r>
        <w:r w:rsidR="00406E6F">
          <w:rPr>
            <w:noProof/>
            <w:webHidden/>
          </w:rPr>
          <w:fldChar w:fldCharType="begin"/>
        </w:r>
        <w:r w:rsidR="00406E6F">
          <w:rPr>
            <w:noProof/>
            <w:webHidden/>
          </w:rPr>
          <w:instrText xml:space="preserve"> PAGEREF _Toc100748300 \h </w:instrText>
        </w:r>
        <w:r w:rsidR="00406E6F">
          <w:rPr>
            <w:noProof/>
            <w:webHidden/>
          </w:rPr>
        </w:r>
        <w:r w:rsidR="00406E6F">
          <w:rPr>
            <w:noProof/>
            <w:webHidden/>
          </w:rPr>
          <w:fldChar w:fldCharType="separate"/>
        </w:r>
        <w:r w:rsidR="00AA5AAC">
          <w:rPr>
            <w:noProof/>
            <w:webHidden/>
          </w:rPr>
          <w:t>61</w:t>
        </w:r>
        <w:r w:rsidR="00406E6F">
          <w:rPr>
            <w:noProof/>
            <w:webHidden/>
          </w:rPr>
          <w:fldChar w:fldCharType="end"/>
        </w:r>
      </w:hyperlink>
    </w:p>
    <w:p w14:paraId="1157CDF5" w14:textId="13F1ECCA" w:rsidR="00406E6F" w:rsidRDefault="002C1A5C">
      <w:pPr>
        <w:pStyle w:val="TableofFigures"/>
        <w:tabs>
          <w:tab w:val="right" w:leader="dot" w:pos="9350"/>
        </w:tabs>
        <w:rPr>
          <w:rFonts w:asciiTheme="minorHAnsi" w:eastAsiaTheme="minorEastAsia" w:hAnsiTheme="minorHAnsi"/>
          <w:noProof/>
          <w:sz w:val="22"/>
        </w:rPr>
      </w:pPr>
      <w:hyperlink r:id="rId29" w:anchor="_Toc100748301" w:history="1">
        <w:r w:rsidR="00406E6F" w:rsidRPr="00C021B0">
          <w:rPr>
            <w:rStyle w:val="Hyperlink"/>
            <w:noProof/>
          </w:rPr>
          <w:t xml:space="preserve">Figure 2.7. </w:t>
        </w:r>
        <w:r w:rsidR="00406E6F" w:rsidRPr="00C021B0">
          <w:rPr>
            <w:rStyle w:val="Hyperlink"/>
            <w:rFonts w:cs="Times New Roman"/>
            <w:noProof/>
            <w:shd w:val="clear" w:color="auto" w:fill="FFFFFF"/>
          </w:rPr>
          <w:t>Assessment of amine substitution and stereochemical requirements.</w:t>
        </w:r>
        <w:r w:rsidR="00406E6F">
          <w:rPr>
            <w:noProof/>
            <w:webHidden/>
          </w:rPr>
          <w:tab/>
        </w:r>
        <w:r w:rsidR="00406E6F">
          <w:rPr>
            <w:noProof/>
            <w:webHidden/>
          </w:rPr>
          <w:fldChar w:fldCharType="begin"/>
        </w:r>
        <w:r w:rsidR="00406E6F">
          <w:rPr>
            <w:noProof/>
            <w:webHidden/>
          </w:rPr>
          <w:instrText xml:space="preserve"> PAGEREF _Toc100748301 \h </w:instrText>
        </w:r>
        <w:r w:rsidR="00406E6F">
          <w:rPr>
            <w:noProof/>
            <w:webHidden/>
          </w:rPr>
        </w:r>
        <w:r w:rsidR="00406E6F">
          <w:rPr>
            <w:noProof/>
            <w:webHidden/>
          </w:rPr>
          <w:fldChar w:fldCharType="separate"/>
        </w:r>
        <w:r w:rsidR="00AA5AAC">
          <w:rPr>
            <w:noProof/>
            <w:webHidden/>
          </w:rPr>
          <w:t>62</w:t>
        </w:r>
        <w:r w:rsidR="00406E6F">
          <w:rPr>
            <w:noProof/>
            <w:webHidden/>
          </w:rPr>
          <w:fldChar w:fldCharType="end"/>
        </w:r>
      </w:hyperlink>
    </w:p>
    <w:p w14:paraId="7084E01B" w14:textId="35409125" w:rsidR="00406E6F" w:rsidRDefault="002C1A5C">
      <w:pPr>
        <w:pStyle w:val="TableofFigures"/>
        <w:tabs>
          <w:tab w:val="right" w:leader="dot" w:pos="9350"/>
        </w:tabs>
        <w:rPr>
          <w:rFonts w:asciiTheme="minorHAnsi" w:eastAsiaTheme="minorEastAsia" w:hAnsiTheme="minorHAnsi"/>
          <w:noProof/>
          <w:sz w:val="22"/>
        </w:rPr>
      </w:pPr>
      <w:hyperlink r:id="rId30" w:anchor="_Toc100748302" w:history="1">
        <w:r w:rsidR="00406E6F" w:rsidRPr="00C021B0">
          <w:rPr>
            <w:rStyle w:val="Hyperlink"/>
            <w:iCs/>
            <w:noProof/>
          </w:rPr>
          <w:t>Figure</w:t>
        </w:r>
        <w:r w:rsidR="00406E6F" w:rsidRPr="00C021B0">
          <w:rPr>
            <w:rStyle w:val="Hyperlink"/>
            <w:i/>
            <w:noProof/>
          </w:rPr>
          <w:t xml:space="preserve"> </w:t>
        </w:r>
        <w:r w:rsidR="00406E6F" w:rsidRPr="00C021B0">
          <w:rPr>
            <w:rStyle w:val="Hyperlink"/>
            <w:rFonts w:cs="Times New Roman"/>
            <w:iCs/>
            <w:noProof/>
            <w:shd w:val="clear" w:color="auto" w:fill="FFFFFF"/>
          </w:rPr>
          <w:t>2.8</w:t>
        </w:r>
        <w:r w:rsidR="00406E6F" w:rsidRPr="00C021B0">
          <w:rPr>
            <w:rStyle w:val="Hyperlink"/>
            <w:i/>
            <w:noProof/>
          </w:rPr>
          <w:t xml:space="preserve">. </w:t>
        </w:r>
        <w:r w:rsidR="00406E6F" w:rsidRPr="00C021B0">
          <w:rPr>
            <w:rStyle w:val="Hyperlink"/>
            <w:rFonts w:cs="Times New Roman"/>
            <w:bCs/>
            <w:iCs/>
            <w:noProof/>
            <w:shd w:val="clear" w:color="auto" w:fill="FFFFFF"/>
          </w:rPr>
          <w:t xml:space="preserve">Structure of </w:t>
        </w:r>
        <w:r w:rsidR="00406E6F" w:rsidRPr="00C021B0">
          <w:rPr>
            <w:rStyle w:val="Hyperlink"/>
            <w:rFonts w:cs="Times New Roman"/>
            <w:iCs/>
            <w:noProof/>
            <w:shd w:val="clear" w:color="auto" w:fill="FFFFFF"/>
          </w:rPr>
          <w:t>seco-amide analogs synthesized and assessed for CpxRA modulation.</w:t>
        </w:r>
        <w:r w:rsidR="00406E6F">
          <w:rPr>
            <w:noProof/>
            <w:webHidden/>
          </w:rPr>
          <w:tab/>
        </w:r>
        <w:r w:rsidR="00406E6F">
          <w:rPr>
            <w:noProof/>
            <w:webHidden/>
          </w:rPr>
          <w:fldChar w:fldCharType="begin"/>
        </w:r>
        <w:r w:rsidR="00406E6F">
          <w:rPr>
            <w:noProof/>
            <w:webHidden/>
          </w:rPr>
          <w:instrText xml:space="preserve"> PAGEREF _Toc100748302 \h </w:instrText>
        </w:r>
        <w:r w:rsidR="00406E6F">
          <w:rPr>
            <w:noProof/>
            <w:webHidden/>
          </w:rPr>
        </w:r>
        <w:r w:rsidR="00406E6F">
          <w:rPr>
            <w:noProof/>
            <w:webHidden/>
          </w:rPr>
          <w:fldChar w:fldCharType="separate"/>
        </w:r>
        <w:r w:rsidR="00AA5AAC">
          <w:rPr>
            <w:noProof/>
            <w:webHidden/>
          </w:rPr>
          <w:t>63</w:t>
        </w:r>
        <w:r w:rsidR="00406E6F">
          <w:rPr>
            <w:noProof/>
            <w:webHidden/>
          </w:rPr>
          <w:fldChar w:fldCharType="end"/>
        </w:r>
      </w:hyperlink>
    </w:p>
    <w:p w14:paraId="34965D2D" w14:textId="51CE9081" w:rsidR="00406E6F" w:rsidRDefault="002C1A5C">
      <w:pPr>
        <w:pStyle w:val="TableofFigures"/>
        <w:tabs>
          <w:tab w:val="right" w:leader="dot" w:pos="9350"/>
        </w:tabs>
        <w:rPr>
          <w:rFonts w:asciiTheme="minorHAnsi" w:eastAsiaTheme="minorEastAsia" w:hAnsiTheme="minorHAnsi"/>
          <w:noProof/>
          <w:sz w:val="22"/>
        </w:rPr>
      </w:pPr>
      <w:hyperlink r:id="rId31" w:anchor="_Toc100748303" w:history="1">
        <w:r w:rsidR="00406E6F" w:rsidRPr="00C021B0">
          <w:rPr>
            <w:rStyle w:val="Hyperlink"/>
            <w:noProof/>
          </w:rPr>
          <w:t>Figure</w:t>
        </w:r>
        <w:r w:rsidR="00406E6F" w:rsidRPr="00C021B0">
          <w:rPr>
            <w:rStyle w:val="Hyperlink"/>
            <w:i/>
            <w:iCs/>
            <w:noProof/>
          </w:rPr>
          <w:t xml:space="preserve"> </w:t>
        </w:r>
        <w:r w:rsidR="00406E6F" w:rsidRPr="00C021B0">
          <w:rPr>
            <w:rStyle w:val="Hyperlink"/>
            <w:rFonts w:cs="Times New Roman"/>
            <w:noProof/>
            <w:shd w:val="clear" w:color="auto" w:fill="FFFFFF"/>
          </w:rPr>
          <w:t>2.9</w:t>
        </w:r>
        <w:r w:rsidR="00406E6F" w:rsidRPr="00C021B0">
          <w:rPr>
            <w:rStyle w:val="Hyperlink"/>
            <w:noProof/>
          </w:rPr>
          <w:t xml:space="preserve">.  Intracellular uptake of compounds </w:t>
        </w:r>
        <w:r w:rsidR="00406E6F" w:rsidRPr="00C021B0">
          <w:rPr>
            <w:rStyle w:val="Hyperlink"/>
            <w:noProof/>
            <w:shd w:val="clear" w:color="auto" w:fill="FFFFFF"/>
          </w:rPr>
          <w:t>2.</w:t>
        </w:r>
        <w:r w:rsidR="00406E6F" w:rsidRPr="00C021B0">
          <w:rPr>
            <w:rStyle w:val="Hyperlink"/>
            <w:noProof/>
          </w:rPr>
          <w:t xml:space="preserve">6 and </w:t>
        </w:r>
        <w:r w:rsidR="00406E6F" w:rsidRPr="00C021B0">
          <w:rPr>
            <w:rStyle w:val="Hyperlink"/>
            <w:noProof/>
            <w:shd w:val="clear" w:color="auto" w:fill="FFFFFF"/>
          </w:rPr>
          <w:t>2.</w:t>
        </w:r>
        <w:r w:rsidR="00406E6F" w:rsidRPr="00C021B0">
          <w:rPr>
            <w:rStyle w:val="Hyperlink"/>
            <w:noProof/>
          </w:rPr>
          <w:t xml:space="preserve">33 into isogenic </w:t>
        </w:r>
        <w:r w:rsidR="00406E6F" w:rsidRPr="00C021B0">
          <w:rPr>
            <w:rStyle w:val="Hyperlink"/>
            <w:i/>
            <w:noProof/>
          </w:rPr>
          <w:t>E. coli</w:t>
        </w:r>
        <w:r w:rsidR="00406E6F" w:rsidRPr="00C021B0">
          <w:rPr>
            <w:rStyle w:val="Hyperlink"/>
            <w:noProof/>
          </w:rPr>
          <w:t xml:space="preserve"> strains that exhibit different efflux efficiencies and controlled permeability of the outer membrane.</w:t>
        </w:r>
        <w:r w:rsidR="00406E6F">
          <w:rPr>
            <w:noProof/>
            <w:webHidden/>
          </w:rPr>
          <w:tab/>
        </w:r>
        <w:r w:rsidR="00406E6F">
          <w:rPr>
            <w:noProof/>
            <w:webHidden/>
          </w:rPr>
          <w:fldChar w:fldCharType="begin"/>
        </w:r>
        <w:r w:rsidR="00406E6F">
          <w:rPr>
            <w:noProof/>
            <w:webHidden/>
          </w:rPr>
          <w:instrText xml:space="preserve"> PAGEREF _Toc100748303 \h </w:instrText>
        </w:r>
        <w:r w:rsidR="00406E6F">
          <w:rPr>
            <w:noProof/>
            <w:webHidden/>
          </w:rPr>
        </w:r>
        <w:r w:rsidR="00406E6F">
          <w:rPr>
            <w:noProof/>
            <w:webHidden/>
          </w:rPr>
          <w:fldChar w:fldCharType="separate"/>
        </w:r>
        <w:r w:rsidR="00AA5AAC">
          <w:rPr>
            <w:noProof/>
            <w:webHidden/>
          </w:rPr>
          <w:t>64</w:t>
        </w:r>
        <w:r w:rsidR="00406E6F">
          <w:rPr>
            <w:noProof/>
            <w:webHidden/>
          </w:rPr>
          <w:fldChar w:fldCharType="end"/>
        </w:r>
      </w:hyperlink>
    </w:p>
    <w:p w14:paraId="07815A72" w14:textId="6AAF7417" w:rsidR="00406E6F" w:rsidRDefault="002C1A5C">
      <w:pPr>
        <w:pStyle w:val="TableofFigures"/>
        <w:tabs>
          <w:tab w:val="right" w:leader="dot" w:pos="9350"/>
        </w:tabs>
        <w:rPr>
          <w:rFonts w:asciiTheme="minorHAnsi" w:eastAsiaTheme="minorEastAsia" w:hAnsiTheme="minorHAnsi"/>
          <w:noProof/>
          <w:sz w:val="22"/>
        </w:rPr>
      </w:pPr>
      <w:hyperlink r:id="rId32" w:anchor="_Toc100748304" w:history="1">
        <w:r w:rsidR="00406E6F" w:rsidRPr="00C021B0">
          <w:rPr>
            <w:rStyle w:val="Hyperlink"/>
            <w:noProof/>
          </w:rPr>
          <w:t xml:space="preserve">Figure 2.10. </w:t>
        </w:r>
        <w:r w:rsidR="00406E6F" w:rsidRPr="00C021B0">
          <w:rPr>
            <w:rStyle w:val="Hyperlink"/>
            <w:noProof/>
            <w:shd w:val="clear" w:color="auto" w:fill="FFFFFF"/>
          </w:rPr>
          <w:t xml:space="preserve">Compounds </w:t>
        </w:r>
        <w:r w:rsidR="00406E6F" w:rsidRPr="00C021B0">
          <w:rPr>
            <w:rStyle w:val="Hyperlink"/>
            <w:rFonts w:cs="Times New Roman"/>
            <w:i/>
            <w:iCs/>
            <w:noProof/>
            <w:shd w:val="clear" w:color="auto" w:fill="FFFFFF"/>
          </w:rPr>
          <w:t>2.</w:t>
        </w:r>
        <w:r w:rsidR="00406E6F" w:rsidRPr="00C021B0">
          <w:rPr>
            <w:rStyle w:val="Hyperlink"/>
            <w:noProof/>
            <w:shd w:val="clear" w:color="auto" w:fill="FFFFFF"/>
          </w:rPr>
          <w:t xml:space="preserve">23 and </w:t>
        </w:r>
        <w:r w:rsidR="00406E6F" w:rsidRPr="00C021B0">
          <w:rPr>
            <w:rStyle w:val="Hyperlink"/>
            <w:rFonts w:cs="Times New Roman"/>
            <w:i/>
            <w:iCs/>
            <w:noProof/>
            <w:shd w:val="clear" w:color="auto" w:fill="FFFFFF"/>
          </w:rPr>
          <w:t>2.</w:t>
        </w:r>
        <w:r w:rsidR="00406E6F" w:rsidRPr="00C021B0">
          <w:rPr>
            <w:rStyle w:val="Hyperlink"/>
            <w:noProof/>
            <w:shd w:val="clear" w:color="auto" w:fill="FFFFFF"/>
          </w:rPr>
          <w:t>26 induce phospho-CpxR accumulation.</w:t>
        </w:r>
        <w:r w:rsidR="00406E6F">
          <w:rPr>
            <w:noProof/>
            <w:webHidden/>
          </w:rPr>
          <w:tab/>
        </w:r>
        <w:r w:rsidR="00406E6F">
          <w:rPr>
            <w:noProof/>
            <w:webHidden/>
          </w:rPr>
          <w:fldChar w:fldCharType="begin"/>
        </w:r>
        <w:r w:rsidR="00406E6F">
          <w:rPr>
            <w:noProof/>
            <w:webHidden/>
          </w:rPr>
          <w:instrText xml:space="preserve"> PAGEREF _Toc100748304 \h </w:instrText>
        </w:r>
        <w:r w:rsidR="00406E6F">
          <w:rPr>
            <w:noProof/>
            <w:webHidden/>
          </w:rPr>
        </w:r>
        <w:r w:rsidR="00406E6F">
          <w:rPr>
            <w:noProof/>
            <w:webHidden/>
          </w:rPr>
          <w:fldChar w:fldCharType="separate"/>
        </w:r>
        <w:r w:rsidR="00AA5AAC">
          <w:rPr>
            <w:noProof/>
            <w:webHidden/>
          </w:rPr>
          <w:t>67</w:t>
        </w:r>
        <w:r w:rsidR="00406E6F">
          <w:rPr>
            <w:noProof/>
            <w:webHidden/>
          </w:rPr>
          <w:fldChar w:fldCharType="end"/>
        </w:r>
      </w:hyperlink>
    </w:p>
    <w:p w14:paraId="08778BC1" w14:textId="39064247" w:rsidR="00406E6F" w:rsidRDefault="002C1A5C">
      <w:pPr>
        <w:pStyle w:val="TableofFigures"/>
        <w:tabs>
          <w:tab w:val="right" w:leader="dot" w:pos="9350"/>
        </w:tabs>
        <w:rPr>
          <w:rFonts w:asciiTheme="minorHAnsi" w:eastAsiaTheme="minorEastAsia" w:hAnsiTheme="minorHAnsi"/>
          <w:noProof/>
          <w:sz w:val="22"/>
        </w:rPr>
      </w:pPr>
      <w:hyperlink r:id="rId33" w:anchor="_Toc100748305" w:history="1">
        <w:r w:rsidR="00406E6F" w:rsidRPr="00C021B0">
          <w:rPr>
            <w:rStyle w:val="Hyperlink"/>
            <w:noProof/>
          </w:rPr>
          <w:t xml:space="preserve">Figure </w:t>
        </w:r>
        <w:r w:rsidR="00406E6F" w:rsidRPr="00C021B0">
          <w:rPr>
            <w:rStyle w:val="Hyperlink"/>
            <w:rFonts w:cs="Times New Roman"/>
            <w:noProof/>
          </w:rPr>
          <w:t>2.11</w:t>
        </w:r>
        <w:r w:rsidR="00406E6F" w:rsidRPr="00C021B0">
          <w:rPr>
            <w:rStyle w:val="Hyperlink"/>
            <w:noProof/>
          </w:rPr>
          <w:t>. Recovery of bacteria from mice urine, bladder, and kidney samples.</w:t>
        </w:r>
        <w:r w:rsidR="00406E6F">
          <w:rPr>
            <w:noProof/>
            <w:webHidden/>
          </w:rPr>
          <w:tab/>
        </w:r>
        <w:r w:rsidR="00406E6F">
          <w:rPr>
            <w:noProof/>
            <w:webHidden/>
          </w:rPr>
          <w:fldChar w:fldCharType="begin"/>
        </w:r>
        <w:r w:rsidR="00406E6F">
          <w:rPr>
            <w:noProof/>
            <w:webHidden/>
          </w:rPr>
          <w:instrText xml:space="preserve"> PAGEREF _Toc100748305 \h </w:instrText>
        </w:r>
        <w:r w:rsidR="00406E6F">
          <w:rPr>
            <w:noProof/>
            <w:webHidden/>
          </w:rPr>
        </w:r>
        <w:r w:rsidR="00406E6F">
          <w:rPr>
            <w:noProof/>
            <w:webHidden/>
          </w:rPr>
          <w:fldChar w:fldCharType="separate"/>
        </w:r>
        <w:r w:rsidR="00AA5AAC">
          <w:rPr>
            <w:noProof/>
            <w:webHidden/>
          </w:rPr>
          <w:t>69</w:t>
        </w:r>
        <w:r w:rsidR="00406E6F">
          <w:rPr>
            <w:noProof/>
            <w:webHidden/>
          </w:rPr>
          <w:fldChar w:fldCharType="end"/>
        </w:r>
      </w:hyperlink>
    </w:p>
    <w:p w14:paraId="6D391166" w14:textId="110A9D19" w:rsidR="00406E6F" w:rsidRDefault="002C1A5C">
      <w:pPr>
        <w:pStyle w:val="TableofFigures"/>
        <w:tabs>
          <w:tab w:val="right" w:leader="dot" w:pos="9350"/>
        </w:tabs>
        <w:rPr>
          <w:rFonts w:asciiTheme="minorHAnsi" w:eastAsiaTheme="minorEastAsia" w:hAnsiTheme="minorHAnsi"/>
          <w:noProof/>
          <w:sz w:val="22"/>
        </w:rPr>
      </w:pPr>
      <w:hyperlink r:id="rId34" w:anchor="_Toc100748306" w:history="1">
        <w:r w:rsidR="00406E6F" w:rsidRPr="00C021B0">
          <w:rPr>
            <w:rStyle w:val="Hyperlink"/>
            <w:noProof/>
          </w:rPr>
          <w:t xml:space="preserve">Figure </w:t>
        </w:r>
        <w:r w:rsidR="00406E6F" w:rsidRPr="00C021B0">
          <w:rPr>
            <w:rStyle w:val="Hyperlink"/>
            <w:rFonts w:cs="Times New Roman"/>
            <w:noProof/>
          </w:rPr>
          <w:t>2.12</w:t>
        </w:r>
        <w:r w:rsidR="00406E6F" w:rsidRPr="00C021B0">
          <w:rPr>
            <w:rStyle w:val="Hyperlink"/>
            <w:noProof/>
          </w:rPr>
          <w:t>. Principal component analysis (PCA) of total protein abundance of WT-C26, VC, and Cpx samples.</w:t>
        </w:r>
        <w:r w:rsidR="00406E6F">
          <w:rPr>
            <w:noProof/>
            <w:webHidden/>
          </w:rPr>
          <w:tab/>
        </w:r>
        <w:r w:rsidR="00406E6F">
          <w:rPr>
            <w:noProof/>
            <w:webHidden/>
          </w:rPr>
          <w:fldChar w:fldCharType="begin"/>
        </w:r>
        <w:r w:rsidR="00406E6F">
          <w:rPr>
            <w:noProof/>
            <w:webHidden/>
          </w:rPr>
          <w:instrText xml:space="preserve"> PAGEREF _Toc100748306 \h </w:instrText>
        </w:r>
        <w:r w:rsidR="00406E6F">
          <w:rPr>
            <w:noProof/>
            <w:webHidden/>
          </w:rPr>
        </w:r>
        <w:r w:rsidR="00406E6F">
          <w:rPr>
            <w:noProof/>
            <w:webHidden/>
          </w:rPr>
          <w:fldChar w:fldCharType="separate"/>
        </w:r>
        <w:r w:rsidR="00AA5AAC">
          <w:rPr>
            <w:noProof/>
            <w:webHidden/>
          </w:rPr>
          <w:t>71</w:t>
        </w:r>
        <w:r w:rsidR="00406E6F">
          <w:rPr>
            <w:noProof/>
            <w:webHidden/>
          </w:rPr>
          <w:fldChar w:fldCharType="end"/>
        </w:r>
      </w:hyperlink>
    </w:p>
    <w:p w14:paraId="415D6F4A" w14:textId="3AE9F2C3" w:rsidR="00406E6F" w:rsidRDefault="002C1A5C">
      <w:pPr>
        <w:pStyle w:val="TableofFigures"/>
        <w:tabs>
          <w:tab w:val="right" w:leader="dot" w:pos="9350"/>
        </w:tabs>
        <w:rPr>
          <w:rFonts w:asciiTheme="minorHAnsi" w:eastAsiaTheme="minorEastAsia" w:hAnsiTheme="minorHAnsi"/>
          <w:noProof/>
          <w:sz w:val="22"/>
        </w:rPr>
      </w:pPr>
      <w:hyperlink r:id="rId35" w:anchor="_Toc100748307" w:history="1">
        <w:r w:rsidR="00406E6F" w:rsidRPr="00C021B0">
          <w:rPr>
            <w:rStyle w:val="Hyperlink"/>
            <w:noProof/>
          </w:rPr>
          <w:t xml:space="preserve">Figure </w:t>
        </w:r>
        <w:r w:rsidR="00406E6F" w:rsidRPr="00C021B0">
          <w:rPr>
            <w:rStyle w:val="Hyperlink"/>
            <w:rFonts w:cs="Times New Roman"/>
            <w:noProof/>
          </w:rPr>
          <w:t>2.13</w:t>
        </w:r>
        <w:r w:rsidR="00406E6F" w:rsidRPr="00C021B0">
          <w:rPr>
            <w:rStyle w:val="Hyperlink"/>
            <w:noProof/>
          </w:rPr>
          <w:t xml:space="preserve">. Venn diagram showing the number of proteins differentially expressed in the compound treated versus wild-type and </w:t>
        </w:r>
        <w:r w:rsidR="00406E6F" w:rsidRPr="00C021B0">
          <w:rPr>
            <w:rStyle w:val="Hyperlink"/>
            <w:i/>
            <w:noProof/>
          </w:rPr>
          <w:t>cpxA</w:t>
        </w:r>
        <w:r w:rsidR="00406E6F" w:rsidRPr="00C021B0">
          <w:rPr>
            <w:rStyle w:val="Hyperlink"/>
            <w:noProof/>
          </w:rPr>
          <w:t xml:space="preserve"> mutant versus wild-type.</w:t>
        </w:r>
        <w:r w:rsidR="00406E6F">
          <w:rPr>
            <w:noProof/>
            <w:webHidden/>
          </w:rPr>
          <w:tab/>
        </w:r>
        <w:r w:rsidR="00406E6F">
          <w:rPr>
            <w:noProof/>
            <w:webHidden/>
          </w:rPr>
          <w:fldChar w:fldCharType="begin"/>
        </w:r>
        <w:r w:rsidR="00406E6F">
          <w:rPr>
            <w:noProof/>
            <w:webHidden/>
          </w:rPr>
          <w:instrText xml:space="preserve"> PAGEREF _Toc100748307 \h </w:instrText>
        </w:r>
        <w:r w:rsidR="00406E6F">
          <w:rPr>
            <w:noProof/>
            <w:webHidden/>
          </w:rPr>
        </w:r>
        <w:r w:rsidR="00406E6F">
          <w:rPr>
            <w:noProof/>
            <w:webHidden/>
          </w:rPr>
          <w:fldChar w:fldCharType="separate"/>
        </w:r>
        <w:r w:rsidR="00AA5AAC">
          <w:rPr>
            <w:noProof/>
            <w:webHidden/>
          </w:rPr>
          <w:t>72</w:t>
        </w:r>
        <w:r w:rsidR="00406E6F">
          <w:rPr>
            <w:noProof/>
            <w:webHidden/>
          </w:rPr>
          <w:fldChar w:fldCharType="end"/>
        </w:r>
      </w:hyperlink>
    </w:p>
    <w:p w14:paraId="38833FD4" w14:textId="3C2756E8" w:rsidR="00406E6F" w:rsidRDefault="002C1A5C">
      <w:pPr>
        <w:pStyle w:val="TableofFigures"/>
        <w:tabs>
          <w:tab w:val="right" w:leader="dot" w:pos="9350"/>
        </w:tabs>
        <w:rPr>
          <w:rFonts w:asciiTheme="minorHAnsi" w:eastAsiaTheme="minorEastAsia" w:hAnsiTheme="minorHAnsi"/>
          <w:noProof/>
          <w:sz w:val="22"/>
        </w:rPr>
      </w:pPr>
      <w:hyperlink r:id="rId36" w:anchor="_Toc100748308" w:history="1">
        <w:r w:rsidR="00406E6F" w:rsidRPr="00C021B0">
          <w:rPr>
            <w:rStyle w:val="Hyperlink"/>
            <w:noProof/>
          </w:rPr>
          <w:t xml:space="preserve">Figure 3.1. Structures of β-carboline alkaloids from </w:t>
        </w:r>
        <w:r w:rsidR="00406E6F" w:rsidRPr="00C021B0">
          <w:rPr>
            <w:rStyle w:val="Hyperlink"/>
            <w:i/>
            <w:noProof/>
          </w:rPr>
          <w:t xml:space="preserve">Picrasma quassioides </w:t>
        </w:r>
        <w:r w:rsidR="00406E6F" w:rsidRPr="00C021B0">
          <w:rPr>
            <w:rStyle w:val="Hyperlink"/>
            <w:noProof/>
          </w:rPr>
          <w:t>extracts.</w:t>
        </w:r>
        <w:r w:rsidR="00406E6F">
          <w:rPr>
            <w:noProof/>
            <w:webHidden/>
          </w:rPr>
          <w:tab/>
        </w:r>
        <w:r w:rsidR="00406E6F">
          <w:rPr>
            <w:noProof/>
            <w:webHidden/>
          </w:rPr>
          <w:fldChar w:fldCharType="begin"/>
        </w:r>
        <w:r w:rsidR="00406E6F">
          <w:rPr>
            <w:noProof/>
            <w:webHidden/>
          </w:rPr>
          <w:instrText xml:space="preserve"> PAGEREF _Toc100748308 \h </w:instrText>
        </w:r>
        <w:r w:rsidR="00406E6F">
          <w:rPr>
            <w:noProof/>
            <w:webHidden/>
          </w:rPr>
        </w:r>
        <w:r w:rsidR="00406E6F">
          <w:rPr>
            <w:noProof/>
            <w:webHidden/>
          </w:rPr>
          <w:fldChar w:fldCharType="separate"/>
        </w:r>
        <w:r w:rsidR="00AA5AAC">
          <w:rPr>
            <w:noProof/>
            <w:webHidden/>
          </w:rPr>
          <w:t>110</w:t>
        </w:r>
        <w:r w:rsidR="00406E6F">
          <w:rPr>
            <w:noProof/>
            <w:webHidden/>
          </w:rPr>
          <w:fldChar w:fldCharType="end"/>
        </w:r>
      </w:hyperlink>
    </w:p>
    <w:p w14:paraId="1E34689B" w14:textId="79B9FF62" w:rsidR="00406E6F" w:rsidRDefault="002C1A5C">
      <w:pPr>
        <w:pStyle w:val="TableofFigures"/>
        <w:tabs>
          <w:tab w:val="right" w:leader="dot" w:pos="9350"/>
        </w:tabs>
        <w:rPr>
          <w:rFonts w:asciiTheme="minorHAnsi" w:eastAsiaTheme="minorEastAsia" w:hAnsiTheme="minorHAnsi"/>
          <w:noProof/>
          <w:sz w:val="22"/>
        </w:rPr>
      </w:pPr>
      <w:hyperlink r:id="rId37" w:anchor="_Toc100748309" w:history="1">
        <w:r w:rsidR="00406E6F" w:rsidRPr="00C021B0">
          <w:rPr>
            <w:rStyle w:val="Hyperlink"/>
            <w:noProof/>
          </w:rPr>
          <w:t>Figure 3.2. The general β-carboline structure and IUPAC numbering system.</w:t>
        </w:r>
        <w:r w:rsidR="00406E6F">
          <w:rPr>
            <w:noProof/>
            <w:webHidden/>
          </w:rPr>
          <w:tab/>
        </w:r>
        <w:r w:rsidR="00406E6F">
          <w:rPr>
            <w:noProof/>
            <w:webHidden/>
          </w:rPr>
          <w:fldChar w:fldCharType="begin"/>
        </w:r>
        <w:r w:rsidR="00406E6F">
          <w:rPr>
            <w:noProof/>
            <w:webHidden/>
          </w:rPr>
          <w:instrText xml:space="preserve"> PAGEREF _Toc100748309 \h </w:instrText>
        </w:r>
        <w:r w:rsidR="00406E6F">
          <w:rPr>
            <w:noProof/>
            <w:webHidden/>
          </w:rPr>
        </w:r>
        <w:r w:rsidR="00406E6F">
          <w:rPr>
            <w:noProof/>
            <w:webHidden/>
          </w:rPr>
          <w:fldChar w:fldCharType="separate"/>
        </w:r>
        <w:r w:rsidR="00AA5AAC">
          <w:rPr>
            <w:noProof/>
            <w:webHidden/>
          </w:rPr>
          <w:t>113</w:t>
        </w:r>
        <w:r w:rsidR="00406E6F">
          <w:rPr>
            <w:noProof/>
            <w:webHidden/>
          </w:rPr>
          <w:fldChar w:fldCharType="end"/>
        </w:r>
      </w:hyperlink>
    </w:p>
    <w:p w14:paraId="5B9DCBD0" w14:textId="3352D3AC" w:rsidR="00406E6F" w:rsidRDefault="002C1A5C">
      <w:pPr>
        <w:pStyle w:val="TableofFigures"/>
        <w:tabs>
          <w:tab w:val="right" w:leader="dot" w:pos="9350"/>
        </w:tabs>
        <w:rPr>
          <w:rFonts w:asciiTheme="minorHAnsi" w:eastAsiaTheme="minorEastAsia" w:hAnsiTheme="minorHAnsi"/>
          <w:noProof/>
          <w:sz w:val="22"/>
        </w:rPr>
      </w:pPr>
      <w:hyperlink r:id="rId38" w:anchor="_Toc100748310" w:history="1">
        <w:r w:rsidR="00406E6F" w:rsidRPr="00C021B0">
          <w:rPr>
            <w:rStyle w:val="Hyperlink"/>
            <w:noProof/>
          </w:rPr>
          <w:t>Figure 3.3. Representative structures of picrasidine C (</w:t>
        </w:r>
        <w:r w:rsidR="00406E6F" w:rsidRPr="00C021B0">
          <w:rPr>
            <w:rStyle w:val="Hyperlink"/>
            <w:rFonts w:cs="Times New Roman"/>
            <w:noProof/>
          </w:rPr>
          <w:t>3.</w:t>
        </w:r>
        <w:r w:rsidR="00406E6F" w:rsidRPr="00C021B0">
          <w:rPr>
            <w:rStyle w:val="Hyperlink"/>
            <w:noProof/>
          </w:rPr>
          <w:t>1) and G (</w:t>
        </w:r>
        <w:r w:rsidR="00406E6F" w:rsidRPr="00C021B0">
          <w:rPr>
            <w:rStyle w:val="Hyperlink"/>
            <w:rFonts w:cs="Times New Roman"/>
            <w:noProof/>
          </w:rPr>
          <w:t>3.</w:t>
        </w:r>
        <w:r w:rsidR="00406E6F" w:rsidRPr="00C021B0">
          <w:rPr>
            <w:rStyle w:val="Hyperlink"/>
            <w:noProof/>
          </w:rPr>
          <w:t xml:space="preserve">8) to show differentiation between the two structurally distinct </w:t>
        </w:r>
        <w:r w:rsidR="00406E6F" w:rsidRPr="00C021B0">
          <w:rPr>
            <w:rStyle w:val="Hyperlink"/>
            <w:rFonts w:cs="Times New Roman"/>
            <w:noProof/>
          </w:rPr>
          <w:t>β</w:t>
        </w:r>
        <w:r w:rsidR="00406E6F" w:rsidRPr="00C021B0">
          <w:rPr>
            <w:rStyle w:val="Hyperlink"/>
            <w:noProof/>
          </w:rPr>
          <w:t>-carboline ring systems.</w:t>
        </w:r>
        <w:r w:rsidR="00406E6F">
          <w:rPr>
            <w:noProof/>
            <w:webHidden/>
          </w:rPr>
          <w:tab/>
        </w:r>
        <w:r w:rsidR="00406E6F">
          <w:rPr>
            <w:noProof/>
            <w:webHidden/>
          </w:rPr>
          <w:fldChar w:fldCharType="begin"/>
        </w:r>
        <w:r w:rsidR="00406E6F">
          <w:rPr>
            <w:noProof/>
            <w:webHidden/>
          </w:rPr>
          <w:instrText xml:space="preserve"> PAGEREF _Toc100748310 \h </w:instrText>
        </w:r>
        <w:r w:rsidR="00406E6F">
          <w:rPr>
            <w:noProof/>
            <w:webHidden/>
          </w:rPr>
        </w:r>
        <w:r w:rsidR="00406E6F">
          <w:rPr>
            <w:noProof/>
            <w:webHidden/>
          </w:rPr>
          <w:fldChar w:fldCharType="separate"/>
        </w:r>
        <w:r w:rsidR="00AA5AAC">
          <w:rPr>
            <w:noProof/>
            <w:webHidden/>
          </w:rPr>
          <w:t>115</w:t>
        </w:r>
        <w:r w:rsidR="00406E6F">
          <w:rPr>
            <w:noProof/>
            <w:webHidden/>
          </w:rPr>
          <w:fldChar w:fldCharType="end"/>
        </w:r>
      </w:hyperlink>
    </w:p>
    <w:p w14:paraId="4FA0CBAB" w14:textId="12C14C0D" w:rsidR="00406E6F" w:rsidRDefault="002C1A5C">
      <w:pPr>
        <w:pStyle w:val="TableofFigures"/>
        <w:tabs>
          <w:tab w:val="right" w:leader="dot" w:pos="9350"/>
        </w:tabs>
        <w:rPr>
          <w:rFonts w:asciiTheme="minorHAnsi" w:eastAsiaTheme="minorEastAsia" w:hAnsiTheme="minorHAnsi"/>
          <w:noProof/>
          <w:sz w:val="22"/>
        </w:rPr>
      </w:pPr>
      <w:hyperlink r:id="rId39" w:anchor="_Toc100748311" w:history="1">
        <w:r w:rsidR="00406E6F" w:rsidRPr="00C021B0">
          <w:rPr>
            <w:rStyle w:val="Hyperlink"/>
            <w:noProof/>
          </w:rPr>
          <w:t>Figure 3.4 Structure of mono-</w:t>
        </w:r>
        <w:r w:rsidR="00406E6F" w:rsidRPr="00C021B0">
          <w:rPr>
            <w:rStyle w:val="Hyperlink"/>
            <w:rFonts w:cs="Times New Roman"/>
            <w:noProof/>
          </w:rPr>
          <w:t>β</w:t>
        </w:r>
        <w:r w:rsidR="00406E6F" w:rsidRPr="00C021B0">
          <w:rPr>
            <w:rStyle w:val="Hyperlink"/>
            <w:noProof/>
          </w:rPr>
          <w:t>-carboline alkaloids.</w:t>
        </w:r>
        <w:r w:rsidR="00406E6F">
          <w:rPr>
            <w:noProof/>
            <w:webHidden/>
          </w:rPr>
          <w:tab/>
        </w:r>
        <w:r w:rsidR="00406E6F">
          <w:rPr>
            <w:noProof/>
            <w:webHidden/>
          </w:rPr>
          <w:fldChar w:fldCharType="begin"/>
        </w:r>
        <w:r w:rsidR="00406E6F">
          <w:rPr>
            <w:noProof/>
            <w:webHidden/>
          </w:rPr>
          <w:instrText xml:space="preserve"> PAGEREF _Toc100748311 \h </w:instrText>
        </w:r>
        <w:r w:rsidR="00406E6F">
          <w:rPr>
            <w:noProof/>
            <w:webHidden/>
          </w:rPr>
        </w:r>
        <w:r w:rsidR="00406E6F">
          <w:rPr>
            <w:noProof/>
            <w:webHidden/>
          </w:rPr>
          <w:fldChar w:fldCharType="separate"/>
        </w:r>
        <w:r w:rsidR="00AA5AAC">
          <w:rPr>
            <w:noProof/>
            <w:webHidden/>
          </w:rPr>
          <w:t>116</w:t>
        </w:r>
        <w:r w:rsidR="00406E6F">
          <w:rPr>
            <w:noProof/>
            <w:webHidden/>
          </w:rPr>
          <w:fldChar w:fldCharType="end"/>
        </w:r>
      </w:hyperlink>
    </w:p>
    <w:p w14:paraId="66B2488B" w14:textId="40E55970" w:rsidR="00406E6F" w:rsidRDefault="002C1A5C">
      <w:pPr>
        <w:pStyle w:val="TableofFigures"/>
        <w:tabs>
          <w:tab w:val="right" w:leader="dot" w:pos="9350"/>
        </w:tabs>
        <w:rPr>
          <w:rFonts w:asciiTheme="minorHAnsi" w:eastAsiaTheme="minorEastAsia" w:hAnsiTheme="minorHAnsi"/>
          <w:noProof/>
          <w:sz w:val="22"/>
        </w:rPr>
      </w:pPr>
      <w:hyperlink r:id="rId40" w:anchor="_Toc100748312" w:history="1">
        <w:r w:rsidR="00406E6F" w:rsidRPr="00C021B0">
          <w:rPr>
            <w:rStyle w:val="Hyperlink"/>
            <w:noProof/>
          </w:rPr>
          <w:t>Figure 3.5. Structure of proposed di-substituted methoxy tryptamine J.</w:t>
        </w:r>
        <w:r w:rsidR="00406E6F">
          <w:rPr>
            <w:noProof/>
            <w:webHidden/>
          </w:rPr>
          <w:tab/>
        </w:r>
        <w:r w:rsidR="00406E6F">
          <w:rPr>
            <w:noProof/>
            <w:webHidden/>
          </w:rPr>
          <w:fldChar w:fldCharType="begin"/>
        </w:r>
        <w:r w:rsidR="00406E6F">
          <w:rPr>
            <w:noProof/>
            <w:webHidden/>
          </w:rPr>
          <w:instrText xml:space="preserve"> PAGEREF _Toc100748312 \h </w:instrText>
        </w:r>
        <w:r w:rsidR="00406E6F">
          <w:rPr>
            <w:noProof/>
            <w:webHidden/>
          </w:rPr>
        </w:r>
        <w:r w:rsidR="00406E6F">
          <w:rPr>
            <w:noProof/>
            <w:webHidden/>
          </w:rPr>
          <w:fldChar w:fldCharType="separate"/>
        </w:r>
        <w:r w:rsidR="00AA5AAC">
          <w:rPr>
            <w:noProof/>
            <w:webHidden/>
          </w:rPr>
          <w:t>121</w:t>
        </w:r>
        <w:r w:rsidR="00406E6F">
          <w:rPr>
            <w:noProof/>
            <w:webHidden/>
          </w:rPr>
          <w:fldChar w:fldCharType="end"/>
        </w:r>
      </w:hyperlink>
    </w:p>
    <w:p w14:paraId="6095EC23" w14:textId="09318249" w:rsidR="00406E6F" w:rsidRDefault="002C1A5C">
      <w:pPr>
        <w:pStyle w:val="TableofFigures"/>
        <w:tabs>
          <w:tab w:val="right" w:leader="dot" w:pos="9350"/>
        </w:tabs>
        <w:rPr>
          <w:rFonts w:asciiTheme="minorHAnsi" w:eastAsiaTheme="minorEastAsia" w:hAnsiTheme="minorHAnsi"/>
          <w:noProof/>
          <w:sz w:val="22"/>
        </w:rPr>
      </w:pPr>
      <w:hyperlink r:id="rId41" w:anchor="_Toc100748313" w:history="1">
        <w:r w:rsidR="00406E6F" w:rsidRPr="00C021B0">
          <w:rPr>
            <w:rStyle w:val="Hyperlink"/>
            <w:noProof/>
          </w:rPr>
          <w:t>Figure 3.6. Generalized reaction for Step 2.</w:t>
        </w:r>
        <w:r w:rsidR="00406E6F">
          <w:rPr>
            <w:noProof/>
            <w:webHidden/>
          </w:rPr>
          <w:tab/>
        </w:r>
        <w:r w:rsidR="00406E6F">
          <w:rPr>
            <w:noProof/>
            <w:webHidden/>
          </w:rPr>
          <w:fldChar w:fldCharType="begin"/>
        </w:r>
        <w:r w:rsidR="00406E6F">
          <w:rPr>
            <w:noProof/>
            <w:webHidden/>
          </w:rPr>
          <w:instrText xml:space="preserve"> PAGEREF _Toc100748313 \h </w:instrText>
        </w:r>
        <w:r w:rsidR="00406E6F">
          <w:rPr>
            <w:noProof/>
            <w:webHidden/>
          </w:rPr>
        </w:r>
        <w:r w:rsidR="00406E6F">
          <w:rPr>
            <w:noProof/>
            <w:webHidden/>
          </w:rPr>
          <w:fldChar w:fldCharType="separate"/>
        </w:r>
        <w:r w:rsidR="00AA5AAC">
          <w:rPr>
            <w:noProof/>
            <w:webHidden/>
          </w:rPr>
          <w:t>126</w:t>
        </w:r>
        <w:r w:rsidR="00406E6F">
          <w:rPr>
            <w:noProof/>
            <w:webHidden/>
          </w:rPr>
          <w:fldChar w:fldCharType="end"/>
        </w:r>
      </w:hyperlink>
    </w:p>
    <w:p w14:paraId="7290ED47" w14:textId="3A91B1C1" w:rsidR="00406E6F" w:rsidRDefault="002C1A5C">
      <w:pPr>
        <w:pStyle w:val="TableofFigures"/>
        <w:tabs>
          <w:tab w:val="right" w:leader="dot" w:pos="9350"/>
        </w:tabs>
        <w:rPr>
          <w:rFonts w:asciiTheme="minorHAnsi" w:eastAsiaTheme="minorEastAsia" w:hAnsiTheme="minorHAnsi"/>
          <w:noProof/>
          <w:sz w:val="22"/>
        </w:rPr>
      </w:pPr>
      <w:hyperlink r:id="rId42" w:anchor="_Toc100748314" w:history="1">
        <w:r w:rsidR="00406E6F" w:rsidRPr="00C021B0">
          <w:rPr>
            <w:rStyle w:val="Hyperlink"/>
            <w:noProof/>
          </w:rPr>
          <w:t>Figure 3.7. Criegee mechanism of Ozonolysis.</w:t>
        </w:r>
        <w:r w:rsidR="00406E6F">
          <w:rPr>
            <w:noProof/>
            <w:webHidden/>
          </w:rPr>
          <w:tab/>
        </w:r>
        <w:r w:rsidR="00406E6F">
          <w:rPr>
            <w:noProof/>
            <w:webHidden/>
          </w:rPr>
          <w:fldChar w:fldCharType="begin"/>
        </w:r>
        <w:r w:rsidR="00406E6F">
          <w:rPr>
            <w:noProof/>
            <w:webHidden/>
          </w:rPr>
          <w:instrText xml:space="preserve"> PAGEREF _Toc100748314 \h </w:instrText>
        </w:r>
        <w:r w:rsidR="00406E6F">
          <w:rPr>
            <w:noProof/>
            <w:webHidden/>
          </w:rPr>
        </w:r>
        <w:r w:rsidR="00406E6F">
          <w:rPr>
            <w:noProof/>
            <w:webHidden/>
          </w:rPr>
          <w:fldChar w:fldCharType="separate"/>
        </w:r>
        <w:r w:rsidR="00AA5AAC">
          <w:rPr>
            <w:noProof/>
            <w:webHidden/>
          </w:rPr>
          <w:t>131</w:t>
        </w:r>
        <w:r w:rsidR="00406E6F">
          <w:rPr>
            <w:noProof/>
            <w:webHidden/>
          </w:rPr>
          <w:fldChar w:fldCharType="end"/>
        </w:r>
      </w:hyperlink>
    </w:p>
    <w:p w14:paraId="3CEBB295" w14:textId="46653B0E" w:rsidR="00406E6F" w:rsidRDefault="002C1A5C">
      <w:pPr>
        <w:pStyle w:val="TableofFigures"/>
        <w:tabs>
          <w:tab w:val="right" w:leader="dot" w:pos="9350"/>
        </w:tabs>
        <w:rPr>
          <w:rFonts w:asciiTheme="minorHAnsi" w:eastAsiaTheme="minorEastAsia" w:hAnsiTheme="minorHAnsi"/>
          <w:noProof/>
          <w:sz w:val="22"/>
        </w:rPr>
      </w:pPr>
      <w:hyperlink r:id="rId43" w:anchor="_Toc100748315" w:history="1">
        <w:r w:rsidR="00406E6F" w:rsidRPr="00C021B0">
          <w:rPr>
            <w:rStyle w:val="Hyperlink"/>
            <w:noProof/>
          </w:rPr>
          <w:t>Figure 3.8. Structure of mCPBA oxidation product 3.37.</w:t>
        </w:r>
        <w:r w:rsidR="00406E6F">
          <w:rPr>
            <w:noProof/>
            <w:webHidden/>
          </w:rPr>
          <w:tab/>
        </w:r>
        <w:r w:rsidR="00406E6F">
          <w:rPr>
            <w:noProof/>
            <w:webHidden/>
          </w:rPr>
          <w:fldChar w:fldCharType="begin"/>
        </w:r>
        <w:r w:rsidR="00406E6F">
          <w:rPr>
            <w:noProof/>
            <w:webHidden/>
          </w:rPr>
          <w:instrText xml:space="preserve"> PAGEREF _Toc100748315 \h </w:instrText>
        </w:r>
        <w:r w:rsidR="00406E6F">
          <w:rPr>
            <w:noProof/>
            <w:webHidden/>
          </w:rPr>
        </w:r>
        <w:r w:rsidR="00406E6F">
          <w:rPr>
            <w:noProof/>
            <w:webHidden/>
          </w:rPr>
          <w:fldChar w:fldCharType="separate"/>
        </w:r>
        <w:r w:rsidR="00AA5AAC">
          <w:rPr>
            <w:noProof/>
            <w:webHidden/>
          </w:rPr>
          <w:t>133</w:t>
        </w:r>
        <w:r w:rsidR="00406E6F">
          <w:rPr>
            <w:noProof/>
            <w:webHidden/>
          </w:rPr>
          <w:fldChar w:fldCharType="end"/>
        </w:r>
      </w:hyperlink>
    </w:p>
    <w:p w14:paraId="392EC649" w14:textId="2FED9A41" w:rsidR="00406E6F" w:rsidRDefault="002C1A5C">
      <w:pPr>
        <w:pStyle w:val="TableofFigures"/>
        <w:tabs>
          <w:tab w:val="right" w:leader="dot" w:pos="9350"/>
        </w:tabs>
        <w:rPr>
          <w:rFonts w:asciiTheme="minorHAnsi" w:eastAsiaTheme="minorEastAsia" w:hAnsiTheme="minorHAnsi"/>
          <w:noProof/>
          <w:sz w:val="22"/>
        </w:rPr>
      </w:pPr>
      <w:hyperlink r:id="rId44" w:anchor="_Toc100748316" w:history="1">
        <w:r w:rsidR="00406E6F" w:rsidRPr="00C021B0">
          <w:rPr>
            <w:rStyle w:val="Hyperlink"/>
            <w:noProof/>
          </w:rPr>
          <w:t>Figure 3.9. Structure of compound 3.42 showing the (A) atom numbering system and (B) key HMBC correlations to C1’ (blue arrows) and C10 (green arrows).</w:t>
        </w:r>
        <w:r w:rsidR="00406E6F">
          <w:rPr>
            <w:noProof/>
            <w:webHidden/>
          </w:rPr>
          <w:tab/>
        </w:r>
        <w:r w:rsidR="00406E6F">
          <w:rPr>
            <w:noProof/>
            <w:webHidden/>
          </w:rPr>
          <w:fldChar w:fldCharType="begin"/>
        </w:r>
        <w:r w:rsidR="00406E6F">
          <w:rPr>
            <w:noProof/>
            <w:webHidden/>
          </w:rPr>
          <w:instrText xml:space="preserve"> PAGEREF _Toc100748316 \h </w:instrText>
        </w:r>
        <w:r w:rsidR="00406E6F">
          <w:rPr>
            <w:noProof/>
            <w:webHidden/>
          </w:rPr>
        </w:r>
        <w:r w:rsidR="00406E6F">
          <w:rPr>
            <w:noProof/>
            <w:webHidden/>
          </w:rPr>
          <w:fldChar w:fldCharType="separate"/>
        </w:r>
        <w:r w:rsidR="00AA5AAC">
          <w:rPr>
            <w:noProof/>
            <w:webHidden/>
          </w:rPr>
          <w:t>141</w:t>
        </w:r>
        <w:r w:rsidR="00406E6F">
          <w:rPr>
            <w:noProof/>
            <w:webHidden/>
          </w:rPr>
          <w:fldChar w:fldCharType="end"/>
        </w:r>
      </w:hyperlink>
    </w:p>
    <w:p w14:paraId="5279B549" w14:textId="3E30E1FF" w:rsidR="00406E6F" w:rsidRDefault="002C1A5C">
      <w:pPr>
        <w:pStyle w:val="TableofFigures"/>
        <w:tabs>
          <w:tab w:val="right" w:leader="dot" w:pos="9350"/>
        </w:tabs>
        <w:rPr>
          <w:rFonts w:asciiTheme="minorHAnsi" w:eastAsiaTheme="minorEastAsia" w:hAnsiTheme="minorHAnsi"/>
          <w:noProof/>
          <w:sz w:val="22"/>
        </w:rPr>
      </w:pPr>
      <w:hyperlink r:id="rId45" w:anchor="_Toc100748317" w:history="1">
        <w:r w:rsidR="00406E6F" w:rsidRPr="00C021B0">
          <w:rPr>
            <w:rStyle w:val="Hyperlink"/>
            <w:noProof/>
          </w:rPr>
          <w:t>Figure 3.10. Structure of epoxide product 3.43.</w:t>
        </w:r>
        <w:r w:rsidR="00406E6F">
          <w:rPr>
            <w:noProof/>
            <w:webHidden/>
          </w:rPr>
          <w:tab/>
        </w:r>
        <w:r w:rsidR="00406E6F">
          <w:rPr>
            <w:noProof/>
            <w:webHidden/>
          </w:rPr>
          <w:fldChar w:fldCharType="begin"/>
        </w:r>
        <w:r w:rsidR="00406E6F">
          <w:rPr>
            <w:noProof/>
            <w:webHidden/>
          </w:rPr>
          <w:instrText xml:space="preserve"> PAGEREF _Toc100748317 \h </w:instrText>
        </w:r>
        <w:r w:rsidR="00406E6F">
          <w:rPr>
            <w:noProof/>
            <w:webHidden/>
          </w:rPr>
        </w:r>
        <w:r w:rsidR="00406E6F">
          <w:rPr>
            <w:noProof/>
            <w:webHidden/>
          </w:rPr>
          <w:fldChar w:fldCharType="separate"/>
        </w:r>
        <w:r w:rsidR="00AA5AAC">
          <w:rPr>
            <w:noProof/>
            <w:webHidden/>
          </w:rPr>
          <w:t>142</w:t>
        </w:r>
        <w:r w:rsidR="00406E6F">
          <w:rPr>
            <w:noProof/>
            <w:webHidden/>
          </w:rPr>
          <w:fldChar w:fldCharType="end"/>
        </w:r>
      </w:hyperlink>
    </w:p>
    <w:p w14:paraId="222C9866" w14:textId="58534C78" w:rsidR="00406E6F" w:rsidRDefault="002C1A5C">
      <w:pPr>
        <w:pStyle w:val="TableofFigures"/>
        <w:tabs>
          <w:tab w:val="right" w:leader="dot" w:pos="9350"/>
        </w:tabs>
        <w:rPr>
          <w:rFonts w:asciiTheme="minorHAnsi" w:eastAsiaTheme="minorEastAsia" w:hAnsiTheme="minorHAnsi"/>
          <w:noProof/>
          <w:sz w:val="22"/>
        </w:rPr>
      </w:pPr>
      <w:hyperlink r:id="rId46" w:anchor="_Toc100748318" w:history="1">
        <w:r w:rsidR="00406E6F" w:rsidRPr="00C021B0">
          <w:rPr>
            <w:rStyle w:val="Hyperlink"/>
            <w:noProof/>
          </w:rPr>
          <w:t>Figure 3.11. Structure of compound 3.44 showing the (A) atom numbering system and (B) the key HMBC (green arrows), TOCSY (red arrows), and COSY (blue bold bonds) correlations.</w:t>
        </w:r>
        <w:r w:rsidR="00406E6F">
          <w:rPr>
            <w:noProof/>
            <w:webHidden/>
          </w:rPr>
          <w:tab/>
        </w:r>
        <w:r w:rsidR="00406E6F">
          <w:rPr>
            <w:noProof/>
            <w:webHidden/>
          </w:rPr>
          <w:fldChar w:fldCharType="begin"/>
        </w:r>
        <w:r w:rsidR="00406E6F">
          <w:rPr>
            <w:noProof/>
            <w:webHidden/>
          </w:rPr>
          <w:instrText xml:space="preserve"> PAGEREF _Toc100748318 \h </w:instrText>
        </w:r>
        <w:r w:rsidR="00406E6F">
          <w:rPr>
            <w:noProof/>
            <w:webHidden/>
          </w:rPr>
        </w:r>
        <w:r w:rsidR="00406E6F">
          <w:rPr>
            <w:noProof/>
            <w:webHidden/>
          </w:rPr>
          <w:fldChar w:fldCharType="separate"/>
        </w:r>
        <w:r w:rsidR="00AA5AAC">
          <w:rPr>
            <w:noProof/>
            <w:webHidden/>
          </w:rPr>
          <w:t>147</w:t>
        </w:r>
        <w:r w:rsidR="00406E6F">
          <w:rPr>
            <w:noProof/>
            <w:webHidden/>
          </w:rPr>
          <w:fldChar w:fldCharType="end"/>
        </w:r>
      </w:hyperlink>
    </w:p>
    <w:p w14:paraId="23DF4398" w14:textId="1651B6E9" w:rsidR="00406E6F" w:rsidRDefault="002C1A5C">
      <w:pPr>
        <w:pStyle w:val="TableofFigures"/>
        <w:tabs>
          <w:tab w:val="right" w:leader="dot" w:pos="9350"/>
        </w:tabs>
        <w:rPr>
          <w:rFonts w:asciiTheme="minorHAnsi" w:eastAsiaTheme="minorEastAsia" w:hAnsiTheme="minorHAnsi"/>
          <w:noProof/>
          <w:sz w:val="22"/>
        </w:rPr>
      </w:pPr>
      <w:hyperlink r:id="rId47" w:anchor="_Toc100748319" w:history="1">
        <w:r w:rsidR="00406E6F" w:rsidRPr="00C021B0">
          <w:rPr>
            <w:rStyle w:val="Hyperlink"/>
            <w:noProof/>
          </w:rPr>
          <w:t>Figure 3.12. Structures and 3D models for three diastereomers of compound 3.44.</w:t>
        </w:r>
        <w:r w:rsidR="00406E6F">
          <w:rPr>
            <w:noProof/>
            <w:webHidden/>
          </w:rPr>
          <w:tab/>
        </w:r>
        <w:r w:rsidR="00406E6F">
          <w:rPr>
            <w:noProof/>
            <w:webHidden/>
          </w:rPr>
          <w:fldChar w:fldCharType="begin"/>
        </w:r>
        <w:r w:rsidR="00406E6F">
          <w:rPr>
            <w:noProof/>
            <w:webHidden/>
          </w:rPr>
          <w:instrText xml:space="preserve"> PAGEREF _Toc100748319 \h </w:instrText>
        </w:r>
        <w:r w:rsidR="00406E6F">
          <w:rPr>
            <w:noProof/>
            <w:webHidden/>
          </w:rPr>
        </w:r>
        <w:r w:rsidR="00406E6F">
          <w:rPr>
            <w:noProof/>
            <w:webHidden/>
          </w:rPr>
          <w:fldChar w:fldCharType="separate"/>
        </w:r>
        <w:r w:rsidR="00AA5AAC">
          <w:rPr>
            <w:noProof/>
            <w:webHidden/>
          </w:rPr>
          <w:t>149</w:t>
        </w:r>
        <w:r w:rsidR="00406E6F">
          <w:rPr>
            <w:noProof/>
            <w:webHidden/>
          </w:rPr>
          <w:fldChar w:fldCharType="end"/>
        </w:r>
      </w:hyperlink>
    </w:p>
    <w:p w14:paraId="4730DD15" w14:textId="33D89A96" w:rsidR="00406E6F" w:rsidRDefault="002C1A5C">
      <w:pPr>
        <w:pStyle w:val="TableofFigures"/>
        <w:tabs>
          <w:tab w:val="right" w:leader="dot" w:pos="9350"/>
        </w:tabs>
        <w:rPr>
          <w:rFonts w:asciiTheme="minorHAnsi" w:eastAsiaTheme="minorEastAsia" w:hAnsiTheme="minorHAnsi"/>
          <w:noProof/>
          <w:sz w:val="22"/>
        </w:rPr>
      </w:pPr>
      <w:hyperlink r:id="rId48" w:anchor="_Toc100748320" w:history="1">
        <w:r w:rsidR="00406E6F" w:rsidRPr="00C021B0">
          <w:rPr>
            <w:rStyle w:val="Hyperlink"/>
            <w:noProof/>
          </w:rPr>
          <w:t>Figure 3.13. Pyridine functionalization reactions by (A and B) Knochel and (C) Caub</w:t>
        </w:r>
        <w:r w:rsidR="00406E6F" w:rsidRPr="00C021B0">
          <w:rPr>
            <w:rStyle w:val="Hyperlink"/>
            <w:rFonts w:cs="Times New Roman"/>
            <w:noProof/>
          </w:rPr>
          <w:t>è</w:t>
        </w:r>
        <w:r w:rsidR="00406E6F" w:rsidRPr="00C021B0">
          <w:rPr>
            <w:rStyle w:val="Hyperlink"/>
            <w:noProof/>
          </w:rPr>
          <w:t>re.</w:t>
        </w:r>
        <w:r w:rsidR="00406E6F">
          <w:rPr>
            <w:noProof/>
            <w:webHidden/>
          </w:rPr>
          <w:tab/>
        </w:r>
        <w:r w:rsidR="00406E6F">
          <w:rPr>
            <w:noProof/>
            <w:webHidden/>
          </w:rPr>
          <w:fldChar w:fldCharType="begin"/>
        </w:r>
        <w:r w:rsidR="00406E6F">
          <w:rPr>
            <w:noProof/>
            <w:webHidden/>
          </w:rPr>
          <w:instrText xml:space="preserve"> PAGEREF _Toc100748320 \h </w:instrText>
        </w:r>
        <w:r w:rsidR="00406E6F">
          <w:rPr>
            <w:noProof/>
            <w:webHidden/>
          </w:rPr>
        </w:r>
        <w:r w:rsidR="00406E6F">
          <w:rPr>
            <w:noProof/>
            <w:webHidden/>
          </w:rPr>
          <w:fldChar w:fldCharType="separate"/>
        </w:r>
        <w:r w:rsidR="00AA5AAC">
          <w:rPr>
            <w:noProof/>
            <w:webHidden/>
          </w:rPr>
          <w:t>151</w:t>
        </w:r>
        <w:r w:rsidR="00406E6F">
          <w:rPr>
            <w:noProof/>
            <w:webHidden/>
          </w:rPr>
          <w:fldChar w:fldCharType="end"/>
        </w:r>
      </w:hyperlink>
    </w:p>
    <w:p w14:paraId="389E57AE" w14:textId="3721DF78" w:rsidR="00406E6F" w:rsidRDefault="002C1A5C">
      <w:pPr>
        <w:pStyle w:val="TableofFigures"/>
        <w:tabs>
          <w:tab w:val="right" w:leader="dot" w:pos="9350"/>
        </w:tabs>
        <w:rPr>
          <w:rFonts w:asciiTheme="minorHAnsi" w:eastAsiaTheme="minorEastAsia" w:hAnsiTheme="minorHAnsi"/>
          <w:noProof/>
          <w:sz w:val="22"/>
        </w:rPr>
      </w:pPr>
      <w:hyperlink r:id="rId49" w:anchor="_Toc100748321" w:history="1">
        <w:r w:rsidR="00406E6F" w:rsidRPr="00C021B0">
          <w:rPr>
            <w:rStyle w:val="Hyperlink"/>
            <w:noProof/>
          </w:rPr>
          <w:t xml:space="preserve">Figure 3.14. Predicted pKa values of C-H in unsubstituted pyridine (left) and </w:t>
        </w:r>
        <w:r w:rsidR="00406E6F" w:rsidRPr="00C021B0">
          <w:rPr>
            <w:rStyle w:val="Hyperlink"/>
            <w:rFonts w:cs="Times New Roman"/>
            <w:noProof/>
          </w:rPr>
          <w:t>β</w:t>
        </w:r>
        <w:r w:rsidR="00406E6F" w:rsidRPr="00C021B0">
          <w:rPr>
            <w:rStyle w:val="Hyperlink"/>
            <w:noProof/>
          </w:rPr>
          <w:t>-carboline (right).</w:t>
        </w:r>
        <w:r w:rsidR="00406E6F">
          <w:rPr>
            <w:noProof/>
            <w:webHidden/>
          </w:rPr>
          <w:tab/>
        </w:r>
        <w:r w:rsidR="00406E6F">
          <w:rPr>
            <w:noProof/>
            <w:webHidden/>
          </w:rPr>
          <w:fldChar w:fldCharType="begin"/>
        </w:r>
        <w:r w:rsidR="00406E6F">
          <w:rPr>
            <w:noProof/>
            <w:webHidden/>
          </w:rPr>
          <w:instrText xml:space="preserve"> PAGEREF _Toc100748321 \h </w:instrText>
        </w:r>
        <w:r w:rsidR="00406E6F">
          <w:rPr>
            <w:noProof/>
            <w:webHidden/>
          </w:rPr>
        </w:r>
        <w:r w:rsidR="00406E6F">
          <w:rPr>
            <w:noProof/>
            <w:webHidden/>
          </w:rPr>
          <w:fldChar w:fldCharType="separate"/>
        </w:r>
        <w:r w:rsidR="00AA5AAC">
          <w:rPr>
            <w:noProof/>
            <w:webHidden/>
          </w:rPr>
          <w:t>153</w:t>
        </w:r>
        <w:r w:rsidR="00406E6F">
          <w:rPr>
            <w:noProof/>
            <w:webHidden/>
          </w:rPr>
          <w:fldChar w:fldCharType="end"/>
        </w:r>
      </w:hyperlink>
    </w:p>
    <w:p w14:paraId="2D967B04" w14:textId="351E6C84" w:rsidR="00406E6F" w:rsidRDefault="002C1A5C">
      <w:pPr>
        <w:pStyle w:val="TableofFigures"/>
        <w:tabs>
          <w:tab w:val="right" w:leader="dot" w:pos="9350"/>
        </w:tabs>
        <w:rPr>
          <w:rFonts w:asciiTheme="minorHAnsi" w:eastAsiaTheme="minorEastAsia" w:hAnsiTheme="minorHAnsi"/>
          <w:noProof/>
          <w:sz w:val="22"/>
        </w:rPr>
      </w:pPr>
      <w:hyperlink r:id="rId50" w:anchor="_Toc100748322" w:history="1">
        <w:r w:rsidR="00406E6F" w:rsidRPr="00C021B0">
          <w:rPr>
            <w:rStyle w:val="Hyperlink"/>
            <w:noProof/>
          </w:rPr>
          <w:t xml:space="preserve">Figure 3.15. Structures of products 3.47 and 3.48 from </w:t>
        </w:r>
        <w:r w:rsidR="00406E6F" w:rsidRPr="00C021B0">
          <w:rPr>
            <w:rStyle w:val="Hyperlink"/>
            <w:rFonts w:cs="Times New Roman"/>
            <w:noProof/>
          </w:rPr>
          <w:t>β</w:t>
        </w:r>
        <w:r w:rsidR="00406E6F" w:rsidRPr="00C021B0">
          <w:rPr>
            <w:rStyle w:val="Hyperlink"/>
            <w:noProof/>
          </w:rPr>
          <w:t>-carboline substitution reactions.</w:t>
        </w:r>
        <w:r w:rsidR="00406E6F">
          <w:rPr>
            <w:noProof/>
            <w:webHidden/>
          </w:rPr>
          <w:tab/>
        </w:r>
        <w:r w:rsidR="00406E6F">
          <w:rPr>
            <w:noProof/>
            <w:webHidden/>
          </w:rPr>
          <w:fldChar w:fldCharType="begin"/>
        </w:r>
        <w:r w:rsidR="00406E6F">
          <w:rPr>
            <w:noProof/>
            <w:webHidden/>
          </w:rPr>
          <w:instrText xml:space="preserve"> PAGEREF _Toc100748322 \h </w:instrText>
        </w:r>
        <w:r w:rsidR="00406E6F">
          <w:rPr>
            <w:noProof/>
            <w:webHidden/>
          </w:rPr>
        </w:r>
        <w:r w:rsidR="00406E6F">
          <w:rPr>
            <w:noProof/>
            <w:webHidden/>
          </w:rPr>
          <w:fldChar w:fldCharType="separate"/>
        </w:r>
        <w:r w:rsidR="00AA5AAC">
          <w:rPr>
            <w:noProof/>
            <w:webHidden/>
          </w:rPr>
          <w:t>153</w:t>
        </w:r>
        <w:r w:rsidR="00406E6F">
          <w:rPr>
            <w:noProof/>
            <w:webHidden/>
          </w:rPr>
          <w:fldChar w:fldCharType="end"/>
        </w:r>
      </w:hyperlink>
    </w:p>
    <w:p w14:paraId="00FA02E7" w14:textId="0931ECF6" w:rsidR="00406E6F" w:rsidRDefault="002C1A5C">
      <w:pPr>
        <w:pStyle w:val="TableofFigures"/>
        <w:tabs>
          <w:tab w:val="right" w:leader="dot" w:pos="9350"/>
        </w:tabs>
        <w:rPr>
          <w:rFonts w:asciiTheme="minorHAnsi" w:eastAsiaTheme="minorEastAsia" w:hAnsiTheme="minorHAnsi"/>
          <w:noProof/>
          <w:sz w:val="22"/>
        </w:rPr>
      </w:pPr>
      <w:hyperlink r:id="rId51" w:anchor="_Toc100748323" w:history="1">
        <w:r w:rsidR="00406E6F" w:rsidRPr="00C021B0">
          <w:rPr>
            <w:rStyle w:val="Hyperlink"/>
            <w:noProof/>
          </w:rPr>
          <w:t xml:space="preserve">Figure 3.16. Structures of novel </w:t>
        </w:r>
        <w:r w:rsidR="00406E6F" w:rsidRPr="00C021B0">
          <w:rPr>
            <w:rStyle w:val="Hyperlink"/>
            <w:i/>
            <w:noProof/>
          </w:rPr>
          <w:t>Picrasma</w:t>
        </w:r>
        <w:r w:rsidR="00406E6F" w:rsidRPr="00C021B0">
          <w:rPr>
            <w:rStyle w:val="Hyperlink"/>
            <w:noProof/>
          </w:rPr>
          <w:t xml:space="preserve"> alkaloid analogues.</w:t>
        </w:r>
        <w:r w:rsidR="00406E6F">
          <w:rPr>
            <w:noProof/>
            <w:webHidden/>
          </w:rPr>
          <w:tab/>
        </w:r>
        <w:r w:rsidR="00406E6F">
          <w:rPr>
            <w:noProof/>
            <w:webHidden/>
          </w:rPr>
          <w:fldChar w:fldCharType="begin"/>
        </w:r>
        <w:r w:rsidR="00406E6F">
          <w:rPr>
            <w:noProof/>
            <w:webHidden/>
          </w:rPr>
          <w:instrText xml:space="preserve"> PAGEREF _Toc100748323 \h </w:instrText>
        </w:r>
        <w:r w:rsidR="00406E6F">
          <w:rPr>
            <w:noProof/>
            <w:webHidden/>
          </w:rPr>
        </w:r>
        <w:r w:rsidR="00406E6F">
          <w:rPr>
            <w:noProof/>
            <w:webHidden/>
          </w:rPr>
          <w:fldChar w:fldCharType="separate"/>
        </w:r>
        <w:r w:rsidR="00AA5AAC">
          <w:rPr>
            <w:noProof/>
            <w:webHidden/>
          </w:rPr>
          <w:t>156</w:t>
        </w:r>
        <w:r w:rsidR="00406E6F">
          <w:rPr>
            <w:noProof/>
            <w:webHidden/>
          </w:rPr>
          <w:fldChar w:fldCharType="end"/>
        </w:r>
      </w:hyperlink>
    </w:p>
    <w:p w14:paraId="124DFF1C" w14:textId="7EFCCC23" w:rsidR="00406E6F" w:rsidRDefault="002C1A5C">
      <w:pPr>
        <w:pStyle w:val="TableofFigures"/>
        <w:tabs>
          <w:tab w:val="right" w:leader="dot" w:pos="9350"/>
        </w:tabs>
        <w:rPr>
          <w:rFonts w:asciiTheme="minorHAnsi" w:eastAsiaTheme="minorEastAsia" w:hAnsiTheme="minorHAnsi"/>
          <w:noProof/>
          <w:sz w:val="22"/>
        </w:rPr>
      </w:pPr>
      <w:hyperlink r:id="rId52" w:anchor="_Toc100748324" w:history="1">
        <w:r w:rsidR="00406E6F" w:rsidRPr="00C021B0">
          <w:rPr>
            <w:rStyle w:val="Hyperlink"/>
            <w:noProof/>
          </w:rPr>
          <w:t>Figure 3.17. Representative examples of indoloquinolizine natural products.</w:t>
        </w:r>
        <w:r w:rsidR="00406E6F">
          <w:rPr>
            <w:noProof/>
            <w:webHidden/>
          </w:rPr>
          <w:tab/>
        </w:r>
        <w:r w:rsidR="00406E6F">
          <w:rPr>
            <w:noProof/>
            <w:webHidden/>
          </w:rPr>
          <w:fldChar w:fldCharType="begin"/>
        </w:r>
        <w:r w:rsidR="00406E6F">
          <w:rPr>
            <w:noProof/>
            <w:webHidden/>
          </w:rPr>
          <w:instrText xml:space="preserve"> PAGEREF _Toc100748324 \h </w:instrText>
        </w:r>
        <w:r w:rsidR="00406E6F">
          <w:rPr>
            <w:noProof/>
            <w:webHidden/>
          </w:rPr>
        </w:r>
        <w:r w:rsidR="00406E6F">
          <w:rPr>
            <w:noProof/>
            <w:webHidden/>
          </w:rPr>
          <w:fldChar w:fldCharType="separate"/>
        </w:r>
        <w:r w:rsidR="00AA5AAC">
          <w:rPr>
            <w:noProof/>
            <w:webHidden/>
          </w:rPr>
          <w:t>157</w:t>
        </w:r>
        <w:r w:rsidR="00406E6F">
          <w:rPr>
            <w:noProof/>
            <w:webHidden/>
          </w:rPr>
          <w:fldChar w:fldCharType="end"/>
        </w:r>
      </w:hyperlink>
    </w:p>
    <w:p w14:paraId="55408893" w14:textId="310B7BE5" w:rsidR="00406E6F" w:rsidRDefault="002C1A5C">
      <w:pPr>
        <w:pStyle w:val="TableofFigures"/>
        <w:tabs>
          <w:tab w:val="right" w:leader="dot" w:pos="9350"/>
        </w:tabs>
        <w:rPr>
          <w:rFonts w:asciiTheme="minorHAnsi" w:eastAsiaTheme="minorEastAsia" w:hAnsiTheme="minorHAnsi"/>
          <w:noProof/>
          <w:sz w:val="22"/>
        </w:rPr>
      </w:pPr>
      <w:hyperlink r:id="rId53" w:anchor="_Toc100748325" w:history="1">
        <w:r w:rsidR="00406E6F" w:rsidRPr="00C021B0">
          <w:rPr>
            <w:rStyle w:val="Hyperlink"/>
            <w:noProof/>
          </w:rPr>
          <w:t>Figure 3.18. Structures of iboga-type alkaloids ervaoffines A and C.</w:t>
        </w:r>
        <w:r w:rsidR="00406E6F">
          <w:rPr>
            <w:noProof/>
            <w:webHidden/>
          </w:rPr>
          <w:tab/>
        </w:r>
        <w:r w:rsidR="00406E6F">
          <w:rPr>
            <w:noProof/>
            <w:webHidden/>
          </w:rPr>
          <w:fldChar w:fldCharType="begin"/>
        </w:r>
        <w:r w:rsidR="00406E6F">
          <w:rPr>
            <w:noProof/>
            <w:webHidden/>
          </w:rPr>
          <w:instrText xml:space="preserve"> PAGEREF _Toc100748325 \h </w:instrText>
        </w:r>
        <w:r w:rsidR="00406E6F">
          <w:rPr>
            <w:noProof/>
            <w:webHidden/>
          </w:rPr>
        </w:r>
        <w:r w:rsidR="00406E6F">
          <w:rPr>
            <w:noProof/>
            <w:webHidden/>
          </w:rPr>
          <w:fldChar w:fldCharType="separate"/>
        </w:r>
        <w:r w:rsidR="00AA5AAC">
          <w:rPr>
            <w:noProof/>
            <w:webHidden/>
          </w:rPr>
          <w:t>158</w:t>
        </w:r>
        <w:r w:rsidR="00406E6F">
          <w:rPr>
            <w:noProof/>
            <w:webHidden/>
          </w:rPr>
          <w:fldChar w:fldCharType="end"/>
        </w:r>
      </w:hyperlink>
    </w:p>
    <w:p w14:paraId="27C4459C" w14:textId="3B5422DD" w:rsidR="00406E6F" w:rsidRDefault="002C1A5C">
      <w:pPr>
        <w:pStyle w:val="TableofFigures"/>
        <w:tabs>
          <w:tab w:val="right" w:leader="dot" w:pos="9350"/>
        </w:tabs>
        <w:rPr>
          <w:rFonts w:asciiTheme="minorHAnsi" w:eastAsiaTheme="minorEastAsia" w:hAnsiTheme="minorHAnsi"/>
          <w:noProof/>
          <w:sz w:val="22"/>
        </w:rPr>
      </w:pPr>
      <w:hyperlink r:id="rId54" w:anchor="_Toc100748326" w:history="1">
        <w:r w:rsidR="00406E6F" w:rsidRPr="00C021B0">
          <w:rPr>
            <w:rStyle w:val="Hyperlink"/>
            <w:noProof/>
          </w:rPr>
          <w:t>Figure 4.1. Daily COVID-19 cases in the United States from April 2020 – April 2022</w:t>
        </w:r>
        <w:r w:rsidR="00406E6F">
          <w:rPr>
            <w:noProof/>
            <w:webHidden/>
          </w:rPr>
          <w:tab/>
        </w:r>
        <w:r w:rsidR="00406E6F">
          <w:rPr>
            <w:noProof/>
            <w:webHidden/>
          </w:rPr>
          <w:fldChar w:fldCharType="begin"/>
        </w:r>
        <w:r w:rsidR="00406E6F">
          <w:rPr>
            <w:noProof/>
            <w:webHidden/>
          </w:rPr>
          <w:instrText xml:space="preserve"> PAGEREF _Toc100748326 \h </w:instrText>
        </w:r>
        <w:r w:rsidR="00406E6F">
          <w:rPr>
            <w:noProof/>
            <w:webHidden/>
          </w:rPr>
        </w:r>
        <w:r w:rsidR="00406E6F">
          <w:rPr>
            <w:noProof/>
            <w:webHidden/>
          </w:rPr>
          <w:fldChar w:fldCharType="separate"/>
        </w:r>
        <w:r w:rsidR="00AA5AAC">
          <w:rPr>
            <w:noProof/>
            <w:webHidden/>
          </w:rPr>
          <w:t>202</w:t>
        </w:r>
        <w:r w:rsidR="00406E6F">
          <w:rPr>
            <w:noProof/>
            <w:webHidden/>
          </w:rPr>
          <w:fldChar w:fldCharType="end"/>
        </w:r>
      </w:hyperlink>
    </w:p>
    <w:p w14:paraId="2FAF3782" w14:textId="5ED9FA7E" w:rsidR="00406E6F" w:rsidRDefault="002C1A5C">
      <w:pPr>
        <w:pStyle w:val="TableofFigures"/>
        <w:tabs>
          <w:tab w:val="right" w:leader="dot" w:pos="9350"/>
        </w:tabs>
        <w:rPr>
          <w:rFonts w:asciiTheme="minorHAnsi" w:eastAsiaTheme="minorEastAsia" w:hAnsiTheme="minorHAnsi"/>
          <w:noProof/>
          <w:sz w:val="22"/>
        </w:rPr>
      </w:pPr>
      <w:hyperlink r:id="rId55" w:anchor="_Toc100748327" w:history="1">
        <w:r w:rsidR="00406E6F" w:rsidRPr="00C021B0">
          <w:rPr>
            <w:rStyle w:val="Hyperlink"/>
            <w:noProof/>
          </w:rPr>
          <w:t>Figure 4.2. Atomic model of the external structure of the SARS-CoV-2 virus.</w:t>
        </w:r>
        <w:r w:rsidR="00406E6F">
          <w:rPr>
            <w:noProof/>
            <w:webHidden/>
          </w:rPr>
          <w:tab/>
        </w:r>
        <w:r w:rsidR="00406E6F">
          <w:rPr>
            <w:noProof/>
            <w:webHidden/>
          </w:rPr>
          <w:fldChar w:fldCharType="begin"/>
        </w:r>
        <w:r w:rsidR="00406E6F">
          <w:rPr>
            <w:noProof/>
            <w:webHidden/>
          </w:rPr>
          <w:instrText xml:space="preserve"> PAGEREF _Toc100748327 \h </w:instrText>
        </w:r>
        <w:r w:rsidR="00406E6F">
          <w:rPr>
            <w:noProof/>
            <w:webHidden/>
          </w:rPr>
        </w:r>
        <w:r w:rsidR="00406E6F">
          <w:rPr>
            <w:noProof/>
            <w:webHidden/>
          </w:rPr>
          <w:fldChar w:fldCharType="separate"/>
        </w:r>
        <w:r w:rsidR="00AA5AAC">
          <w:rPr>
            <w:noProof/>
            <w:webHidden/>
          </w:rPr>
          <w:t>204</w:t>
        </w:r>
        <w:r w:rsidR="00406E6F">
          <w:rPr>
            <w:noProof/>
            <w:webHidden/>
          </w:rPr>
          <w:fldChar w:fldCharType="end"/>
        </w:r>
      </w:hyperlink>
    </w:p>
    <w:p w14:paraId="6FF134CA" w14:textId="1A2CDA4D" w:rsidR="00406E6F" w:rsidRDefault="002C1A5C">
      <w:pPr>
        <w:pStyle w:val="TableofFigures"/>
        <w:tabs>
          <w:tab w:val="right" w:leader="dot" w:pos="9350"/>
        </w:tabs>
        <w:rPr>
          <w:rFonts w:asciiTheme="minorHAnsi" w:eastAsiaTheme="minorEastAsia" w:hAnsiTheme="minorHAnsi"/>
          <w:noProof/>
          <w:sz w:val="22"/>
        </w:rPr>
      </w:pPr>
      <w:hyperlink r:id="rId56" w:anchor="_Toc100748328" w:history="1">
        <w:r w:rsidR="00406E6F" w:rsidRPr="00C021B0">
          <w:rPr>
            <w:rStyle w:val="Hyperlink"/>
            <w:noProof/>
          </w:rPr>
          <w:t xml:space="preserve">Figure 4.3. Structures of antiviral compounds referred to in </w:t>
        </w:r>
        <w:r w:rsidR="00406E6F" w:rsidRPr="00C021B0">
          <w:rPr>
            <w:rStyle w:val="Hyperlink"/>
            <w:iCs/>
            <w:noProof/>
          </w:rPr>
          <w:t>Table 4.15</w:t>
        </w:r>
        <w:r w:rsidR="00406E6F" w:rsidRPr="00C021B0">
          <w:rPr>
            <w:rStyle w:val="Hyperlink"/>
            <w:noProof/>
          </w:rPr>
          <w:t>.</w:t>
        </w:r>
        <w:r w:rsidR="00406E6F">
          <w:rPr>
            <w:noProof/>
            <w:webHidden/>
          </w:rPr>
          <w:tab/>
        </w:r>
        <w:r w:rsidR="00406E6F">
          <w:rPr>
            <w:noProof/>
            <w:webHidden/>
          </w:rPr>
          <w:fldChar w:fldCharType="begin"/>
        </w:r>
        <w:r w:rsidR="00406E6F">
          <w:rPr>
            <w:noProof/>
            <w:webHidden/>
          </w:rPr>
          <w:instrText xml:space="preserve"> PAGEREF _Toc100748328 \h </w:instrText>
        </w:r>
        <w:r w:rsidR="00406E6F">
          <w:rPr>
            <w:noProof/>
            <w:webHidden/>
          </w:rPr>
        </w:r>
        <w:r w:rsidR="00406E6F">
          <w:rPr>
            <w:noProof/>
            <w:webHidden/>
          </w:rPr>
          <w:fldChar w:fldCharType="separate"/>
        </w:r>
        <w:r w:rsidR="00AA5AAC">
          <w:rPr>
            <w:noProof/>
            <w:webHidden/>
          </w:rPr>
          <w:t>207</w:t>
        </w:r>
        <w:r w:rsidR="00406E6F">
          <w:rPr>
            <w:noProof/>
            <w:webHidden/>
          </w:rPr>
          <w:fldChar w:fldCharType="end"/>
        </w:r>
      </w:hyperlink>
    </w:p>
    <w:p w14:paraId="13831CED" w14:textId="5F483C3D" w:rsidR="00406E6F" w:rsidRDefault="002C1A5C">
      <w:pPr>
        <w:pStyle w:val="TableofFigures"/>
        <w:tabs>
          <w:tab w:val="right" w:leader="dot" w:pos="9350"/>
        </w:tabs>
        <w:rPr>
          <w:rFonts w:asciiTheme="minorHAnsi" w:eastAsiaTheme="minorEastAsia" w:hAnsiTheme="minorHAnsi"/>
          <w:noProof/>
          <w:sz w:val="22"/>
        </w:rPr>
      </w:pPr>
      <w:hyperlink r:id="rId57" w:anchor="_Toc100748329" w:history="1">
        <w:r w:rsidR="00406E6F" w:rsidRPr="00C021B0">
          <w:rPr>
            <w:rStyle w:val="Hyperlink"/>
            <w:noProof/>
          </w:rPr>
          <w:t>Figure 4.4. Compounds with reported antiviral activity in coronaviruses.</w:t>
        </w:r>
        <w:r w:rsidR="00406E6F">
          <w:rPr>
            <w:noProof/>
            <w:webHidden/>
          </w:rPr>
          <w:tab/>
        </w:r>
        <w:r w:rsidR="00406E6F">
          <w:rPr>
            <w:noProof/>
            <w:webHidden/>
          </w:rPr>
          <w:fldChar w:fldCharType="begin"/>
        </w:r>
        <w:r w:rsidR="00406E6F">
          <w:rPr>
            <w:noProof/>
            <w:webHidden/>
          </w:rPr>
          <w:instrText xml:space="preserve"> PAGEREF _Toc100748329 \h </w:instrText>
        </w:r>
        <w:r w:rsidR="00406E6F">
          <w:rPr>
            <w:noProof/>
            <w:webHidden/>
          </w:rPr>
        </w:r>
        <w:r w:rsidR="00406E6F">
          <w:rPr>
            <w:noProof/>
            <w:webHidden/>
          </w:rPr>
          <w:fldChar w:fldCharType="separate"/>
        </w:r>
        <w:r w:rsidR="00AA5AAC">
          <w:rPr>
            <w:noProof/>
            <w:webHidden/>
          </w:rPr>
          <w:t>209</w:t>
        </w:r>
        <w:r w:rsidR="00406E6F">
          <w:rPr>
            <w:noProof/>
            <w:webHidden/>
          </w:rPr>
          <w:fldChar w:fldCharType="end"/>
        </w:r>
      </w:hyperlink>
    </w:p>
    <w:p w14:paraId="27F9672C" w14:textId="1D3CF9A0" w:rsidR="00406E6F" w:rsidRDefault="002C1A5C">
      <w:pPr>
        <w:pStyle w:val="TableofFigures"/>
        <w:tabs>
          <w:tab w:val="right" w:leader="dot" w:pos="9350"/>
        </w:tabs>
        <w:rPr>
          <w:rFonts w:asciiTheme="minorHAnsi" w:eastAsiaTheme="minorEastAsia" w:hAnsiTheme="minorHAnsi"/>
          <w:noProof/>
          <w:sz w:val="22"/>
        </w:rPr>
      </w:pPr>
      <w:hyperlink r:id="rId58" w:anchor="_Toc100748330" w:history="1">
        <w:r w:rsidR="00406E6F" w:rsidRPr="00C021B0">
          <w:rPr>
            <w:rStyle w:val="Hyperlink"/>
            <w:noProof/>
          </w:rPr>
          <w:t>Figure 4.5. Structurally diverse molecules from the existing Duerfeldt Lab library.</w:t>
        </w:r>
        <w:r w:rsidR="00406E6F">
          <w:rPr>
            <w:noProof/>
            <w:webHidden/>
          </w:rPr>
          <w:tab/>
        </w:r>
        <w:r w:rsidR="00406E6F">
          <w:rPr>
            <w:noProof/>
            <w:webHidden/>
          </w:rPr>
          <w:fldChar w:fldCharType="begin"/>
        </w:r>
        <w:r w:rsidR="00406E6F">
          <w:rPr>
            <w:noProof/>
            <w:webHidden/>
          </w:rPr>
          <w:instrText xml:space="preserve"> PAGEREF _Toc100748330 \h </w:instrText>
        </w:r>
        <w:r w:rsidR="00406E6F">
          <w:rPr>
            <w:noProof/>
            <w:webHidden/>
          </w:rPr>
        </w:r>
        <w:r w:rsidR="00406E6F">
          <w:rPr>
            <w:noProof/>
            <w:webHidden/>
          </w:rPr>
          <w:fldChar w:fldCharType="separate"/>
        </w:r>
        <w:r w:rsidR="00AA5AAC">
          <w:rPr>
            <w:noProof/>
            <w:webHidden/>
          </w:rPr>
          <w:t>210</w:t>
        </w:r>
        <w:r w:rsidR="00406E6F">
          <w:rPr>
            <w:noProof/>
            <w:webHidden/>
          </w:rPr>
          <w:fldChar w:fldCharType="end"/>
        </w:r>
      </w:hyperlink>
    </w:p>
    <w:p w14:paraId="25F7C9DE" w14:textId="2871C446" w:rsidR="00406E6F" w:rsidRDefault="002C1A5C">
      <w:pPr>
        <w:pStyle w:val="TableofFigures"/>
        <w:tabs>
          <w:tab w:val="right" w:leader="dot" w:pos="9350"/>
        </w:tabs>
        <w:rPr>
          <w:rFonts w:asciiTheme="minorHAnsi" w:eastAsiaTheme="minorEastAsia" w:hAnsiTheme="minorHAnsi"/>
          <w:noProof/>
          <w:sz w:val="22"/>
        </w:rPr>
      </w:pPr>
      <w:hyperlink r:id="rId59" w:anchor="_Toc100748331" w:history="1">
        <w:r w:rsidR="00406E6F" w:rsidRPr="00C021B0">
          <w:rPr>
            <w:rStyle w:val="Hyperlink"/>
            <w:noProof/>
          </w:rPr>
          <w:t>Figure 4.6. Structure of SARS-CoV-2 M</w:t>
        </w:r>
        <w:r w:rsidR="00406E6F" w:rsidRPr="00C021B0">
          <w:rPr>
            <w:rStyle w:val="Hyperlink"/>
            <w:noProof/>
            <w:vertAlign w:val="superscript"/>
          </w:rPr>
          <w:t>pro</w:t>
        </w:r>
        <w:r w:rsidR="00406E6F" w:rsidRPr="00C021B0">
          <w:rPr>
            <w:rStyle w:val="Hyperlink"/>
            <w:noProof/>
          </w:rPr>
          <w:t xml:space="preserve"> dimer.</w:t>
        </w:r>
        <w:r w:rsidR="00406E6F">
          <w:rPr>
            <w:noProof/>
            <w:webHidden/>
          </w:rPr>
          <w:tab/>
        </w:r>
        <w:r w:rsidR="00406E6F">
          <w:rPr>
            <w:noProof/>
            <w:webHidden/>
          </w:rPr>
          <w:fldChar w:fldCharType="begin"/>
        </w:r>
        <w:r w:rsidR="00406E6F">
          <w:rPr>
            <w:noProof/>
            <w:webHidden/>
          </w:rPr>
          <w:instrText xml:space="preserve"> PAGEREF _Toc100748331 \h </w:instrText>
        </w:r>
        <w:r w:rsidR="00406E6F">
          <w:rPr>
            <w:noProof/>
            <w:webHidden/>
          </w:rPr>
        </w:r>
        <w:r w:rsidR="00406E6F">
          <w:rPr>
            <w:noProof/>
            <w:webHidden/>
          </w:rPr>
          <w:fldChar w:fldCharType="separate"/>
        </w:r>
        <w:r w:rsidR="00AA5AAC">
          <w:rPr>
            <w:noProof/>
            <w:webHidden/>
          </w:rPr>
          <w:t>213</w:t>
        </w:r>
        <w:r w:rsidR="00406E6F">
          <w:rPr>
            <w:noProof/>
            <w:webHidden/>
          </w:rPr>
          <w:fldChar w:fldCharType="end"/>
        </w:r>
      </w:hyperlink>
    </w:p>
    <w:p w14:paraId="2E081D0C" w14:textId="63ADF14E" w:rsidR="00406E6F" w:rsidRDefault="002C1A5C">
      <w:pPr>
        <w:pStyle w:val="TableofFigures"/>
        <w:tabs>
          <w:tab w:val="right" w:leader="dot" w:pos="9350"/>
        </w:tabs>
        <w:rPr>
          <w:rFonts w:asciiTheme="minorHAnsi" w:eastAsiaTheme="minorEastAsia" w:hAnsiTheme="minorHAnsi"/>
          <w:noProof/>
          <w:sz w:val="22"/>
        </w:rPr>
      </w:pPr>
      <w:hyperlink r:id="rId60" w:anchor="_Toc100748332" w:history="1">
        <w:r w:rsidR="00406E6F" w:rsidRPr="00C021B0">
          <w:rPr>
            <w:rStyle w:val="Hyperlink"/>
            <w:noProof/>
          </w:rPr>
          <w:t>Figure 4.7. The active site of SARS-CoV-2 with bound substrates.</w:t>
        </w:r>
        <w:r w:rsidR="00406E6F">
          <w:rPr>
            <w:noProof/>
            <w:webHidden/>
          </w:rPr>
          <w:tab/>
        </w:r>
        <w:r w:rsidR="00406E6F">
          <w:rPr>
            <w:noProof/>
            <w:webHidden/>
          </w:rPr>
          <w:fldChar w:fldCharType="begin"/>
        </w:r>
        <w:r w:rsidR="00406E6F">
          <w:rPr>
            <w:noProof/>
            <w:webHidden/>
          </w:rPr>
          <w:instrText xml:space="preserve"> PAGEREF _Toc100748332 \h </w:instrText>
        </w:r>
        <w:r w:rsidR="00406E6F">
          <w:rPr>
            <w:noProof/>
            <w:webHidden/>
          </w:rPr>
        </w:r>
        <w:r w:rsidR="00406E6F">
          <w:rPr>
            <w:noProof/>
            <w:webHidden/>
          </w:rPr>
          <w:fldChar w:fldCharType="separate"/>
        </w:r>
        <w:r w:rsidR="00AA5AAC">
          <w:rPr>
            <w:noProof/>
            <w:webHidden/>
          </w:rPr>
          <w:t>214</w:t>
        </w:r>
        <w:r w:rsidR="00406E6F">
          <w:rPr>
            <w:noProof/>
            <w:webHidden/>
          </w:rPr>
          <w:fldChar w:fldCharType="end"/>
        </w:r>
      </w:hyperlink>
    </w:p>
    <w:p w14:paraId="084F0F35" w14:textId="1A5CACF2" w:rsidR="00406E6F" w:rsidRDefault="002C1A5C">
      <w:pPr>
        <w:pStyle w:val="TableofFigures"/>
        <w:tabs>
          <w:tab w:val="right" w:leader="dot" w:pos="9350"/>
        </w:tabs>
        <w:rPr>
          <w:rFonts w:asciiTheme="minorHAnsi" w:eastAsiaTheme="minorEastAsia" w:hAnsiTheme="minorHAnsi"/>
          <w:noProof/>
          <w:sz w:val="22"/>
        </w:rPr>
      </w:pPr>
      <w:hyperlink r:id="rId61" w:anchor="_Toc100748333" w:history="1">
        <w:r w:rsidR="00406E6F" w:rsidRPr="00C021B0">
          <w:rPr>
            <w:rStyle w:val="Hyperlink"/>
            <w:noProof/>
          </w:rPr>
          <w:t>Figure 4.8. SARS-CoV M</w:t>
        </w:r>
        <w:r w:rsidR="00406E6F" w:rsidRPr="00C021B0">
          <w:rPr>
            <w:rStyle w:val="Hyperlink"/>
            <w:noProof/>
            <w:vertAlign w:val="superscript"/>
          </w:rPr>
          <w:t>pro</w:t>
        </w:r>
        <w:r w:rsidR="00406E6F" w:rsidRPr="00C021B0">
          <w:rPr>
            <w:rStyle w:val="Hyperlink"/>
            <w:noProof/>
          </w:rPr>
          <w:t xml:space="preserve"> inhibition of ML188 and its enantiomers.</w:t>
        </w:r>
        <w:r w:rsidR="00406E6F">
          <w:rPr>
            <w:noProof/>
            <w:webHidden/>
          </w:rPr>
          <w:tab/>
        </w:r>
        <w:r w:rsidR="00406E6F">
          <w:rPr>
            <w:noProof/>
            <w:webHidden/>
          </w:rPr>
          <w:fldChar w:fldCharType="begin"/>
        </w:r>
        <w:r w:rsidR="00406E6F">
          <w:rPr>
            <w:noProof/>
            <w:webHidden/>
          </w:rPr>
          <w:instrText xml:space="preserve"> PAGEREF _Toc100748333 \h </w:instrText>
        </w:r>
        <w:r w:rsidR="00406E6F">
          <w:rPr>
            <w:noProof/>
            <w:webHidden/>
          </w:rPr>
        </w:r>
        <w:r w:rsidR="00406E6F">
          <w:rPr>
            <w:noProof/>
            <w:webHidden/>
          </w:rPr>
          <w:fldChar w:fldCharType="separate"/>
        </w:r>
        <w:r w:rsidR="00AA5AAC">
          <w:rPr>
            <w:noProof/>
            <w:webHidden/>
          </w:rPr>
          <w:t>215</w:t>
        </w:r>
        <w:r w:rsidR="00406E6F">
          <w:rPr>
            <w:noProof/>
            <w:webHidden/>
          </w:rPr>
          <w:fldChar w:fldCharType="end"/>
        </w:r>
      </w:hyperlink>
    </w:p>
    <w:p w14:paraId="5C07206C" w14:textId="34C138CF" w:rsidR="00406E6F" w:rsidRDefault="002C1A5C">
      <w:pPr>
        <w:pStyle w:val="TableofFigures"/>
        <w:tabs>
          <w:tab w:val="right" w:leader="dot" w:pos="9350"/>
        </w:tabs>
        <w:rPr>
          <w:rFonts w:asciiTheme="minorHAnsi" w:eastAsiaTheme="minorEastAsia" w:hAnsiTheme="minorHAnsi"/>
          <w:noProof/>
          <w:sz w:val="22"/>
        </w:rPr>
      </w:pPr>
      <w:hyperlink r:id="rId62" w:anchor="_Toc100748334" w:history="1">
        <w:r w:rsidR="00406E6F" w:rsidRPr="00C021B0">
          <w:rPr>
            <w:rStyle w:val="Hyperlink"/>
            <w:noProof/>
          </w:rPr>
          <w:t>Figure 4.9. Representation of the rationale design for three M</w:t>
        </w:r>
        <w:r w:rsidR="00406E6F" w:rsidRPr="00C021B0">
          <w:rPr>
            <w:rStyle w:val="Hyperlink"/>
            <w:noProof/>
            <w:vertAlign w:val="superscript"/>
          </w:rPr>
          <w:t>pro</w:t>
        </w:r>
        <w:r w:rsidR="00406E6F" w:rsidRPr="00C021B0">
          <w:rPr>
            <w:rStyle w:val="Hyperlink"/>
            <w:noProof/>
          </w:rPr>
          <w:t xml:space="preserve"> inhibitor scaffolds: (A) urea, (B) piperazine, and (C) peptidomimetic.</w:t>
        </w:r>
        <w:r w:rsidR="00406E6F">
          <w:rPr>
            <w:noProof/>
            <w:webHidden/>
          </w:rPr>
          <w:tab/>
        </w:r>
        <w:r w:rsidR="00406E6F">
          <w:rPr>
            <w:noProof/>
            <w:webHidden/>
          </w:rPr>
          <w:fldChar w:fldCharType="begin"/>
        </w:r>
        <w:r w:rsidR="00406E6F">
          <w:rPr>
            <w:noProof/>
            <w:webHidden/>
          </w:rPr>
          <w:instrText xml:space="preserve"> PAGEREF _Toc100748334 \h </w:instrText>
        </w:r>
        <w:r w:rsidR="00406E6F">
          <w:rPr>
            <w:noProof/>
            <w:webHidden/>
          </w:rPr>
        </w:r>
        <w:r w:rsidR="00406E6F">
          <w:rPr>
            <w:noProof/>
            <w:webHidden/>
          </w:rPr>
          <w:fldChar w:fldCharType="separate"/>
        </w:r>
        <w:r w:rsidR="00AA5AAC">
          <w:rPr>
            <w:noProof/>
            <w:webHidden/>
          </w:rPr>
          <w:t>217</w:t>
        </w:r>
        <w:r w:rsidR="00406E6F">
          <w:rPr>
            <w:noProof/>
            <w:webHidden/>
          </w:rPr>
          <w:fldChar w:fldCharType="end"/>
        </w:r>
      </w:hyperlink>
    </w:p>
    <w:p w14:paraId="1873A39B" w14:textId="54ACE8C1" w:rsidR="00406E6F" w:rsidRDefault="002C1A5C">
      <w:pPr>
        <w:pStyle w:val="TableofFigures"/>
        <w:tabs>
          <w:tab w:val="right" w:leader="dot" w:pos="9350"/>
        </w:tabs>
        <w:rPr>
          <w:rFonts w:asciiTheme="minorHAnsi" w:eastAsiaTheme="minorEastAsia" w:hAnsiTheme="minorHAnsi"/>
          <w:noProof/>
          <w:sz w:val="22"/>
        </w:rPr>
      </w:pPr>
      <w:hyperlink r:id="rId63" w:anchor="_Toc100748335" w:history="1">
        <w:r w:rsidR="00406E6F" w:rsidRPr="00C021B0">
          <w:rPr>
            <w:rStyle w:val="Hyperlink"/>
            <w:noProof/>
          </w:rPr>
          <w:t>Figure 4.10. Structures of peptidomimetic compounds.</w:t>
        </w:r>
        <w:r w:rsidR="00406E6F">
          <w:rPr>
            <w:noProof/>
            <w:webHidden/>
          </w:rPr>
          <w:tab/>
        </w:r>
        <w:r w:rsidR="00406E6F">
          <w:rPr>
            <w:noProof/>
            <w:webHidden/>
          </w:rPr>
          <w:fldChar w:fldCharType="begin"/>
        </w:r>
        <w:r w:rsidR="00406E6F">
          <w:rPr>
            <w:noProof/>
            <w:webHidden/>
          </w:rPr>
          <w:instrText xml:space="preserve"> PAGEREF _Toc100748335 \h </w:instrText>
        </w:r>
        <w:r w:rsidR="00406E6F">
          <w:rPr>
            <w:noProof/>
            <w:webHidden/>
          </w:rPr>
        </w:r>
        <w:r w:rsidR="00406E6F">
          <w:rPr>
            <w:noProof/>
            <w:webHidden/>
          </w:rPr>
          <w:fldChar w:fldCharType="separate"/>
        </w:r>
        <w:r w:rsidR="00AA5AAC">
          <w:rPr>
            <w:noProof/>
            <w:webHidden/>
          </w:rPr>
          <w:t>221</w:t>
        </w:r>
        <w:r w:rsidR="00406E6F">
          <w:rPr>
            <w:noProof/>
            <w:webHidden/>
          </w:rPr>
          <w:fldChar w:fldCharType="end"/>
        </w:r>
      </w:hyperlink>
    </w:p>
    <w:p w14:paraId="27583904" w14:textId="6B3DF1ED" w:rsidR="00406E6F" w:rsidRDefault="002C1A5C">
      <w:pPr>
        <w:pStyle w:val="TableofFigures"/>
        <w:tabs>
          <w:tab w:val="right" w:leader="dot" w:pos="9350"/>
        </w:tabs>
        <w:rPr>
          <w:rFonts w:asciiTheme="minorHAnsi" w:eastAsiaTheme="minorEastAsia" w:hAnsiTheme="minorHAnsi"/>
          <w:noProof/>
          <w:sz w:val="22"/>
        </w:rPr>
      </w:pPr>
      <w:hyperlink r:id="rId64" w:anchor="_Toc100748336" w:history="1">
        <w:r w:rsidR="00406E6F" w:rsidRPr="00C021B0">
          <w:rPr>
            <w:rStyle w:val="Hyperlink"/>
            <w:noProof/>
          </w:rPr>
          <w:t>Figure 4.11. Illustration of the principle behind FRET-based protease assay kit.</w:t>
        </w:r>
        <w:r w:rsidR="00406E6F">
          <w:rPr>
            <w:noProof/>
            <w:webHidden/>
          </w:rPr>
          <w:tab/>
        </w:r>
        <w:r w:rsidR="00406E6F">
          <w:rPr>
            <w:noProof/>
            <w:webHidden/>
          </w:rPr>
          <w:fldChar w:fldCharType="begin"/>
        </w:r>
        <w:r w:rsidR="00406E6F">
          <w:rPr>
            <w:noProof/>
            <w:webHidden/>
          </w:rPr>
          <w:instrText xml:space="preserve"> PAGEREF _Toc100748336 \h </w:instrText>
        </w:r>
        <w:r w:rsidR="00406E6F">
          <w:rPr>
            <w:noProof/>
            <w:webHidden/>
          </w:rPr>
        </w:r>
        <w:r w:rsidR="00406E6F">
          <w:rPr>
            <w:noProof/>
            <w:webHidden/>
          </w:rPr>
          <w:fldChar w:fldCharType="separate"/>
        </w:r>
        <w:r w:rsidR="00AA5AAC">
          <w:rPr>
            <w:noProof/>
            <w:webHidden/>
          </w:rPr>
          <w:t>222</w:t>
        </w:r>
        <w:r w:rsidR="00406E6F">
          <w:rPr>
            <w:noProof/>
            <w:webHidden/>
          </w:rPr>
          <w:fldChar w:fldCharType="end"/>
        </w:r>
      </w:hyperlink>
    </w:p>
    <w:p w14:paraId="7E9021C5" w14:textId="6AA66253" w:rsidR="00406E6F" w:rsidRDefault="002C1A5C">
      <w:pPr>
        <w:pStyle w:val="TableofFigures"/>
        <w:tabs>
          <w:tab w:val="right" w:leader="dot" w:pos="9350"/>
        </w:tabs>
        <w:rPr>
          <w:rFonts w:asciiTheme="minorHAnsi" w:eastAsiaTheme="minorEastAsia" w:hAnsiTheme="minorHAnsi"/>
          <w:noProof/>
          <w:sz w:val="22"/>
        </w:rPr>
      </w:pPr>
      <w:hyperlink r:id="rId65" w:anchor="_Toc100748337" w:history="1">
        <w:r w:rsidR="00406E6F" w:rsidRPr="00C021B0">
          <w:rPr>
            <w:rStyle w:val="Hyperlink"/>
            <w:noProof/>
          </w:rPr>
          <w:t>Figure 4.12. Boxplot of percent inhibition values for each compound.</w:t>
        </w:r>
        <w:r w:rsidR="00406E6F">
          <w:rPr>
            <w:noProof/>
            <w:webHidden/>
          </w:rPr>
          <w:tab/>
        </w:r>
        <w:r w:rsidR="00406E6F">
          <w:rPr>
            <w:noProof/>
            <w:webHidden/>
          </w:rPr>
          <w:fldChar w:fldCharType="begin"/>
        </w:r>
        <w:r w:rsidR="00406E6F">
          <w:rPr>
            <w:noProof/>
            <w:webHidden/>
          </w:rPr>
          <w:instrText xml:space="preserve"> PAGEREF _Toc100748337 \h </w:instrText>
        </w:r>
        <w:r w:rsidR="00406E6F">
          <w:rPr>
            <w:noProof/>
            <w:webHidden/>
          </w:rPr>
        </w:r>
        <w:r w:rsidR="00406E6F">
          <w:rPr>
            <w:noProof/>
            <w:webHidden/>
          </w:rPr>
          <w:fldChar w:fldCharType="separate"/>
        </w:r>
        <w:r w:rsidR="00AA5AAC">
          <w:rPr>
            <w:noProof/>
            <w:webHidden/>
          </w:rPr>
          <w:t>224</w:t>
        </w:r>
        <w:r w:rsidR="00406E6F">
          <w:rPr>
            <w:noProof/>
            <w:webHidden/>
          </w:rPr>
          <w:fldChar w:fldCharType="end"/>
        </w:r>
      </w:hyperlink>
    </w:p>
    <w:p w14:paraId="7A6C822B" w14:textId="67BC1BD8" w:rsidR="00406E6F" w:rsidRDefault="002C1A5C">
      <w:pPr>
        <w:pStyle w:val="TableofFigures"/>
        <w:tabs>
          <w:tab w:val="right" w:leader="dot" w:pos="9350"/>
        </w:tabs>
        <w:rPr>
          <w:rFonts w:asciiTheme="minorHAnsi" w:eastAsiaTheme="minorEastAsia" w:hAnsiTheme="minorHAnsi"/>
          <w:noProof/>
          <w:sz w:val="22"/>
        </w:rPr>
      </w:pPr>
      <w:hyperlink r:id="rId66" w:anchor="_Toc100748338" w:history="1">
        <w:r w:rsidR="00406E6F" w:rsidRPr="00C021B0">
          <w:rPr>
            <w:rStyle w:val="Hyperlink"/>
            <w:noProof/>
          </w:rPr>
          <w:t>Figure 4.13. Structural evolution from ML188 to JG58.</w:t>
        </w:r>
        <w:r w:rsidR="00406E6F">
          <w:rPr>
            <w:noProof/>
            <w:webHidden/>
          </w:rPr>
          <w:tab/>
        </w:r>
        <w:r w:rsidR="00406E6F">
          <w:rPr>
            <w:noProof/>
            <w:webHidden/>
          </w:rPr>
          <w:fldChar w:fldCharType="begin"/>
        </w:r>
        <w:r w:rsidR="00406E6F">
          <w:rPr>
            <w:noProof/>
            <w:webHidden/>
          </w:rPr>
          <w:instrText xml:space="preserve"> PAGEREF _Toc100748338 \h </w:instrText>
        </w:r>
        <w:r w:rsidR="00406E6F">
          <w:rPr>
            <w:noProof/>
            <w:webHidden/>
          </w:rPr>
        </w:r>
        <w:r w:rsidR="00406E6F">
          <w:rPr>
            <w:noProof/>
            <w:webHidden/>
          </w:rPr>
          <w:fldChar w:fldCharType="separate"/>
        </w:r>
        <w:r w:rsidR="00AA5AAC">
          <w:rPr>
            <w:noProof/>
            <w:webHidden/>
          </w:rPr>
          <w:t>225</w:t>
        </w:r>
        <w:r w:rsidR="00406E6F">
          <w:rPr>
            <w:noProof/>
            <w:webHidden/>
          </w:rPr>
          <w:fldChar w:fldCharType="end"/>
        </w:r>
      </w:hyperlink>
    </w:p>
    <w:p w14:paraId="2FCA9259" w14:textId="2D2A9D2F" w:rsidR="00406E6F" w:rsidRDefault="002C1A5C">
      <w:pPr>
        <w:pStyle w:val="TableofFigures"/>
        <w:tabs>
          <w:tab w:val="right" w:leader="dot" w:pos="9350"/>
        </w:tabs>
        <w:rPr>
          <w:rFonts w:asciiTheme="minorHAnsi" w:eastAsiaTheme="minorEastAsia" w:hAnsiTheme="minorHAnsi"/>
          <w:noProof/>
          <w:sz w:val="22"/>
        </w:rPr>
      </w:pPr>
      <w:hyperlink r:id="rId67" w:anchor="_Toc100748339" w:history="1">
        <w:r w:rsidR="00406E6F" w:rsidRPr="00C021B0">
          <w:rPr>
            <w:rStyle w:val="Hyperlink"/>
            <w:noProof/>
          </w:rPr>
          <w:t>Figure 4.14. Structure of Pfizer’s orally active M</w:t>
        </w:r>
        <w:r w:rsidR="00406E6F" w:rsidRPr="00C021B0">
          <w:rPr>
            <w:rStyle w:val="Hyperlink"/>
            <w:noProof/>
            <w:vertAlign w:val="superscript"/>
          </w:rPr>
          <w:t>pro</w:t>
        </w:r>
        <w:r w:rsidR="00406E6F" w:rsidRPr="00C021B0">
          <w:rPr>
            <w:rStyle w:val="Hyperlink"/>
            <w:noProof/>
          </w:rPr>
          <w:t xml:space="preserve"> inhibitors.</w:t>
        </w:r>
        <w:r w:rsidR="00406E6F">
          <w:rPr>
            <w:noProof/>
            <w:webHidden/>
          </w:rPr>
          <w:tab/>
        </w:r>
        <w:r w:rsidR="00406E6F">
          <w:rPr>
            <w:noProof/>
            <w:webHidden/>
          </w:rPr>
          <w:fldChar w:fldCharType="begin"/>
        </w:r>
        <w:r w:rsidR="00406E6F">
          <w:rPr>
            <w:noProof/>
            <w:webHidden/>
          </w:rPr>
          <w:instrText xml:space="preserve"> PAGEREF _Toc100748339 \h </w:instrText>
        </w:r>
        <w:r w:rsidR="00406E6F">
          <w:rPr>
            <w:noProof/>
            <w:webHidden/>
          </w:rPr>
        </w:r>
        <w:r w:rsidR="00406E6F">
          <w:rPr>
            <w:noProof/>
            <w:webHidden/>
          </w:rPr>
          <w:fldChar w:fldCharType="separate"/>
        </w:r>
        <w:r w:rsidR="00AA5AAC">
          <w:rPr>
            <w:noProof/>
            <w:webHidden/>
          </w:rPr>
          <w:t>226</w:t>
        </w:r>
        <w:r w:rsidR="00406E6F">
          <w:rPr>
            <w:noProof/>
            <w:webHidden/>
          </w:rPr>
          <w:fldChar w:fldCharType="end"/>
        </w:r>
      </w:hyperlink>
    </w:p>
    <w:p w14:paraId="73A46454" w14:textId="095D3B60" w:rsidR="00053C56" w:rsidRDefault="00852D0E">
      <w:pPr>
        <w:spacing w:line="259" w:lineRule="auto"/>
        <w:jc w:val="left"/>
        <w:sectPr w:rsidR="00053C56" w:rsidSect="001D2DFD">
          <w:type w:val="continuous"/>
          <w:pgSz w:w="12240" w:h="15840"/>
          <w:pgMar w:top="1440" w:right="1440" w:bottom="1440" w:left="1440" w:header="720" w:footer="720" w:gutter="0"/>
          <w:pgNumType w:fmt="lowerRoman" w:start="4"/>
          <w:cols w:space="720"/>
          <w:docGrid w:linePitch="360"/>
        </w:sectPr>
      </w:pPr>
      <w:r>
        <w:fldChar w:fldCharType="end"/>
      </w:r>
    </w:p>
    <w:p w14:paraId="3B6CF74C" w14:textId="5E845F8D" w:rsidR="00C232F3" w:rsidRDefault="00C232F3">
      <w:pPr>
        <w:spacing w:line="259" w:lineRule="auto"/>
        <w:jc w:val="left"/>
        <w:rPr>
          <w:rFonts w:eastAsia="Times New Roman" w:cs="Times New Roman"/>
          <w:b/>
          <w:sz w:val="28"/>
          <w:szCs w:val="28"/>
        </w:rPr>
      </w:pPr>
      <w:r>
        <w:rPr>
          <w:rFonts w:eastAsia="Times New Roman" w:cs="Times New Roman"/>
          <w:b/>
          <w:sz w:val="28"/>
          <w:szCs w:val="28"/>
        </w:rPr>
        <w:br w:type="page"/>
      </w:r>
    </w:p>
    <w:p w14:paraId="429E358D" w14:textId="6A0E234C" w:rsidR="000F7094" w:rsidRPr="003E5113" w:rsidRDefault="000F7094" w:rsidP="000F7094">
      <w:pPr>
        <w:pStyle w:val="ChapterTitles"/>
      </w:pPr>
      <w:bookmarkStart w:id="2" w:name="_Toc102586234"/>
      <w:r w:rsidRPr="003E5113">
        <w:lastRenderedPageBreak/>
        <w:t>Chapter 1: Introduction</w:t>
      </w:r>
      <w:bookmarkEnd w:id="0"/>
      <w:bookmarkEnd w:id="2"/>
    </w:p>
    <w:p w14:paraId="4A794940" w14:textId="4E4A3AC9" w:rsidR="000F7094" w:rsidRDefault="000F7094" w:rsidP="000F7094">
      <w:pPr>
        <w:ind w:firstLine="720"/>
        <w:rPr>
          <w:rFonts w:cs="Times New Roman"/>
          <w:szCs w:val="24"/>
        </w:rPr>
      </w:pPr>
      <w:r w:rsidRPr="003E5113">
        <w:rPr>
          <w:rFonts w:cs="Times New Roman"/>
          <w:szCs w:val="24"/>
        </w:rPr>
        <w:t xml:space="preserve">The overall aim of my work is to contribute to molecular design strategies for early lead development while probing structure-activity relationships via the design and synthesis of </w:t>
      </w:r>
      <w:r>
        <w:rPr>
          <w:rFonts w:cs="Times New Roman"/>
          <w:szCs w:val="24"/>
        </w:rPr>
        <w:t xml:space="preserve">small molecules. This dissertation will tell three distinct stories: (1) exploitation of CpxRA as a target for virulence modulation in Gram-negative bacteria, (2) the total synthesis of Picrasidine natural product family members, and (3) the rational design and synthesis of SARS-CoV-2 </w:t>
      </w:r>
      <w:proofErr w:type="spellStart"/>
      <w:r>
        <w:rPr>
          <w:rFonts w:cs="Times New Roman"/>
          <w:szCs w:val="24"/>
        </w:rPr>
        <w:t>M</w:t>
      </w:r>
      <w:r w:rsidRPr="00DC3375">
        <w:rPr>
          <w:rFonts w:cs="Times New Roman"/>
          <w:szCs w:val="24"/>
          <w:vertAlign w:val="superscript"/>
        </w:rPr>
        <w:t>pro</w:t>
      </w:r>
      <w:proofErr w:type="spellEnd"/>
      <w:r>
        <w:rPr>
          <w:rFonts w:cs="Times New Roman"/>
          <w:szCs w:val="24"/>
        </w:rPr>
        <w:t xml:space="preserve"> inhibitors. </w:t>
      </w:r>
    </w:p>
    <w:p w14:paraId="10BE186C" w14:textId="77777777" w:rsidR="003A5ACD" w:rsidRDefault="003A5ACD" w:rsidP="000F7094">
      <w:pPr>
        <w:ind w:firstLine="720"/>
        <w:rPr>
          <w:rFonts w:cs="Times New Roman"/>
          <w:szCs w:val="24"/>
        </w:rPr>
      </w:pPr>
    </w:p>
    <w:p w14:paraId="29FBECBA" w14:textId="4C267283" w:rsidR="000F7094" w:rsidRDefault="000F7094" w:rsidP="000F7094">
      <w:pPr>
        <w:pStyle w:val="Section"/>
        <w:numPr>
          <w:ilvl w:val="1"/>
          <w:numId w:val="1"/>
        </w:numPr>
      </w:pPr>
      <w:bookmarkStart w:id="3" w:name="_Toc100241871"/>
      <w:bookmarkStart w:id="4" w:name="_Toc102586235"/>
      <w:r>
        <w:t>Two-component signal transduction systems and virulence modulation in Gram-negative bacteria</w:t>
      </w:r>
      <w:bookmarkEnd w:id="3"/>
      <w:r w:rsidR="00FD20B7">
        <w:t>.</w:t>
      </w:r>
      <w:bookmarkEnd w:id="4"/>
    </w:p>
    <w:p w14:paraId="40B55231" w14:textId="11363DD8" w:rsidR="000F7094" w:rsidRDefault="000F7094" w:rsidP="000F7094">
      <w:pPr>
        <w:pStyle w:val="Subsection"/>
      </w:pPr>
      <w:bookmarkStart w:id="5" w:name="_Toc100241872"/>
      <w:bookmarkStart w:id="6" w:name="_Toc102586236"/>
      <w:r>
        <w:t>1.1.1 An overview of resistance and Gram-negative bacteria</w:t>
      </w:r>
      <w:bookmarkEnd w:id="5"/>
      <w:r w:rsidR="001E7DE2">
        <w:t>.</w:t>
      </w:r>
      <w:bookmarkEnd w:id="6"/>
      <w:r>
        <w:t xml:space="preserve"> </w:t>
      </w:r>
    </w:p>
    <w:p w14:paraId="730E731B" w14:textId="3BED69FF" w:rsidR="00FD20B7" w:rsidRPr="00FD20B7" w:rsidRDefault="000F7094" w:rsidP="00FD20B7">
      <w:pPr>
        <w:ind w:firstLine="720"/>
        <w:rPr>
          <w:noProof/>
        </w:rPr>
      </w:pPr>
      <w:r w:rsidRPr="00511681">
        <w:rPr>
          <w:rFonts w:cstheme="minorHAnsi"/>
        </w:rPr>
        <w:t xml:space="preserve">The need to develop novel therapeutics to treat drug-resistant infections is a global public health concern, especially </w:t>
      </w:r>
      <w:r>
        <w:rPr>
          <w:rFonts w:cstheme="minorHAnsi"/>
        </w:rPr>
        <w:t xml:space="preserve">for </w:t>
      </w:r>
      <w:r w:rsidRPr="00511681">
        <w:rPr>
          <w:rFonts w:cstheme="minorHAnsi"/>
        </w:rPr>
        <w:t>infections caused by</w:t>
      </w:r>
      <w:r>
        <w:rPr>
          <w:rFonts w:cstheme="minorHAnsi"/>
        </w:rPr>
        <w:t xml:space="preserve"> multi-drug</w:t>
      </w:r>
      <w:r w:rsidRPr="00511681">
        <w:rPr>
          <w:rFonts w:cstheme="minorHAnsi"/>
        </w:rPr>
        <w:t xml:space="preserve"> resistant</w:t>
      </w:r>
      <w:r>
        <w:rPr>
          <w:rFonts w:cstheme="minorHAnsi"/>
        </w:rPr>
        <w:t xml:space="preserve"> (MDR)</w:t>
      </w:r>
      <w:r w:rsidRPr="00511681">
        <w:rPr>
          <w:rFonts w:cstheme="minorHAnsi"/>
        </w:rPr>
        <w:t xml:space="preserve"> Gram-negative pathogens. </w:t>
      </w:r>
      <w:r>
        <w:rPr>
          <w:rFonts w:cstheme="minorHAnsi"/>
        </w:rPr>
        <w:t xml:space="preserve">MDR pathogens such as the </w:t>
      </w:r>
      <w:r w:rsidRPr="00511681">
        <w:rPr>
          <w:rFonts w:cstheme="minorHAnsi"/>
        </w:rPr>
        <w:t>Enterobacteriaceae family</w:t>
      </w:r>
      <w:r>
        <w:rPr>
          <w:rFonts w:cstheme="minorHAnsi"/>
        </w:rPr>
        <w:t xml:space="preserve"> (</w:t>
      </w:r>
      <w:r w:rsidRPr="00511681">
        <w:rPr>
          <w:rFonts w:cstheme="minorHAnsi"/>
          <w:i/>
          <w:color w:val="222222"/>
          <w:shd w:val="clear" w:color="auto" w:fill="FFFFFF"/>
        </w:rPr>
        <w:t>Escherichia</w:t>
      </w:r>
      <w:r w:rsidRPr="00511681">
        <w:rPr>
          <w:rFonts w:cstheme="minorHAnsi"/>
          <w:i/>
        </w:rPr>
        <w:t xml:space="preserve"> coli</w:t>
      </w:r>
      <w:r w:rsidRPr="00511681">
        <w:rPr>
          <w:rFonts w:cstheme="minorHAnsi"/>
        </w:rPr>
        <w:t>,</w:t>
      </w:r>
      <w:r w:rsidRPr="00511681">
        <w:rPr>
          <w:rFonts w:cstheme="minorHAnsi"/>
          <w:i/>
        </w:rPr>
        <w:t xml:space="preserve"> Kle</w:t>
      </w:r>
      <w:r>
        <w:rPr>
          <w:rFonts w:cstheme="minorHAnsi"/>
          <w:i/>
        </w:rPr>
        <w:t>b</w:t>
      </w:r>
      <w:r w:rsidRPr="00511681">
        <w:rPr>
          <w:rFonts w:cstheme="minorHAnsi"/>
          <w:i/>
        </w:rPr>
        <w:t>siella pneumoniae</w:t>
      </w:r>
      <w:r w:rsidRPr="00511681">
        <w:rPr>
          <w:rFonts w:cstheme="minorHAnsi"/>
        </w:rPr>
        <w:t xml:space="preserve">, </w:t>
      </w:r>
      <w:r w:rsidRPr="00511681">
        <w:rPr>
          <w:rFonts w:cstheme="minorHAnsi"/>
          <w:i/>
        </w:rPr>
        <w:t>Enterobacter</w:t>
      </w:r>
      <w:r w:rsidRPr="00511681">
        <w:rPr>
          <w:rFonts w:cstheme="minorHAnsi"/>
        </w:rPr>
        <w:t xml:space="preserve"> spp.</w:t>
      </w:r>
      <w:r>
        <w:rPr>
          <w:rFonts w:cstheme="minorHAnsi"/>
        </w:rPr>
        <w:t xml:space="preserve">) are commonly associated with </w:t>
      </w:r>
      <w:r>
        <w:t>nosocomial infections, which contribute to the deaths of 99,000 patients per year.</w:t>
      </w:r>
      <w:r>
        <w:fldChar w:fldCharType="begin"/>
      </w:r>
      <w:r>
        <w:instrText xml:space="preserve"> ADDIN ZOTERO_ITEM CSL_CITATION {"citationID":"dJVS6eUo","properties":{"formattedCitation":"\\super 1\\nosupersub{}","plainCitation":"1","noteIndex":0},"citationItems":[{"id":200,"uris":["http://zotero.org/users/6503767/items/V82A77N5"],"itemData":{"id":200,"type":"article-journal","abstract":"The ESKAPE pathogens (Enterococcus faecium, Staphylococcus aureus, Klebsiella pneumoniae, Acinetobacter baumannii, Pseudomonas aeruginosa, and Enterobacter species) are the leading cause of nosocomial infections throughout the world. Most of them are multidrug resistant isolates, which is one of the greatest challenges in clinical practice. Multidrug resistance is amongst the top three threats to global public health and is usually caused by excessive drug usage or prescription, inappropriate use of antimicrobials, and substandard pharmaceuticals. Understanding the resistance mechanisms of these bacteria is crucial for the development of novel antimicrobial agents or other alternative tools to combat these public health challenges. Greater mechanistic understanding would also aid in the prediction of underlying or even unknown mechanisms of resistance, which could be applied to other emerging multidrug resistant pathogens. In this review, we summarize the known antimicrobial resistance mechanisms of ESKAPE pathogens.","container-title":"BioMed Research International","DOI":"10.1155/2016/2475067","ISSN":"2314-6141","journalAbbreviation":"Biomed Res Int","language":"eng","note":"PMID: 27274985\nPMCID: PMC4871955","page":"2475067","source":"PubMed","title":"Mechanisms of Antimicrobial Resistance in ESKAPE Pathogens","volume":"2016","author":[{"family":"Santajit","given":"Sirijan"},{"family":"Indrawattana","given":"Nitaya"}],"issued":{"date-parts":[["2016"]]}}}],"schema":"https://github.com/citation-style-language/schema/raw/master/csl-citation.json"} </w:instrText>
      </w:r>
      <w:r>
        <w:fldChar w:fldCharType="separate"/>
      </w:r>
      <w:r w:rsidRPr="002D114B">
        <w:rPr>
          <w:rFonts w:cs="Times New Roman"/>
          <w:szCs w:val="24"/>
          <w:vertAlign w:val="superscript"/>
        </w:rPr>
        <w:t>1</w:t>
      </w:r>
      <w:r>
        <w:fldChar w:fldCharType="end"/>
      </w:r>
      <w:r>
        <w:t xml:space="preserve"> Gram-negative bacterial envelopes feature a uniquely protective outer membrane (OM), distinguishing them from Gram-positive bacteria.</w:t>
      </w:r>
      <w:r>
        <w:fldChar w:fldCharType="begin"/>
      </w:r>
      <w:r>
        <w:instrText xml:space="preserve"> ADDIN ZOTERO_ITEM CSL_CITATION {"citationID":"v1Tjiont","properties":{"formattedCitation":"\\super 2\\nosupersub{}","plainCitation":"2","noteIndex":0},"citationItems":[{"id":213,"uris":["http://zotero.org/users/6503767/items/UZC5DV29"],"itemData":{"id":213,"type":"chapter","abstract":"Gram-negative bacteria (GNB) are among the most significant public health problems in the world due to the high resistance to antibiotics. These microorganisms have great clinical importance in hospitals because they put patients in the intensive care unit (ICU) at high risk and lead to high morbidity and mortality.[1][2] Two large groups, Enterobacteriaceae and the non-fermenters, are responsible for most clinical isolates; nevertheless, other clinically concerning gram-negative organisms exist, including Neisseria, Haemophilus spp., Helicobacter pylori, and Chlamydia trachomatis.  \nAntibiotic Resistance\n These organisms have a range of mechanisms to prevent the action of many antimicrobials used in clinical medicine. Some of the mechanisms of resistance include efflux pumps,[3] alteration of the drug binding site and membrane permeability,[4] degradation enzymes, and the conformational change of the drug culminating in its inactivation.[5] GNB has two membranes, an external and an internal. The external membrane expresses a potent immune response inducer, lipopolysaccharide (LPS), which is composed of three units: a hydrophilic polysaccharide, O antigen, and a hydrophobic domain is known as lipid A. Lipid A are responsible for the higher endotoxic activity of these bacteria.[6][7] However, the LPS is heterogeneous in the various bacterial groups, and some bacteria manifest this antigen weakly due to genetic changes and are not recognized by Toll-like receptors. In contrast, there are BGN groups that can trigger such a response in large proportions. Thus, LPS can trigger the innate immune response through Toll-like receptors 4 (TLR4), which occurs in many immune cells such as monocytes, macrophages, dendritic cells, and neutrophils. The resulting activation of the innate immune response mediated by LPS together with TLR4 receptors culminates in an exacerbated response with the production of cytokines, chemokines, and interferons and its suppression. The response of the immune system depends on both the severity of the infectious process and the structure of the LPS in the aggressive bacteria, which imbricates to the virulence of the BGN and, as a consequence, while some bacteria like Escherichia coli potential induce the immune system, other bacteria like Helicobacter pylori are weakly antigenic.[8] \nEnterobacteriaceae \n Enterobacteriaceae are a heterogeneous group widely dispersed in nature. They account for about 80% of gram-negative isolates with a myriad of disease-causing general/species in humans, including urinary tract infections, pneumonia, diarrhea, meningitis, sepsis, endotoxic shock, and many others. The general/species that frequently affect humans are Escherichia, Proteus, Enterobacter, Klebsiella, Citrobacter, Yersinia, Shigella, and Salmonella, among others. The laboratory characterization is an essential component when it comes to microorganisms; therefore, it is imperative to expose characteristics of Enterobacteriaceae, which are bacilli, non-sporulated, have variable motility, grow in the presence and absence of oxygen, ferment organisms of glucose, are cytochrome oxidase negative, and have the ability to reduce nitrate to nitrite.[9] \nAntimicrobial Resistance\n These organisms diffuse their plasmids by conjugation, which gives rise to resistance to almost all existing antibiotics. The family of enzymes carbapenemase – KPC, NDM-1, IMP, VIM, OXA-48 – is undoubtedly one of the most significant health challenges of the century, given the potential for dissemination between species and mortality rates due to infections caused by bacteria with such plasmids.[10] Colistin, one of the few antibiotics that still treat multiresistant infections, already has a mobile resistance gene, mcr-1, and Enterobacteriaceae has a crucial role in the spread of this gene, with worldwide reports.[11] Moreover, a further concern is that they usually associate these genes with other resistance genes (CTX-M, NDM, IMP), producing resistance to cephalosporins and carbapenems, enhancing the deleterious effects caused by these microorganisms.[6] \nNon-Fermenters\n The non-fermenter, gram-negative bacilli (BNF) have a lower frequency of isolation when compared to Enterobacteriaceae; however, they are a relevant group since they cause severe, fatal infections, especially in the hospital environment. They also cause opportunistic diseases in ICU patients who undergo invasive procedures. The main BNF microorganisms that cause disease in humans are Pseudomonas aeruginosa, Acinetobacter baumannii, Burkholderia cepacia, Stenotrophomonas., Alcaligenes, Moraxella. These stand out for being aerobic, non-sporulated; they are incapable of fermenting sugars, using them through the oxidative route.[12] The critical issue regarding BNF, when it comes to the antimicrobial sensitivity profile, is undoubtedly their intrinsic resistance since they produce a variety of genes with multiple mechanisms capable of mitigating the microbicidal action. Thus, it stands out in P. aeruginosa, cephalosporinase of type AmpC, and efflux systems that confer resistance to b-lactams. The most frequent are MexAB-OprM[13]; and loss of OprD (which gives impermeability to the bacterial cell due to the loss of porin)[14]. Acinetobacter baumannii naturally produces AmpC cephalosporinase and oxacillinase (OXA), leaving it spontaneously immune to many drugs. The genetic ingenuity of this microorganism goes further, and it combines high impermeability with genetic plasticity, combining with the resistance of mechanisms such as extended-spectrum b-lactamases (ESBL).[15] The Stenotrophomonas exhibit a pattern of intrinsic multi-resistance, especially in patients who have had contact with carbapenems. Thus, Stenotrophomonas present several efflux pumps and produce two carbapenemases – L1 (resistance to all carbapenems) and L2  (cephalosporinase),[16] in synthesis. These mechanisms, associated or separate, restrict the treatment options to an alarming level. Although it is sensitive to sulfamethoxazole-trimethoprim and has an increased resistance mediated by plasmids.[17]","call-number":"NBK538213","container-title":"StatPearls","event-place":"Treasure Island (FL)","language":"eng","note":"PMID: 30855801","publisher":"StatPearls Publishing","publisher-place":"Treasure Island (FL)","source":"PubMed","title":"Gram Negative Bacteria","URL":"http://www.ncbi.nlm.nih.gov/books/NBK538213/","author":[{"family":"Oliveira","given":"Junio"},{"family":"Reygaert","given":"Wanda C."}],"accessed":{"date-parts":[["2021",10,27]]},"issued":{"date-parts":[["2021"]]}}}],"schema":"https://github.com/citation-style-language/schema/raw/master/csl-citation.json"} </w:instrText>
      </w:r>
      <w:r>
        <w:fldChar w:fldCharType="separate"/>
      </w:r>
      <w:r w:rsidRPr="0097441A">
        <w:rPr>
          <w:rFonts w:cs="Times New Roman"/>
          <w:szCs w:val="24"/>
          <w:vertAlign w:val="superscript"/>
        </w:rPr>
        <w:t>2</w:t>
      </w:r>
      <w:r>
        <w:fldChar w:fldCharType="end"/>
      </w:r>
      <w:r>
        <w:t xml:space="preserve"> The OM is </w:t>
      </w:r>
      <w:r w:rsidR="00FD20B7">
        <w:t xml:space="preserve">one of </w:t>
      </w:r>
      <w:r>
        <w:t>the main reason</w:t>
      </w:r>
      <w:r w:rsidR="00FD20B7">
        <w:t>s</w:t>
      </w:r>
      <w:r>
        <w:t xml:space="preserve"> for resistance to a wide range of antibiotics,</w:t>
      </w:r>
      <w:r>
        <w:fldChar w:fldCharType="begin"/>
      </w:r>
      <w:r>
        <w:instrText xml:space="preserve"> ADDIN ZOTERO_ITEM CSL_CITATION {"citationID":"mBJ2v8QT","properties":{"formattedCitation":"\\super 3\\nosupersub{}","plainCitation":"3","noteIndex":0},"citationItems":[{"id":210,"uris":["http://zotero.org/users/6503767/items/64M4HCZ7"],"itemData":{"id":210,"type":"article-journal","abstract":"Antimicrobial resistance represents an enormous global health crisis and one of the most serious threats humans face today. Some bacterial strains have acquired resistance to nearly all antibiotics. Therefore, new antibacterial agents are crucially needed to overcome resistant bacteria. In 2017, the World Health Organization (WHO) has published a list of antibiotic-resistant priority pathogens, pathogens which present a great threat to humans and to which new antibiotics are urgently needed the list is categorized according to the urgency of need for new antibiotics as critical, high, and medium priority, in order to guide and promote research and development of new antibiotics. The majority of the WHO list is Gram-negative bacterial pathogens. Due to their distinctive structure, Gram-negative bacteria are more resistant than Gram-positive bacteria, and cause significant morbidity and mortality worldwide. Several strategies have been reported to fight and control resistant Gram-negative bacteria, like the development of antimicrobial auxiliary agents, structural modification of existing antibiotics, and research into and the study of chemical structures with new mechanisms of action and novel targets that resistant bacteria are sensitive to. Research efforts have been made to meet the urgent need for new treatments; some have succeeded to yield activity against resistant Gram-negative bacteria by deactivating the mechanism of resistance, like the action of the β-lactamase Inhibitor antibiotic adjuvants. Another promising trend was by referring to nature to develop naturally derived agents with antibacterial activity on novel targets, agents such as bacteriophages, DCAP(2-((3-(3,6-dichloro-9H-carbazol-9-yl)-2-hydroxypropyl)amino)-2(hydroxymethyl)propane1,3-diol, Odilorhabdins (ODLs), peptidic benzimidazoles, quorum sensing (QS) inhibitors, and metal-based antibacterial agents.","container-title":"Molecules","DOI":"10.3390/molecules25061340","ISSN":"1420-3049","issue":"6","journalAbbreviation":"Molecules","note":"PMID: 32187986\nPMCID: PMC7144564","page":"1340","source":"PubMed Central","title":"Resistance of Gram-Negative Bacteria to Current Antibacterial Agents and Approaches to Resolve It","volume":"25","author":[{"family":"Breijyeh","given":"Zeinab"},{"family":"Jubeh","given":"Buthaina"},{"family":"Karaman","given":"Rafik"}],"issued":{"date-parts":[["2020",3,16]]}}}],"schema":"https://github.com/citation-style-language/schema/raw/master/csl-citation.json"} </w:instrText>
      </w:r>
      <w:r>
        <w:fldChar w:fldCharType="separate"/>
      </w:r>
      <w:r w:rsidRPr="0097441A">
        <w:rPr>
          <w:rFonts w:cs="Times New Roman"/>
          <w:szCs w:val="24"/>
          <w:vertAlign w:val="superscript"/>
        </w:rPr>
        <w:t>3</w:t>
      </w:r>
      <w:r>
        <w:fldChar w:fldCharType="end"/>
      </w:r>
      <w:r>
        <w:t xml:space="preserve"> because </w:t>
      </w:r>
      <w:r w:rsidR="00FD20B7">
        <w:t>the OM is an extra barrier that</w:t>
      </w:r>
      <w:r>
        <w:t xml:space="preserve"> antibiotics must </w:t>
      </w:r>
      <w:r w:rsidR="00FD20B7">
        <w:t>traverse</w:t>
      </w:r>
      <w:r>
        <w:t xml:space="preserve"> to access their targets</w:t>
      </w:r>
      <w:r w:rsidR="00FD20B7">
        <w:t xml:space="preserve">. </w:t>
      </w:r>
      <w:r w:rsidR="00FD20B7">
        <w:rPr>
          <w:color w:val="000000"/>
          <w:shd w:val="clear" w:color="auto" w:fill="FFFFFF"/>
        </w:rPr>
        <w:t>Gram-positive bacteria lack this important layer, which contributes to the importance of developing new therapeutics for MDR pathogens.</w:t>
      </w:r>
      <w:r>
        <w:t xml:space="preserve"> </w:t>
      </w:r>
      <w:r w:rsidR="00FD20B7">
        <w:rPr>
          <w:noProof/>
        </w:rPr>
        <w:t>G</w:t>
      </w:r>
      <w:r>
        <w:rPr>
          <w:rFonts w:cstheme="minorHAnsi"/>
        </w:rPr>
        <w:t>ram-negative pathogens exhibit resistance due to a range of mechanisms that prevent antimicrobial action. Common mechanisms of drug resistance leveraged by bacteria include expulsion of drugs by efflux pumps,</w:t>
      </w:r>
      <w:r>
        <w:rPr>
          <w:rFonts w:cstheme="minorHAnsi"/>
        </w:rPr>
        <w:fldChar w:fldCharType="begin"/>
      </w:r>
      <w:r>
        <w:rPr>
          <w:rFonts w:cstheme="minorHAnsi"/>
        </w:rPr>
        <w:instrText xml:space="preserve"> ADDIN ZOTERO_ITEM CSL_CITATION {"citationID":"1waUDLF7","properties":{"formattedCitation":"\\super 4\\nosupersub{}","plainCitation":"4","noteIndex":0},"citationItems":[{"id":216,"uris":["http://zotero.org/users/6503767/items/9UDRJZH6"],"itemData":{"id":216,"type":"article-journal","abstract":"The global emergence of multidrug-resistant Gram-negative bacteria is a growing threat to antibiotic therapy. The chromosomally encoded drug efflux mechanisms that are ubiquitous in these bacteria greatly contribute to antibiotic resistance and present a major challenge for antibiotic development. Multidrug pumps, particularly those represented by the clinically relevant AcrAB-TolC and Mex pumps of the resistance-nodulation-division (RND) superfamily, not only mediate intrinsic and acquired multidrug resistance (MDR) but also are involved in other functions, including the bacterial stress response and pathogenicity. Additionally, efflux pumps interact synergistically with other resistance mechanisms (e.g., with the outer membrane permeability barrier) to increase resistance levels. Since the discovery of RND pumps in the early 1990s, remarkable scientific and technological advances have allowed for an in-depth understanding of the structural and biochemical basis, substrate profiles, molecular regulation, and inhibition of MDR pumps. However, the development of clinically useful efflux pump inhibitors and/or new antibiotics that can bypass pump effects continues to be a challenge. Plasmid-borne efflux pump genes (including those for RND pumps) have increasingly been identified. This article highlights the recent progress obtained for organisms of clinical significance, together with methodological considerations for the characterization of MDR pumps.","container-title":"Clinical Microbiology Reviews","DOI":"10.1128/CMR.00117-14","ISSN":"0893-8512","issue":"2","journalAbbreviation":"Clin Microbiol Rev","note":"PMID: 25788514\nPMCID: PMC4402952","page":"337-418","source":"PubMed Central","title":"The Challenge of Efflux-Mediated Antibiotic Resistance in Gram-Negative Bacteria","volume":"28","author":[{"family":"Li","given":"Xian-Zhi"},{"family":"Plésiat","given":"Patrick"},{"family":"Nikaido","given":"Hiroshi"}],"issued":{"date-parts":[["2015",4]]}}}],"schema":"https://github.com/citation-style-language/schema/raw/master/csl-citation.json"} </w:instrText>
      </w:r>
      <w:r>
        <w:rPr>
          <w:rFonts w:cstheme="minorHAnsi"/>
        </w:rPr>
        <w:fldChar w:fldCharType="separate"/>
      </w:r>
      <w:r w:rsidRPr="00381474">
        <w:rPr>
          <w:rFonts w:cs="Times New Roman"/>
          <w:szCs w:val="24"/>
          <w:vertAlign w:val="superscript"/>
        </w:rPr>
        <w:t>4</w:t>
      </w:r>
      <w:r>
        <w:rPr>
          <w:rFonts w:cstheme="minorHAnsi"/>
        </w:rPr>
        <w:fldChar w:fldCharType="end"/>
      </w:r>
      <w:r>
        <w:rPr>
          <w:rFonts w:cstheme="minorHAnsi"/>
        </w:rPr>
        <w:t xml:space="preserve"> degradation of drugs by enzymes that irreversibly modify </w:t>
      </w:r>
      <w:r>
        <w:rPr>
          <w:rFonts w:cstheme="minorHAnsi"/>
        </w:rPr>
        <w:lastRenderedPageBreak/>
        <w:t>and inactivate antibiotics,</w:t>
      </w:r>
      <w:r>
        <w:rPr>
          <w:rFonts w:cstheme="minorHAnsi"/>
        </w:rPr>
        <w:fldChar w:fldCharType="begin"/>
      </w:r>
      <w:r>
        <w:rPr>
          <w:rFonts w:cstheme="minorHAnsi"/>
        </w:rPr>
        <w:instrText xml:space="preserve"> ADDIN ZOTERO_ITEM CSL_CITATION {"citationID":"RzJv2RWH","properties":{"formattedCitation":"\\super 5\\nosupersub{}","plainCitation":"5","noteIndex":0},"citationItems":[{"id":219,"uris":["http://zotero.org/users/6503767/items/5D6FFN4X"],"itemData":{"id":219,"type":"article-journal","abstract":"The burden of multidrug resistance in Gram-negative bacilli (GNB) now represents a daily issue for the management of antimicrobial therapy in intensive care unit (ICU) patients. In Enterobacteriaceae, the dramatic increase in the rates of resistance to third-generation cephalosporins mainly results from the spread of plasmid-borne extended-spectrum beta-lactamase (ESBL), especially those belonging to the CTX-M family. The efficacy of beta-lactam/beta-lactamase inhibitor associations for severe infections due to ESBL-producing Enterobacteriaceae has not been adequately evaluated in critically ill patients, and carbapenems still stands as the first-line choice in this situation. However, carbapenemase-producing strains have emerged worldwide over the past decade. VIM- and NDM-type metallo-beta-lactamases, OXA-48 and KPC appear as the most successful enzymes and may threaten the efficacy of carbapenems in the near future. ESBL- and carbapenemase-encoding plasmids frequently bear resistance determinants for other antimicrobial classes, including aminoglycosides (aminoglycoside-modifying enzymes or 16S rRNA methylases) and fluoroquinolones (Qnr, AAC(6′)-Ib-cr or efflux pumps), a key feature that fosters the spread of multidrug resistance in Enterobacteriaceae. In non-fermenting GNB such as Pseudomonas aeruginosa, Acinetobacter baumannii and Stenotrophomonas maltophilia, multidrug resistance may emerge following the sole occurrence of sequential chromosomal mutations, which may lead to the overproduction of intrinsic beta-lactamases, hyper-expression of efflux pumps, target modifications and permeability alterations. P. aeruginosa and A. baumannii also have the ability to acquire mobile genetic elements encoding resistance determinants, including carbapenemases. Available options for the treatment of ICU-acquired infections due to carbapenem-resistant GNB are currently scarce, and recent reports emphasizing the spread of colistin resistance in environments with high volume of polymyxins use elicit major concern.","container-title":"Annals of Intensive Care","DOI":"10.1186/s13613-015-0061-0","ISSN":"2110-5820","journalAbbreviation":"Ann Intensive Care","note":"PMID: 26261001\nPMCID: PMC4531117","page":"21","source":"PubMed Central","title":"Mechanisms of antimicrobial resistance in Gram-negative bacilli","volume":"5","author":[{"family":"Ruppé","given":"Étienne"},{"family":"Woerther","given":"Paul-Louis"},{"family":"Barbier","given":"François"}],"issued":{"date-parts":[["2015",8,12]]}}}],"schema":"https://github.com/citation-style-language/schema/raw/master/csl-citation.json"} </w:instrText>
      </w:r>
      <w:r>
        <w:rPr>
          <w:rFonts w:cstheme="minorHAnsi"/>
        </w:rPr>
        <w:fldChar w:fldCharType="separate"/>
      </w:r>
      <w:r w:rsidRPr="00381474">
        <w:rPr>
          <w:rFonts w:cs="Times New Roman"/>
          <w:szCs w:val="24"/>
          <w:vertAlign w:val="superscript"/>
        </w:rPr>
        <w:t>5</w:t>
      </w:r>
      <w:r>
        <w:rPr>
          <w:rFonts w:cstheme="minorHAnsi"/>
        </w:rPr>
        <w:fldChar w:fldCharType="end"/>
      </w:r>
      <w:r>
        <w:rPr>
          <w:rFonts w:cstheme="minorHAnsi"/>
        </w:rPr>
        <w:t xml:space="preserve"> alteration of the target binding site, and decreased membrane permeability (</w:t>
      </w:r>
      <w:r w:rsidR="0055722E" w:rsidRPr="0055722E">
        <w:rPr>
          <w:rFonts w:cstheme="minorHAnsi"/>
          <w:b/>
          <w:bCs/>
        </w:rPr>
        <w:fldChar w:fldCharType="begin"/>
      </w:r>
      <w:r w:rsidR="0055722E" w:rsidRPr="0055722E">
        <w:rPr>
          <w:rFonts w:cstheme="minorHAnsi"/>
          <w:b/>
          <w:bCs/>
        </w:rPr>
        <w:instrText xml:space="preserve"> REF _Ref100742277 \h </w:instrText>
      </w:r>
      <w:r w:rsidR="0055722E">
        <w:rPr>
          <w:rFonts w:cstheme="minorHAnsi"/>
          <w:b/>
          <w:bCs/>
        </w:rPr>
        <w:instrText xml:space="preserve"> \* MERGEFORMAT </w:instrText>
      </w:r>
      <w:r w:rsidR="0055722E" w:rsidRPr="0055722E">
        <w:rPr>
          <w:rFonts w:cstheme="minorHAnsi"/>
          <w:b/>
          <w:bCs/>
        </w:rPr>
      </w:r>
      <w:r w:rsidR="0055722E" w:rsidRPr="0055722E">
        <w:rPr>
          <w:rFonts w:cstheme="minorHAnsi"/>
          <w:b/>
          <w:bCs/>
        </w:rPr>
        <w:fldChar w:fldCharType="separate"/>
      </w:r>
      <w:r w:rsidR="00AA5AAC" w:rsidRPr="00AA5AAC">
        <w:rPr>
          <w:b/>
          <w:bCs/>
        </w:rPr>
        <w:t>Figure 1.1</w:t>
      </w:r>
      <w:r w:rsidR="0055722E" w:rsidRPr="0055722E">
        <w:rPr>
          <w:rFonts w:cstheme="minorHAnsi"/>
          <w:b/>
          <w:bCs/>
        </w:rPr>
        <w:fldChar w:fldCharType="end"/>
      </w:r>
      <w:r>
        <w:rPr>
          <w:rFonts w:cstheme="minorHAnsi"/>
        </w:rPr>
        <w:t>).</w:t>
      </w:r>
      <w:r>
        <w:rPr>
          <w:rFonts w:cstheme="minorHAnsi"/>
        </w:rPr>
        <w:fldChar w:fldCharType="begin"/>
      </w:r>
      <w:r>
        <w:rPr>
          <w:rFonts w:cstheme="minorHAnsi"/>
        </w:rPr>
        <w:instrText xml:space="preserve"> ADDIN ZOTERO_ITEM CSL_CITATION {"citationID":"ygbqTuRT","properties":{"formattedCitation":"\\super 6\\nosupersub{}","plainCitation":"6","noteIndex":0},"citationItems":[{"id":222,"uris":["http://zotero.org/users/6503767/items/TSATTADI"],"itemData":{"id":222,"type":"article-journal","abstract":"The fight against infectious diseases is probably one of the greatest public health challenges faced by our society, especially with the emergence of carbapenem-resistant gram-negatives that are in some cases pan-drug resistant. Currently, β-lactamase-mediated resistance does not spare even the newest and most powerful β-lactams (carbapenems), whose activity is challenged by carbapenemases. The worldwide dissemination of carbapenemases in gram-negative organisms threatens to take medicine back into the pre-antibiotic era since the mortality associated with infections caused by these “superbugs” is very high, due to limited treatment options. Clinically-relevant carbapenemases belong either to metallo-β-lactamases (MBLs) of Ambler class B or to serine-β-lactamases (SBLs) of Ambler class A and D enzymes. Class A carbapenemases may be chromosomally-encoded (SME, NmcA, SFC-1, BIC-1, PenA, FPH-1, SHV-38), plasmid-encoded (KPC, GES, FRI-1) or both (IMI). The plasmid-encoded enzymes are often associated with mobile elements responsible for their mobilization. These enzymes, even though weakly related in terms of sequence identities, share structural features and a common mechanism of action. They variably hydrolyse penicillins, cephalosporins, monobactams, carbapenems, and are inhibited by clavulanate and tazobactam. Three-dimensional structures of class A carbapenemases, in the apo form or in complex with substrates/inhibitors, together with site-directed mutagenesis studies, provide essential input for identifying the structural factors and subtle conformational changes that influence the hydrolytic profile and inhibition of these enzymes. Overall, these data represent the building blocks for understanding the structure-function relationships that define the phenotypes of class A carbapenemases and can guide the design of new molecules of therapeutic interest.","container-title":"Current Drug Targets","DOI":"10.2174/1389450117666160310144501","ISSN":"1389-4501","issue":"9","journalAbbreviation":"Curr Drug Targets","note":"PMID: 26960341\nPMCID: PMC5405625","page":"1006-1028","source":"PubMed Central","title":"Structural and Functional Aspects of Class A Carbapenemases","volume":"17","author":[{"family":"Naas","given":"Thierry"},{"family":"Dortet","given":"Laurent"},{"family":"Iorga","given":"Bogdan I."}],"issued":{"date-parts":[["2016",7]]}}}],"schema":"https://github.com/citation-style-language/schema/raw/master/csl-citation.json"} </w:instrText>
      </w:r>
      <w:r>
        <w:rPr>
          <w:rFonts w:cstheme="minorHAnsi"/>
        </w:rPr>
        <w:fldChar w:fldCharType="separate"/>
      </w:r>
      <w:r w:rsidRPr="00381474">
        <w:rPr>
          <w:rFonts w:cs="Times New Roman"/>
          <w:szCs w:val="24"/>
          <w:vertAlign w:val="superscript"/>
        </w:rPr>
        <w:t>6</w:t>
      </w:r>
      <w:r>
        <w:rPr>
          <w:rFonts w:cstheme="minorHAnsi"/>
        </w:rPr>
        <w:fldChar w:fldCharType="end"/>
      </w:r>
      <w:r>
        <w:rPr>
          <w:rFonts w:cstheme="minorHAnsi"/>
        </w:rPr>
        <w:t xml:space="preserve"> </w:t>
      </w:r>
    </w:p>
    <w:p w14:paraId="0EE14156" w14:textId="14A402DC" w:rsidR="00FD20B7" w:rsidRDefault="00FD20B7" w:rsidP="000F7094">
      <w:pPr>
        <w:ind w:firstLine="720"/>
        <w:rPr>
          <w:rFonts w:cstheme="minorHAnsi"/>
        </w:rPr>
      </w:pPr>
      <w:r>
        <w:rPr>
          <w:noProof/>
        </w:rPr>
        <mc:AlternateContent>
          <mc:Choice Requires="wps">
            <w:drawing>
              <wp:inline distT="0" distB="0" distL="0" distR="0" wp14:anchorId="766D0BE0" wp14:editId="1297F9F5">
                <wp:extent cx="4490085" cy="3291840"/>
                <wp:effectExtent l="0" t="0" r="24765" b="22860"/>
                <wp:docPr id="25" name="Text Box 2" descr="General antibiotic resistance mechanisms in Gram-negative bacteria.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085" cy="3291840"/>
                        </a:xfrm>
                        <a:prstGeom prst="rect">
                          <a:avLst/>
                        </a:prstGeom>
                        <a:solidFill>
                          <a:srgbClr val="FFFFFF"/>
                        </a:solidFill>
                        <a:ln w="9525">
                          <a:solidFill>
                            <a:srgbClr val="000000"/>
                          </a:solidFill>
                          <a:miter lim="800000"/>
                          <a:headEnd/>
                          <a:tailEnd/>
                        </a:ln>
                      </wps:spPr>
                      <wps:txbx>
                        <w:txbxContent>
                          <w:p w14:paraId="60821B21" w14:textId="77777777" w:rsidR="00FD20B7" w:rsidRDefault="00FD20B7" w:rsidP="00FD20B7">
                            <w:pPr>
                              <w:keepNext/>
                              <w:spacing w:after="0"/>
                              <w:jc w:val="center"/>
                            </w:pPr>
                            <w:r>
                              <w:rPr>
                                <w:noProof/>
                              </w:rPr>
                              <w:drawing>
                                <wp:inline distT="0" distB="0" distL="0" distR="0" wp14:anchorId="13170C6D" wp14:editId="65BC9A6E">
                                  <wp:extent cx="3609976" cy="2655736"/>
                                  <wp:effectExtent l="0" t="0" r="0" b="0"/>
                                  <wp:docPr id="42" name="Picture 42" descr="General antibiotic resistance mechanisms in Gram-negative bacte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eneral antibiotic resistance mechanisms in Gram-negative bacteria. "/>
                                          <pic:cNvPicPr/>
                                        </pic:nvPicPr>
                                        <pic:blipFill>
                                          <a:blip r:embed="rId68">
                                            <a:extLst>
                                              <a:ext uri="{28A0092B-C50C-407E-A947-70E740481C1C}">
                                                <a14:useLocalDpi xmlns:a14="http://schemas.microsoft.com/office/drawing/2010/main" val="0"/>
                                              </a:ext>
                                            </a:extLst>
                                          </a:blip>
                                          <a:stretch>
                                            <a:fillRect/>
                                          </a:stretch>
                                        </pic:blipFill>
                                        <pic:spPr>
                                          <a:xfrm>
                                            <a:off x="0" y="0"/>
                                            <a:ext cx="3633082" cy="2672734"/>
                                          </a:xfrm>
                                          <a:prstGeom prst="rect">
                                            <a:avLst/>
                                          </a:prstGeom>
                                        </pic:spPr>
                                      </pic:pic>
                                    </a:graphicData>
                                  </a:graphic>
                                </wp:inline>
                              </w:drawing>
                            </w:r>
                          </w:p>
                          <w:p w14:paraId="7A57BDBE" w14:textId="58207015" w:rsidR="00FD20B7" w:rsidRPr="0055722E" w:rsidRDefault="00FD20B7" w:rsidP="00DF51F5">
                            <w:pPr>
                              <w:pStyle w:val="Caption"/>
                            </w:pPr>
                            <w:bookmarkStart w:id="7" w:name="_Ref100742277"/>
                            <w:bookmarkStart w:id="8" w:name="_Toc100243229"/>
                            <w:bookmarkStart w:id="9" w:name="_Toc100748282"/>
                            <w:r w:rsidRPr="0055722E">
                              <w:t>Figure 1.</w:t>
                            </w:r>
                            <w:fldSimple w:instr=" SEQ Figure \* ARABIC ">
                              <w:r w:rsidR="00AA5AAC">
                                <w:rPr>
                                  <w:noProof/>
                                </w:rPr>
                                <w:t>1</w:t>
                              </w:r>
                            </w:fldSimple>
                            <w:bookmarkEnd w:id="7"/>
                            <w:r w:rsidRPr="0055722E">
                              <w:t>. General antibiotic resistance mechanisms in Gram-negative bacteria.</w:t>
                            </w:r>
                            <w:bookmarkEnd w:id="8"/>
                            <w:bookmarkEnd w:id="9"/>
                            <w:r w:rsidRPr="0055722E">
                              <w:t xml:space="preserve"> </w:t>
                            </w:r>
                          </w:p>
                        </w:txbxContent>
                      </wps:txbx>
                      <wps:bodyPr rot="0" vert="horz" wrap="square" lIns="91440" tIns="45720" rIns="91440" bIns="45720" anchor="t" anchorCtr="0">
                        <a:noAutofit/>
                      </wps:bodyPr>
                    </wps:wsp>
                  </a:graphicData>
                </a:graphic>
              </wp:inline>
            </w:drawing>
          </mc:Choice>
          <mc:Fallback>
            <w:pict>
              <v:shapetype w14:anchorId="766D0BE0" id="_x0000_t202" coordsize="21600,21600" o:spt="202" path="m,l,21600r21600,l21600,xe">
                <v:stroke joinstyle="miter"/>
                <v:path gradientshapeok="t" o:connecttype="rect"/>
              </v:shapetype>
              <v:shape id="Text Box 2" o:spid="_x0000_s1026" type="#_x0000_t202" alt="General antibiotic resistance mechanisms in Gram-negative bacteria. " style="width:353.55pt;height:25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">
                <v:textbox>
                  <w:txbxContent>
                    <w:p w14:paraId="60821B21" w14:textId="77777777" w:rsidR="00FD20B7" w:rsidRDefault="00FD20B7" w:rsidP="00FD20B7">
                      <w:pPr>
                        <w:keepNext/>
                        <w:spacing w:after="0"/>
                        <w:jc w:val="center"/>
                      </w:pPr>
                      <w:r>
                        <w:rPr>
                          <w:noProof/>
                        </w:rPr>
                        <w:drawing>
                          <wp:inline distT="0" distB="0" distL="0" distR="0" wp14:anchorId="13170C6D" wp14:editId="65BC9A6E">
                            <wp:extent cx="3609976" cy="2655736"/>
                            <wp:effectExtent l="0" t="0" r="0" b="0"/>
                            <wp:docPr id="42" name="Picture 42" descr="General antibiotic resistance mechanisms in Gram-negative bacte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General antibiotic resistance mechanisms in Gram-negative bacteria. "/>
                                    <pic:cNvPicPr/>
                                  </pic:nvPicPr>
                                  <pic:blipFill>
                                    <a:blip r:embed="rId68">
                                      <a:extLst>
                                        <a:ext uri="{28A0092B-C50C-407E-A947-70E740481C1C}">
                                          <a14:useLocalDpi xmlns:a14="http://schemas.microsoft.com/office/drawing/2010/main" val="0"/>
                                        </a:ext>
                                      </a:extLst>
                                    </a:blip>
                                    <a:stretch>
                                      <a:fillRect/>
                                    </a:stretch>
                                  </pic:blipFill>
                                  <pic:spPr>
                                    <a:xfrm>
                                      <a:off x="0" y="0"/>
                                      <a:ext cx="3633082" cy="2672734"/>
                                    </a:xfrm>
                                    <a:prstGeom prst="rect">
                                      <a:avLst/>
                                    </a:prstGeom>
                                  </pic:spPr>
                                </pic:pic>
                              </a:graphicData>
                            </a:graphic>
                          </wp:inline>
                        </w:drawing>
                      </w:r>
                    </w:p>
                    <w:p w14:paraId="7A57BDBE" w14:textId="58207015" w:rsidR="00FD20B7" w:rsidRPr="0055722E" w:rsidRDefault="00FD20B7" w:rsidP="00DF51F5">
                      <w:pPr>
                        <w:pStyle w:val="Caption"/>
                      </w:pPr>
                      <w:bookmarkStart w:id="10" w:name="_Ref100742277"/>
                      <w:bookmarkStart w:id="11" w:name="_Toc100243229"/>
                      <w:bookmarkStart w:id="12" w:name="_Toc100748282"/>
                      <w:r w:rsidRPr="0055722E">
                        <w:t>Figure 1.</w:t>
                      </w:r>
                      <w:fldSimple w:instr=" SEQ Figure \* ARABIC ">
                        <w:r w:rsidR="00AA5AAC">
                          <w:rPr>
                            <w:noProof/>
                          </w:rPr>
                          <w:t>1</w:t>
                        </w:r>
                      </w:fldSimple>
                      <w:bookmarkEnd w:id="10"/>
                      <w:r w:rsidRPr="0055722E">
                        <w:t>. General antibiotic resistance mechanisms in Gram-negative bacteria.</w:t>
                      </w:r>
                      <w:bookmarkEnd w:id="11"/>
                      <w:bookmarkEnd w:id="12"/>
                      <w:r w:rsidRPr="0055722E">
                        <w:t xml:space="preserve"> </w:t>
                      </w:r>
                    </w:p>
                  </w:txbxContent>
                </v:textbox>
                <w10:anchorlock/>
              </v:shape>
            </w:pict>
          </mc:Fallback>
        </mc:AlternateContent>
      </w:r>
    </w:p>
    <w:p w14:paraId="00E24F5B" w14:textId="1F22A359" w:rsidR="000F7094" w:rsidRDefault="000F7094" w:rsidP="000F7094">
      <w:pPr>
        <w:ind w:firstLine="720"/>
        <w:rPr>
          <w:rFonts w:cstheme="minorHAnsi"/>
        </w:rPr>
      </w:pPr>
      <w:r>
        <w:rPr>
          <w:rFonts w:cstheme="minorHAnsi"/>
        </w:rPr>
        <w:t xml:space="preserve">For example, </w:t>
      </w:r>
      <w:r w:rsidRPr="00EB2952">
        <w:rPr>
          <w:rFonts w:cstheme="minorHAnsi"/>
          <w:i/>
        </w:rPr>
        <w:t>K. pneumoniae</w:t>
      </w:r>
      <w:r>
        <w:rPr>
          <w:rFonts w:cstheme="minorHAnsi"/>
        </w:rPr>
        <w:t xml:space="preserve"> is becoming an increasing threat as some strains carry the </w:t>
      </w:r>
      <w:proofErr w:type="spellStart"/>
      <w:r>
        <w:rPr>
          <w:rFonts w:cstheme="minorHAnsi"/>
        </w:rPr>
        <w:t>carbapenemase</w:t>
      </w:r>
      <w:proofErr w:type="spellEnd"/>
      <w:r>
        <w:rPr>
          <w:rFonts w:cstheme="minorHAnsi"/>
        </w:rPr>
        <w:t xml:space="preserve"> gene permitting resistance to colistin, a last-line antibiotic.</w:t>
      </w:r>
      <w:r>
        <w:rPr>
          <w:rFonts w:cstheme="minorHAnsi"/>
        </w:rPr>
        <w:fldChar w:fldCharType="begin"/>
      </w:r>
      <w:r>
        <w:rPr>
          <w:rFonts w:cstheme="minorHAnsi"/>
        </w:rPr>
        <w:instrText xml:space="preserve"> ADDIN ZOTERO_ITEM CSL_CITATION {"citationID":"L15LHica","properties":{"formattedCitation":"\\super 7\\nosupersub{}","plainCitation":"7","noteIndex":0},"citationItems":[{"id":205,"uris":["http://zotero.org/users/6503767/items/FCXVBEY9"],"itemData":{"id":205,"type":"article-journal","abstract":"Klebsiella pneumoniae is an important cause of multidrug-resistant infections worldwide. Recent studies highlight the emergence of multidrug-resistant K. pneumoniae strains which show resistance to colistin, a last-line antibiotic, arising from mutational inactivation of the mgrB regulatory gene. However, the precise molecular resistance mechanisms of mgrB-associated colistin resistance and its impact on virulence remain unclear. Here, we constructed an mgrB gene K. pneumoniae mutant and performed characterisation of its lipid A structure, polymyxin and antimicrobial peptide resistance, virulence and inflammatory responses upon infection. Our data reveal that mgrB mutation induces PhoPQ-governed lipid A remodelling which confers not only resistance to polymyxins, but also enhances K. pneumoniae virulence by decreasing antimicrobial peptide susceptibility and attenuating early host defence response activation. Overall, our findings have important implications for patient management and antimicrobial stewardship, while also stressing antibiotic resistance development is not inexorably linked with subdued bacterial fitness and virulence.","container-title":"EMBO molecular medicine","DOI":"10.15252/emmm.201607336","ISSN":"1757-4684","issue":"4","journalAbbreviation":"EMBO Mol Med","language":"eng","note":"PMID: 28202493\nPMCID: PMC5376759","page":"430-447","source":"PubMed","title":"A Klebsiella pneumoniae antibiotic resistance mechanism that subdues host defences and promotes virulence","volume":"9","author":[{"family":"Kidd","given":"Timothy J."},{"family":"Mills","given":"Grant"},{"family":"Sá-Pessoa","given":"Joana"},{"family":"Dumigan","given":"Amy"},{"family":"Frank","given":"Christian G."},{"family":"Insua","given":"José L."},{"family":"Ingram","given":"Rebecca"},{"family":"Hobley","given":"Laura"},{"family":"Bengoechea","given":"José A."}],"issued":{"date-parts":[["2017",4]]}}}],"schema":"https://github.com/citation-style-language/schema/raw/master/csl-citation.json"} </w:instrText>
      </w:r>
      <w:r>
        <w:rPr>
          <w:rFonts w:cstheme="minorHAnsi"/>
        </w:rPr>
        <w:fldChar w:fldCharType="separate"/>
      </w:r>
      <w:r w:rsidRPr="003029D7">
        <w:rPr>
          <w:rFonts w:cs="Times New Roman"/>
          <w:szCs w:val="24"/>
          <w:vertAlign w:val="superscript"/>
        </w:rPr>
        <w:t>7</w:t>
      </w:r>
      <w:r>
        <w:rPr>
          <w:rFonts w:cstheme="minorHAnsi"/>
        </w:rPr>
        <w:fldChar w:fldCharType="end"/>
      </w:r>
      <w:r>
        <w:rPr>
          <w:rFonts w:cstheme="minorHAnsi"/>
        </w:rPr>
        <w:t xml:space="preserve"> Many extraintestinal pathogenic </w:t>
      </w:r>
      <w:r w:rsidRPr="006F41B7">
        <w:rPr>
          <w:rFonts w:cstheme="minorHAnsi"/>
          <w:i/>
        </w:rPr>
        <w:t>E. coli</w:t>
      </w:r>
      <w:r>
        <w:rPr>
          <w:rFonts w:cstheme="minorHAnsi"/>
        </w:rPr>
        <w:t xml:space="preserve"> strains cause high incidence of morbidity and mortality as a result of extended spectrum beta-lactamases.</w:t>
      </w:r>
      <w:r>
        <w:rPr>
          <w:rFonts w:cstheme="minorHAnsi"/>
        </w:rPr>
        <w:fldChar w:fldCharType="begin"/>
      </w:r>
      <w:r>
        <w:rPr>
          <w:rFonts w:cstheme="minorHAnsi"/>
        </w:rPr>
        <w:instrText xml:space="preserve"> ADDIN ZOTERO_ITEM CSL_CITATION {"citationID":"bqtmCQF6","properties":{"formattedCitation":"\\super 8\\nosupersub{}","plainCitation":"8","noteIndex":0},"citationItems":[{"id":203,"uris":["http://zotero.org/users/6503767/items/8JJH73YD"],"itemData":{"id":203,"type":"article-journal","abstract":"Escherichia coli is probably the best-known bacterial species and one of the most frequently isolated organisms from clinical specimens. Despite this, underappreciation and misunderstandings exist among medical professionals and the lay public alike regarding E. coli as an extraintestinal pathogen. Underappreciated features include (i) the wide variety of extraintestinal infections E. coli can cause, (ii) the high incidence and associated morbidity, mortality, and costs of these diverse clinical syndromes, (iii) the pathogenic potential of different groups of E. coli strains for causing intestinal versus extraintestinal disease, and (iv) increasing antimicrobial resistance. In this era in which health news often sensationalizes uncommon infection syndromes or pathogens, the strains of E. coli that cause extraintestinal infection are an increasingly important endemic problem and underappreciated \"killers\". Billions of health care dollars, millions of work days, and hundreds of thousands of lives are lost each year to extraintestinal infections due to E. coli. New treatments and prevention measures will be needed for improved outcomes and a diminished disease burden.","container-title":"Microbes and Infection","DOI":"10.1016/s1286-4579(03)00049-2","ISSN":"1286-4579","issue":"5","journalAbbreviation":"Microbes Infect","language":"eng","note":"PMID: 12738001","page":"449-456","source":"PubMed","title":"Medical and economic impact of extraintestinal infections due to Escherichia coli: focus on an increasingly important endemic problem","title-short":"Medical and economic impact of extraintestinal infections due to Escherichia coli","volume":"5","author":[{"family":"Russo","given":"Thomas A."},{"family":"Johnson","given":"James R."}],"issued":{"date-parts":[["2003",4]]}}}],"schema":"https://github.com/citation-style-language/schema/raw/master/csl-citation.json"} </w:instrText>
      </w:r>
      <w:r>
        <w:rPr>
          <w:rFonts w:cstheme="minorHAnsi"/>
        </w:rPr>
        <w:fldChar w:fldCharType="separate"/>
      </w:r>
      <w:r w:rsidRPr="003029D7">
        <w:rPr>
          <w:rFonts w:cs="Times New Roman"/>
          <w:szCs w:val="24"/>
          <w:vertAlign w:val="superscript"/>
        </w:rPr>
        <w:t>8</w:t>
      </w:r>
      <w:r>
        <w:rPr>
          <w:rFonts w:cstheme="minorHAnsi"/>
        </w:rPr>
        <w:fldChar w:fldCharType="end"/>
      </w:r>
      <w:r>
        <w:rPr>
          <w:rFonts w:cstheme="minorHAnsi"/>
        </w:rPr>
        <w:t xml:space="preserve"> </w:t>
      </w:r>
      <w:r w:rsidRPr="004977DC">
        <w:rPr>
          <w:rFonts w:cs="Times New Roman"/>
          <w:szCs w:val="24"/>
        </w:rPr>
        <w:t>U</w:t>
      </w:r>
      <w:r>
        <w:rPr>
          <w:rFonts w:cs="Times New Roman"/>
          <w:szCs w:val="24"/>
        </w:rPr>
        <w:t>rinary tract infection (U</w:t>
      </w:r>
      <w:r w:rsidRPr="004977DC">
        <w:rPr>
          <w:rFonts w:cs="Times New Roman"/>
          <w:szCs w:val="24"/>
        </w:rPr>
        <w:t>TI</w:t>
      </w:r>
      <w:r>
        <w:rPr>
          <w:rFonts w:cs="Times New Roman"/>
          <w:szCs w:val="24"/>
        </w:rPr>
        <w:t>)</w:t>
      </w:r>
      <w:r w:rsidRPr="004977DC">
        <w:rPr>
          <w:rFonts w:cs="Times New Roman"/>
          <w:szCs w:val="24"/>
        </w:rPr>
        <w:t xml:space="preserve"> is the most common form of extraintestinal infection due to </w:t>
      </w:r>
      <w:r w:rsidRPr="00E200D5">
        <w:rPr>
          <w:rFonts w:cs="Times New Roman"/>
          <w:i/>
          <w:iCs/>
          <w:szCs w:val="24"/>
        </w:rPr>
        <w:t>E. coli</w:t>
      </w:r>
      <w:r w:rsidRPr="004977DC">
        <w:rPr>
          <w:rFonts w:cs="Times New Roman"/>
          <w:szCs w:val="24"/>
        </w:rPr>
        <w:t xml:space="preserve">, and </w:t>
      </w:r>
      <w:r w:rsidRPr="00E200D5">
        <w:rPr>
          <w:rFonts w:cs="Times New Roman"/>
          <w:i/>
          <w:iCs/>
          <w:szCs w:val="24"/>
        </w:rPr>
        <w:t>E. coli</w:t>
      </w:r>
      <w:r w:rsidRPr="004977DC">
        <w:rPr>
          <w:rFonts w:cs="Times New Roman"/>
          <w:szCs w:val="24"/>
        </w:rPr>
        <w:t xml:space="preserve"> is one of the most common causative agents of all types of UTIs</w:t>
      </w:r>
      <w:r>
        <w:rPr>
          <w:rFonts w:cs="Times New Roman"/>
          <w:szCs w:val="24"/>
        </w:rPr>
        <w:t xml:space="preserve"> with approximately 80% of uncomplicated UTIs in the United States caused by </w:t>
      </w:r>
      <w:proofErr w:type="spellStart"/>
      <w:r>
        <w:rPr>
          <w:rFonts w:cs="Times New Roman"/>
          <w:szCs w:val="24"/>
        </w:rPr>
        <w:t>uropathogenic</w:t>
      </w:r>
      <w:proofErr w:type="spellEnd"/>
      <w:r>
        <w:rPr>
          <w:rFonts w:cs="Times New Roman"/>
          <w:szCs w:val="24"/>
        </w:rPr>
        <w:t xml:space="preserve"> </w:t>
      </w:r>
      <w:r w:rsidRPr="00370CE0">
        <w:rPr>
          <w:rFonts w:cs="Times New Roman"/>
          <w:i/>
          <w:iCs/>
          <w:szCs w:val="24"/>
        </w:rPr>
        <w:t>Escherichia coli</w:t>
      </w:r>
      <w:r>
        <w:rPr>
          <w:rFonts w:cs="Times New Roman"/>
          <w:szCs w:val="24"/>
        </w:rPr>
        <w:t xml:space="preserve"> (UPEC)</w:t>
      </w:r>
      <w:r w:rsidRPr="004977DC">
        <w:rPr>
          <w:rFonts w:cs="Times New Roman"/>
          <w:szCs w:val="24"/>
        </w:rPr>
        <w:t>.</w:t>
      </w:r>
      <w:r>
        <w:rPr>
          <w:rFonts w:cs="Times New Roman"/>
          <w:szCs w:val="24"/>
        </w:rPr>
        <w:fldChar w:fldCharType="begin"/>
      </w:r>
      <w:r>
        <w:rPr>
          <w:rFonts w:cs="Times New Roman"/>
          <w:szCs w:val="24"/>
        </w:rPr>
        <w:instrText xml:space="preserve"> ADDIN ZOTERO_ITEM CSL_CITATION {"citationID":"R5RQsNoj","properties":{"formattedCitation":"\\super 9\\nosupersub{}","plainCitation":"9","noteIndex":0},"citationItems":[{"id":189,"uris":["http://zotero.org/users/6503767/items/SZMR8AIU"],"itemData":{"id":189,"type":"article-journal","abstract":"Uropathogenic strains of Escherichia coli are characterized by the expression of distinctive bacterial properties, products, or structures referred to as virulence factors because they help the organism overcome host defenses and colonize or invade the urinary tract. Virulence factors of recognized importance in the pathogenesis of urinary tract infection (UTI) include adhesins (P fimbriae, certain other mannose-resistant adhesins, and type 1 fimbriae), the aerobactin system, hemolysin, K capsule, and resistance to serum killing. This review summarizes the virtual explosion of information regarding the epidemiology, biochemistry, mechanisms of action, and genetic basis of these urovirulence factors that has occurred in the past decade and identifies areas in need of further study. Virulence factor expression is more common among certain genetically related groups of E. coli which constitute virulent clones within the larger E. coli population. In general, the more virulence factors a strain expresses, the more severe an infection it is able to cause. Certain virulence factors specifically favor the development of pyelonephritis, others favor cystitis, and others favor asymptomatic bacteriuria. The currently defined virulence factors clearly contribute to the virulence of wild-type strains but are usually insufficient in themselves to transform an avirulent organism into a pathogen, demonstrating that other as-yet-undefined virulence properties await discovery. Virulence factor testing is a useful epidemiological and research tool but as yet has no defined clinical role. Immunological and biochemical anti-virulence factor interventions are effective in animal models of UTI and hold promise for the prevention of UTI in humans.","container-title":"Clinical Microbiology Reviews","DOI":"10.1128/CMR.4.1.80","ISSN":"0893-8512","issue":"1","journalAbbreviation":"Clin Microbiol Rev","language":"eng","note":"PMID: 1672263\nPMCID: PMC358180","page":"80-128","source":"PubMed","title":"Virulence factors in Escherichia coli urinary tract infection","volume":"4","author":[{"family":"Johnson","given":"J. R."}],"issued":{"date-parts":[["1991",1]]}}}],"schema":"https://github.com/citation-style-language/schema/raw/master/csl-citation.json"} </w:instrText>
      </w:r>
      <w:r>
        <w:rPr>
          <w:rFonts w:cs="Times New Roman"/>
          <w:szCs w:val="24"/>
        </w:rPr>
        <w:fldChar w:fldCharType="separate"/>
      </w:r>
      <w:r w:rsidRPr="007724C4">
        <w:rPr>
          <w:rFonts w:cs="Times New Roman"/>
          <w:szCs w:val="24"/>
          <w:vertAlign w:val="superscript"/>
        </w:rPr>
        <w:t>9</w:t>
      </w:r>
      <w:r>
        <w:rPr>
          <w:rFonts w:cs="Times New Roman"/>
          <w:szCs w:val="24"/>
        </w:rPr>
        <w:fldChar w:fldCharType="end"/>
      </w:r>
      <w:r w:rsidRPr="004977DC">
        <w:rPr>
          <w:rFonts w:cs="Times New Roman"/>
          <w:szCs w:val="24"/>
        </w:rPr>
        <w:t xml:space="preserve"> </w:t>
      </w:r>
      <w:r>
        <w:rPr>
          <w:rFonts w:cs="Times New Roman"/>
          <w:szCs w:val="24"/>
        </w:rPr>
        <w:t xml:space="preserve">Several common strains of UPEC express extended-spectrum β-lactamase and quinolone resistance, rendering first-line defense antibiotics ineffective. </w:t>
      </w:r>
      <w:r>
        <w:rPr>
          <w:rFonts w:cstheme="minorHAnsi"/>
        </w:rPr>
        <w:t xml:space="preserve">With the growing number of MDR pathogens, common infections </w:t>
      </w:r>
      <w:r>
        <w:rPr>
          <w:rFonts w:cs="Times New Roman"/>
          <w:szCs w:val="24"/>
        </w:rPr>
        <w:t>typically considered manageable</w:t>
      </w:r>
      <w:r>
        <w:rPr>
          <w:rFonts w:cstheme="minorHAnsi"/>
        </w:rPr>
        <w:t>—such as urinary tract, surgical wound, and respiratory infections—could soon become untreatable.</w:t>
      </w:r>
      <w:r>
        <w:rPr>
          <w:rFonts w:cstheme="minorHAnsi"/>
        </w:rPr>
        <w:fldChar w:fldCharType="begin"/>
      </w:r>
      <w:r>
        <w:rPr>
          <w:rFonts w:cstheme="minorHAnsi"/>
        </w:rPr>
        <w:instrText xml:space="preserve"> ADDIN ZOTERO_ITEM CSL_CITATION {"citationID":"2K2NYs55","properties":{"formattedCitation":"\\super 10\\nosupersub{}","plainCitation":"10","noteIndex":0},"citationItems":[{"id":130,"uris":["http://zotero.org/users/6503767/items/IGDD8TSG"],"itemData":{"id":130,"type":"article-journal","container-title":"Clinical Infectious Diseases","DOI":"10.1086/595011","ISSN":"1058-4838, 1537-6591","issue":"1","journalAbbreviation":"Clin Infect Dis","language":"en","page":"1-12","source":"DOI.org (Crossref)","title":"Bad Bugs, No Drugs: No ESKAPE! An Update from the Infectious Diseases Society of America","title-short":"Bad Bugs, No Drugs","volume":"48","author":[{"family":"Boucher","given":"Helen W."},{"family":"Talbot","given":"George H."},{"family":"Bradley","given":"John S."},{"family":"Edwards","given":"John E."},{"family":"Gilbert","given":"David"},{"family":"Rice","given":"Louis B."},{"family":"Scheld","given":"Michael"},{"family":"Spellberg","given":"Brad"},{"family":"Bartlett","given":"John"}],"issued":{"date-parts":[["2009",1]]}}}],"schema":"https://github.com/citation-style-language/schema/raw/master/csl-citation.json"} </w:instrText>
      </w:r>
      <w:r>
        <w:rPr>
          <w:rFonts w:cstheme="minorHAnsi"/>
        </w:rPr>
        <w:fldChar w:fldCharType="separate"/>
      </w:r>
      <w:r w:rsidRPr="007724C4">
        <w:rPr>
          <w:rFonts w:cs="Times New Roman"/>
          <w:szCs w:val="24"/>
          <w:vertAlign w:val="superscript"/>
        </w:rPr>
        <w:t>10</w:t>
      </w:r>
      <w:r>
        <w:rPr>
          <w:rFonts w:cstheme="minorHAnsi"/>
        </w:rPr>
        <w:fldChar w:fldCharType="end"/>
      </w:r>
      <w:r>
        <w:rPr>
          <w:rFonts w:cstheme="minorHAnsi"/>
        </w:rPr>
        <w:t xml:space="preserve"> </w:t>
      </w:r>
    </w:p>
    <w:p w14:paraId="050B00FF" w14:textId="77777777" w:rsidR="000F7094" w:rsidRDefault="000F7094" w:rsidP="000F7094">
      <w:pPr>
        <w:ind w:firstLine="720"/>
        <w:rPr>
          <w:rFonts w:cstheme="minorHAnsi"/>
        </w:rPr>
      </w:pPr>
      <w:r>
        <w:rPr>
          <w:noProof/>
        </w:rPr>
        <w:lastRenderedPageBreak/>
        <mc:AlternateContent>
          <mc:Choice Requires="wps">
            <w:drawing>
              <wp:inline distT="0" distB="0" distL="0" distR="0" wp14:anchorId="4B078C37" wp14:editId="3A6FC63D">
                <wp:extent cx="5257165" cy="3148330"/>
                <wp:effectExtent l="0" t="0" r="19685" b="13970"/>
                <wp:docPr id="26" name="Text Box 2" descr="Figure 1.2. New antibiotic drug applications approved by FDA by year interval up to 2019.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165" cy="3148330"/>
                        </a:xfrm>
                        <a:prstGeom prst="rect">
                          <a:avLst/>
                        </a:prstGeom>
                        <a:solidFill>
                          <a:srgbClr val="FFFFFF"/>
                        </a:solidFill>
                        <a:ln w="9525">
                          <a:solidFill>
                            <a:srgbClr val="000000"/>
                          </a:solidFill>
                          <a:miter lim="800000"/>
                          <a:headEnd/>
                          <a:tailEnd/>
                        </a:ln>
                      </wps:spPr>
                      <wps:txbx>
                        <w:txbxContent>
                          <w:p w14:paraId="5F77D5F2" w14:textId="77777777" w:rsidR="000F7094" w:rsidRDefault="000F7094" w:rsidP="000F7094">
                            <w:pPr>
                              <w:keepNext/>
                              <w:spacing w:after="0"/>
                              <w:jc w:val="center"/>
                            </w:pPr>
                            <w:r>
                              <w:rPr>
                                <w:noProof/>
                              </w:rPr>
                              <w:drawing>
                                <wp:inline distT="0" distB="0" distL="0" distR="0" wp14:anchorId="04AF073F" wp14:editId="67015EDF">
                                  <wp:extent cx="3797742" cy="2462917"/>
                                  <wp:effectExtent l="0" t="0" r="0" b="0"/>
                                  <wp:docPr id="43" name="Chart 43" descr="New antibiotic drug applications approved by FDA by year interval up to 2019. "/>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35785B9" w14:textId="715B569E" w:rsidR="000F7094" w:rsidRPr="00085074" w:rsidRDefault="000F7094" w:rsidP="00DF51F5">
                            <w:pPr>
                              <w:pStyle w:val="Caption"/>
                            </w:pPr>
                            <w:bookmarkStart w:id="13" w:name="_Ref100742328"/>
                            <w:bookmarkStart w:id="14" w:name="_Toc100243230"/>
                            <w:bookmarkStart w:id="15" w:name="_Toc100748283"/>
                            <w:r w:rsidRPr="00085074">
                              <w:t xml:space="preserve">Figure </w:t>
                            </w:r>
                            <w:r>
                              <w:t>1.</w:t>
                            </w:r>
                            <w:fldSimple w:instr=" SEQ Figure \* ARABIC ">
                              <w:r w:rsidR="00AA5AAC">
                                <w:rPr>
                                  <w:noProof/>
                                </w:rPr>
                                <w:t>2</w:t>
                              </w:r>
                            </w:fldSimple>
                            <w:bookmarkEnd w:id="13"/>
                            <w:r w:rsidRPr="00085074">
                              <w:t>. New antibiotic drug applications approved by FDA</w:t>
                            </w:r>
                            <w:r>
                              <w:t xml:space="preserve"> by year interval</w:t>
                            </w:r>
                            <w:r w:rsidRPr="00085074">
                              <w:t xml:space="preserve"> up to 2019.</w:t>
                            </w:r>
                            <w:bookmarkEnd w:id="14"/>
                            <w:bookmarkEnd w:id="15"/>
                            <w:r w:rsidRPr="00085074">
                              <w:t xml:space="preserve"> </w:t>
                            </w:r>
                          </w:p>
                        </w:txbxContent>
                      </wps:txbx>
                      <wps:bodyPr rot="0" vert="horz" wrap="square" lIns="91440" tIns="45720" rIns="91440" bIns="45720" anchor="t" anchorCtr="0">
                        <a:noAutofit/>
                      </wps:bodyPr>
                    </wps:wsp>
                  </a:graphicData>
                </a:graphic>
              </wp:inline>
            </w:drawing>
          </mc:Choice>
          <mc:Fallback>
            <w:pict>
              <v:shape w14:anchorId="4B078C37" id="_x0000_s1027" type="#_x0000_t202" alt="Figure 1.2. New antibiotic drug applications approved by FDA by year interval up to 2019. " style="width:413.95pt;height:24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">
                <v:textbox>
                  <w:txbxContent>
                    <w:p w14:paraId="5F77D5F2" w14:textId="77777777" w:rsidR="000F7094" w:rsidRDefault="000F7094" w:rsidP="000F7094">
                      <w:pPr>
                        <w:keepNext/>
                        <w:spacing w:after="0"/>
                        <w:jc w:val="center"/>
                      </w:pPr>
                      <w:r>
                        <w:rPr>
                          <w:noProof/>
                        </w:rPr>
                        <w:drawing>
                          <wp:inline distT="0" distB="0" distL="0" distR="0" wp14:anchorId="04AF073F" wp14:editId="67015EDF">
                            <wp:extent cx="3797742" cy="2462917"/>
                            <wp:effectExtent l="0" t="0" r="0" b="0"/>
                            <wp:docPr id="43" name="Chart 43" descr="New antibiotic drug applications approved by FDA by year interval up to 2019. "/>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35785B9" w14:textId="715B569E" w:rsidR="000F7094" w:rsidRPr="00085074" w:rsidRDefault="000F7094" w:rsidP="00DF51F5">
                      <w:pPr>
                        <w:pStyle w:val="Caption"/>
                      </w:pPr>
                      <w:bookmarkStart w:id="16" w:name="_Ref100742328"/>
                      <w:bookmarkStart w:id="17" w:name="_Toc100243230"/>
                      <w:bookmarkStart w:id="18" w:name="_Toc100748283"/>
                      <w:r w:rsidRPr="00085074">
                        <w:t xml:space="preserve">Figure </w:t>
                      </w:r>
                      <w:r>
                        <w:t>1.</w:t>
                      </w:r>
                      <w:fldSimple w:instr=" SEQ Figure \* ARABIC ">
                        <w:r w:rsidR="00AA5AAC">
                          <w:rPr>
                            <w:noProof/>
                          </w:rPr>
                          <w:t>2</w:t>
                        </w:r>
                      </w:fldSimple>
                      <w:bookmarkEnd w:id="16"/>
                      <w:r w:rsidRPr="00085074">
                        <w:t>. New antibiotic drug applications approved by FDA</w:t>
                      </w:r>
                      <w:r>
                        <w:t xml:space="preserve"> by year interval</w:t>
                      </w:r>
                      <w:r w:rsidRPr="00085074">
                        <w:t xml:space="preserve"> up to 2019.</w:t>
                      </w:r>
                      <w:bookmarkEnd w:id="17"/>
                      <w:bookmarkEnd w:id="18"/>
                      <w:r w:rsidRPr="00085074">
                        <w:t xml:space="preserve"> </w:t>
                      </w:r>
                    </w:p>
                  </w:txbxContent>
                </v:textbox>
                <w10:anchorlock/>
              </v:shape>
            </w:pict>
          </mc:Fallback>
        </mc:AlternateContent>
      </w:r>
    </w:p>
    <w:p w14:paraId="1231ED30" w14:textId="19387E7C" w:rsidR="000F7094" w:rsidRDefault="000F7094" w:rsidP="000F7094">
      <w:pPr>
        <w:ind w:firstLine="720"/>
      </w:pPr>
      <w:r>
        <w:rPr>
          <w:rFonts w:cstheme="minorHAnsi"/>
        </w:rPr>
        <w:t>Despite the undeniable need for antibiotics with novel mechanisms of action, only two new classes of antibiotics have reached the market since 1962,</w:t>
      </w:r>
      <w:r>
        <w:rPr>
          <w:rFonts w:cstheme="minorHAnsi"/>
        </w:rPr>
        <w:fldChar w:fldCharType="begin"/>
      </w:r>
      <w:r>
        <w:rPr>
          <w:rFonts w:cstheme="minorHAnsi"/>
        </w:rPr>
        <w:instrText xml:space="preserve"> ADDIN ZOTERO_ITEM CSL_CITATION {"citationID":"U7nakgiw","properties":{"formattedCitation":"\\super 11\\nosupersub{}","plainCitation":"11","noteIndex":0},"citationItems":[{"id":134,"uris":["http://zotero.org/users/6503767/items/J6XAMF4W"],"itemData":{"id":134,"type":"article-journal","container-title":"British Journal of Pharmacology","DOI":"10.1111/j.1476-5381.2011.01250.x","ISSN":"00071188","issue":"1","language":"en","page":"184-194","source":"DOI.org (Crossref)","title":"Novel classes of antibiotics or more of the same?","title-short":"Novel classes of antibiotics or more of the same?","volume":"163","author":[{"family":"Coates","given":"Anthony RM"},{"family":"Halls","given":"Gerry"},{"family":"Hu","given":"Yanmin"}],"issued":{"date-parts":[["2011",5]]}}}],"schema":"https://github.com/citation-style-language/schema/raw/master/csl-citation.json"} </w:instrText>
      </w:r>
      <w:r>
        <w:rPr>
          <w:rFonts w:cstheme="minorHAnsi"/>
        </w:rPr>
        <w:fldChar w:fldCharType="separate"/>
      </w:r>
      <w:r w:rsidRPr="003029D7">
        <w:rPr>
          <w:rFonts w:cs="Times New Roman"/>
          <w:szCs w:val="24"/>
          <w:vertAlign w:val="superscript"/>
        </w:rPr>
        <w:t>11</w:t>
      </w:r>
      <w:r>
        <w:rPr>
          <w:rFonts w:cstheme="minorHAnsi"/>
        </w:rPr>
        <w:fldChar w:fldCharType="end"/>
      </w:r>
      <w:r>
        <w:rPr>
          <w:rFonts w:cstheme="minorHAnsi"/>
        </w:rPr>
        <w:t xml:space="preserve"> and the number of new antibiotics developed and approved has steadily decreased over the past three decades (</w:t>
      </w:r>
      <w:r w:rsidR="007B0CB1" w:rsidRPr="007B0CB1">
        <w:rPr>
          <w:rFonts w:cstheme="minorHAnsi"/>
          <w:b/>
          <w:bCs/>
        </w:rPr>
        <w:fldChar w:fldCharType="begin"/>
      </w:r>
      <w:r w:rsidR="007B0CB1" w:rsidRPr="007B0CB1">
        <w:rPr>
          <w:rFonts w:cstheme="minorHAnsi"/>
          <w:b/>
          <w:bCs/>
        </w:rPr>
        <w:instrText xml:space="preserve"> REF _Ref100742328 \h  \* MERGEFORMAT </w:instrText>
      </w:r>
      <w:r w:rsidR="007B0CB1" w:rsidRPr="007B0CB1">
        <w:rPr>
          <w:rFonts w:cstheme="minorHAnsi"/>
          <w:b/>
          <w:bCs/>
        </w:rPr>
      </w:r>
      <w:r w:rsidR="007B0CB1" w:rsidRPr="007B0CB1">
        <w:rPr>
          <w:rFonts w:cstheme="minorHAnsi"/>
          <w:b/>
          <w:bCs/>
        </w:rPr>
        <w:fldChar w:fldCharType="separate"/>
      </w:r>
      <w:r w:rsidR="00AA5AAC" w:rsidRPr="00AA5AAC">
        <w:rPr>
          <w:b/>
          <w:bCs/>
        </w:rPr>
        <w:t>Figure 1.2</w:t>
      </w:r>
      <w:r w:rsidR="007B0CB1" w:rsidRPr="007B0CB1">
        <w:rPr>
          <w:rFonts w:cstheme="minorHAnsi"/>
          <w:b/>
          <w:bCs/>
        </w:rPr>
        <w:fldChar w:fldCharType="end"/>
      </w:r>
      <w:r>
        <w:rPr>
          <w:rFonts w:cstheme="minorHAnsi"/>
        </w:rPr>
        <w:t>).</w:t>
      </w:r>
      <w:r>
        <w:rPr>
          <w:rFonts w:cstheme="minorHAnsi"/>
        </w:rPr>
        <w:fldChar w:fldCharType="begin"/>
      </w:r>
      <w:r>
        <w:rPr>
          <w:rFonts w:cstheme="minorHAnsi"/>
        </w:rPr>
        <w:instrText xml:space="preserve"> ADDIN ZOTERO_ITEM CSL_CITATION {"citationID":"Yu1h8XvM","properties":{"formattedCitation":"\\super 12\\nosupersub{}","plainCitation":"12","noteIndex":0},"citationItems":[{"id":208,"uris":["http://zotero.org/users/6503767/items/YYJRJA66"],"itemData":{"id":208,"type":"webpage","abstract":"Antibiotic resistance happens when germs develop the ability to defeat the drugs designed to kill them. Learn how germs become resistant.","container-title":"Centers for Disease Control and Prevention","language":"en-us","title":"What Exactly is Antibiotic Resistance?","URL":"https://www.cdc.gov/drugresistance/about.html","author":[{"family":"CDC","given":""}],"accessed":{"date-parts":[["2021",10,27]]},"issued":{"date-parts":[["2020",3,13]]}}}],"schema":"https://github.com/citation-style-language/schema/raw/master/csl-citation.json"} </w:instrText>
      </w:r>
      <w:r>
        <w:rPr>
          <w:rFonts w:cstheme="minorHAnsi"/>
        </w:rPr>
        <w:fldChar w:fldCharType="separate"/>
      </w:r>
      <w:r w:rsidRPr="003029D7">
        <w:rPr>
          <w:rFonts w:cs="Times New Roman"/>
          <w:szCs w:val="24"/>
          <w:vertAlign w:val="superscript"/>
        </w:rPr>
        <w:t>12</w:t>
      </w:r>
      <w:r>
        <w:rPr>
          <w:rFonts w:cstheme="minorHAnsi"/>
        </w:rPr>
        <w:fldChar w:fldCharType="end"/>
      </w:r>
      <w:r>
        <w:rPr>
          <w:rFonts w:cstheme="minorHAnsi"/>
        </w:rPr>
        <w:t xml:space="preserve"> </w:t>
      </w:r>
      <w:r>
        <w:t xml:space="preserve">The current arsenal of </w:t>
      </w:r>
      <w:proofErr w:type="spellStart"/>
      <w:r>
        <w:t>antibacterials</w:t>
      </w:r>
      <w:proofErr w:type="spellEnd"/>
      <w:r>
        <w:t xml:space="preserve"> target a limited number of essential enzymes and processes, and resistance evolution now outpaces our ability to derivatize known chemotypes and advance the new entities through clinical evaluation. </w:t>
      </w:r>
      <w:r>
        <w:rPr>
          <w:rFonts w:cstheme="minorHAnsi"/>
        </w:rPr>
        <w:t xml:space="preserve">Modern approaches for developing new antibiotics include identifying new targets, but, </w:t>
      </w:r>
      <w:r>
        <w:t>despite great effort, very few new targets have been identified for Gram-negative bacteria in the last 50 years. In contrast to the dogma that only compounds that completely inhibit cell growth will find clinical utility, one strategy gaining significant traction is to render organisms vulnerable to host immune clearance by targeting virulence determinants or processes that control the expression of pathogenicity. In this context, bacterial two-component signal transduction systems (2CSTS) represent promising targets.</w:t>
      </w:r>
    </w:p>
    <w:p w14:paraId="5A35CFDD" w14:textId="77777777" w:rsidR="003E3CA9" w:rsidRDefault="003E3CA9" w:rsidP="000F7094">
      <w:pPr>
        <w:ind w:firstLine="720"/>
      </w:pPr>
    </w:p>
    <w:p w14:paraId="20651267" w14:textId="68EF4189" w:rsidR="000F7094" w:rsidRDefault="000F7094" w:rsidP="000F7094">
      <w:pPr>
        <w:pStyle w:val="Subsection"/>
      </w:pPr>
      <w:bookmarkStart w:id="19" w:name="_Toc102586237"/>
      <w:r>
        <w:lastRenderedPageBreak/>
        <w:t>1.1.2 CpxRA phosphatase inhibition and 2CSTS as antibacterial targets</w:t>
      </w:r>
      <w:r w:rsidR="001E7DE2">
        <w:t>.</w:t>
      </w:r>
      <w:bookmarkEnd w:id="19"/>
    </w:p>
    <w:p w14:paraId="607FCA52" w14:textId="77777777" w:rsidR="000F7094" w:rsidRDefault="000F7094" w:rsidP="000F7094">
      <w:pPr>
        <w:ind w:firstLine="720"/>
      </w:pPr>
      <w:r>
        <w:t>Bacterial 2CSTS are an attractive target for antibacterial studies because there are no mammalian homologs and involve the phosphorylation of amino acids that differ from the targets of mammalian phosphatases and kinases.</w:t>
      </w:r>
      <w:r>
        <w:fldChar w:fldCharType="begin"/>
      </w:r>
      <w:r>
        <w:instrText xml:space="preserve"> ADDIN ZOTERO_ITEM CSL_CITATION {"citationID":"ndciZTFo","properties":{"formattedCitation":"\\super 13\\nosupersub{}","plainCitation":"13","noteIndex":0},"citationItems":[{"id":125,"uris":["http://zotero.org/users/6503767/items/FDSR4HNB"],"itemData":{"id":125,"type":"article-journal","abstract":"ABSTRACT\n            \n              CpxRA is a two-component signal transduction system (2CSTS) found in many drug-resistant Gram-negative bacteria. In response to periplasmic stress, CpxA autophosphorylates and donates a phosphoryl group to its cognate response regulator, CpxR. Phosphorylated CpxR (CpxR-P) upregulates genes involved in membrane repair and downregulates multiple genes that encode virulence factors, which are trafficked across the cell membrane. Mutants that constitutively activate CpxRA in\n              Salmonella enterica\n              serovar Typhimurium and\n              Haemophilus ducreyi\n              are avirulent in mice and humans, respectively. Thus, the activation of CpxRA has high potential as a novel antimicrobial/antivirulence strategy. Using a series of\n              Escherichia coli\n              strains containing a CpxR-P-responsive\n              lacZ\n              reporter and deletions in genes encoding CpxRA system components, we developed and validated a novel cell-based high-throughput screen (HTS) for CpxRA activators. A screen of 36,000 compounds yielded one hit compound that increased reporter activity in wild-type cells. This is the first report of a compound that activates, rather than inhibits, a 2CSTS. The activity profile of the compound against CpxRA pathway mutants in the presence of glucose suggested that the compound inhibits CpxA phosphatase activity. We confirmed that the compound induced the accumulation of CpxR-P in treated cells. Although the hit compound contained a nitro group, a derivative lacking this group retained activity in serum and had lower cytotoxicity than that of the initial hit. This HTS is amenable for the screening of larger libraries to find compounds that activate CpxRA by other mechanisms, and it could be adapted to find activators of other two-component systems.","container-title":"Antimicrobial Agents and Chemotherapy","DOI":"10.1128/AAC.00236-15","ISSN":"0066-4804, 1098-6596","issue":"7","journalAbbreviation":"Antimicrob. Agents Chemother.","language":"en","page":"3789-3799","source":"DOI.org (Crossref)","title":"Development and Validation of a High-Throughput Cell-Based Screen To Identify Activators of a Bacterial Two-Component Signal Transduction System","volume":"59","author":[{"family":"Rensburg","given":"Julia J.","non-dropping-particle":"van"},{"family":"Fortney","given":"Kate R."},{"family":"Chen","given":"Lan"},{"family":"Krieger","given":"Andrew J."},{"family":"Lima","given":"Bruno P."},{"family":"Wolfe","given":"Alan J."},{"family":"Katz","given":"Barry P."},{"family":"Zhang","given":"Zhong-yin"},{"family":"Spinola","given":"Stanley M."}],"issued":{"date-parts":[["2015",7]]}}}],"schema":"https://github.com/citation-style-language/schema/raw/master/csl-citation.json"} </w:instrText>
      </w:r>
      <w:r>
        <w:fldChar w:fldCharType="separate"/>
      </w:r>
      <w:r w:rsidRPr="003029D7">
        <w:rPr>
          <w:rFonts w:cs="Times New Roman"/>
          <w:szCs w:val="24"/>
          <w:vertAlign w:val="superscript"/>
        </w:rPr>
        <w:t>13</w:t>
      </w:r>
      <w:r>
        <w:fldChar w:fldCharType="end"/>
      </w:r>
      <w:r>
        <w:t xml:space="preserve"> Bacteria have evolved 2CSTS, which are generally composed of a histidine kinase (HK) and a response regulator (RR), to respond to environmental changes.</w:t>
      </w:r>
      <w:r>
        <w:fldChar w:fldCharType="begin"/>
      </w:r>
      <w:r>
        <w:instrText xml:space="preserve"> ADDIN ZOTERO_ITEM CSL_CITATION {"citationID":"7AnhAx9S","properties":{"formattedCitation":"\\super 14\\nosupersub{}","plainCitation":"14","noteIndex":0},"citationItems":[{"id":225,"uris":["http://zotero.org/users/6503767/items/RTYRKA7M"],"itemData":{"id":225,"type":"article-journal","abstract":"The bacterial communities in a wide range of environmental niches sense and respond to numerous external stimuli for their survival. Primarily, a source they require to follow up this communication is the two-component signal transduction system (TCS), which typically comprises a sensor Histidine kinase for receiving external input signals and a response regulator that conveys a proper change in the bacterial cell physiology. For numerous reasons, TCSs have ascended as convincing targets for antibacterial drug design. Several studies have shown that TCSs are essential for the coordinated expression of virulence factors and, in some cases, for bacterial viability and growth. It has also been reported that the expression of antibiotic resistance determinants may be regulated by some TCSs. In addition, as a mode of signal transduction, phosphorylation of histidine in bacteria differs from normal serine/threonine and tyrosine phosphorylation in higher eukaryotes. Several studies have shown the molecular mechanisms by which TCSs regulate virulence and antibiotic resistance in pathogenic bacteria. In this review, we list some of the characteristics of the bacterial TCSs and their involvement in virulence and antibiotic resistance. Furthermore, this review lists and discusses inhibitors that have been reported to target TCSs in pathogenic bacteria.","container-title":"Frontiers in Microbiology","DOI":"10.3389/fmicb.2017.01878","ISSN":"1664-302X","page":"1878","source":"Frontiers","title":"Two-Component Signal Transduction Systems of Pathogenic Bacteria As Targets for Antimicrobial Therapy: An Overview","title-short":"Two-Component Signal Transduction Systems of Pathogenic Bacteria As Targets for Antimicrobial Therapy","volume":"8","author":[{"family":"Tiwari","given":"Sandeep"},{"family":"Jamal","given":"Syed B."},{"family":"Hassan","given":"Syed S."},{"family":"Carvalho","given":"Paulo V. S. D."},{"family":"Almeida","given":"Sintia"},{"family":"Barh","given":"Debmalya"},{"family":"Ghosh","given":"Preetam"},{"family":"Silva","given":"Artur"},{"family":"Castro","given":"Thiago L. P."},{"family":"Azevedo","given":"Vasco"}],"issued":{"date-parts":[["2017"]]}}}],"schema":"https://github.com/citation-style-language/schema/raw/master/csl-citation.json"} </w:instrText>
      </w:r>
      <w:r>
        <w:fldChar w:fldCharType="separate"/>
      </w:r>
      <w:r w:rsidRPr="007724C4">
        <w:rPr>
          <w:rFonts w:cs="Times New Roman"/>
          <w:szCs w:val="24"/>
          <w:vertAlign w:val="superscript"/>
        </w:rPr>
        <w:t>14</w:t>
      </w:r>
      <w:r>
        <w:fldChar w:fldCharType="end"/>
      </w:r>
      <w:r>
        <w:t xml:space="preserve"> Bacterial 2CSTS are conserved across many drug-resistant Gram-negative pathogens and are known to regulate gene transcription involved in cell growth, envelope integrity, quorum sensing, and expression of virulence factors.</w:t>
      </w:r>
      <w:r>
        <w:fldChar w:fldCharType="begin"/>
      </w:r>
      <w:r>
        <w:instrText xml:space="preserve"> ADDIN ZOTERO_ITEM CSL_CITATION {"citationID":"v3xH22sp","properties":{"formattedCitation":"\\super 15\\nosupersub{}","plainCitation":"15","noteIndex":0},"citationItems":[{"id":141,"uris":["http://zotero.org/users/6503767/items/2SINBPQ5"],"itemData":{"id":141,"type":"article-journal","abstract":"▪ Abstract  Most prokaryotic signal-transduction systems and a few eukaryotic pathways use phosphotransfer schemes involving two conserved components, a histidine protein kinase and a response regulator protein. The histidine protein kinase, which is regulated by environmental stimuli, autophosphorylates at a histidine residue, creating a high-energy phosphoryl group that is subsequently transferred to an aspartate residue in the response regulator protein. Phosphorylation induces a conformational change in the regulatory domain that results in activation of an associated domain that effects the response. The basic scheme is highly adaptable, and numerous variations have provided optimization within specific signaling systems. The domains of two-component proteins are modular and can be integrated into proteins and pathways in a variety of ways, but the core structures and activities are maintained. Thus detailed analyses of a relatively small number of representative proteins provide a foundation for understanding this large family of signaling proteins.","container-title":"Annual Review of Biochemistry","DOI":"10.1146/annurev.biochem.69.1.183","ISSN":"0066-4154, 1545-4509","issue":"1","journalAbbreviation":"Annu. Rev. Biochem.","language":"en","page":"183-215","source":"DOI.org (Crossref)","title":"Two-Component Signal Transduction","volume":"69","author":[{"family":"Stock","given":"Ann M."},{"family":"Robinson","given":"Victoria L."},{"family":"Goudreau","given":"Paul N."}],"issued":{"date-parts":[["2000",6]]}}}],"schema":"https://github.com/citation-style-language/schema/raw/master/csl-citation.json"} </w:instrText>
      </w:r>
      <w:r>
        <w:fldChar w:fldCharType="separate"/>
      </w:r>
      <w:r w:rsidRPr="007724C4">
        <w:rPr>
          <w:rFonts w:cs="Times New Roman"/>
          <w:szCs w:val="24"/>
          <w:vertAlign w:val="superscript"/>
        </w:rPr>
        <w:t>15</w:t>
      </w:r>
      <w:r>
        <w:fldChar w:fldCharType="end"/>
      </w:r>
      <w:r>
        <w:t xml:space="preserve"> As such, modulation of these systems represents a promising antibacterial strategy and is expected to exhibit complementarity to existing approaches. 2CSTS activators do not cause cell death but have the potential to downregulate the expression of virulence factors, allowing the host’s immune system to clear the infection. </w:t>
      </w:r>
    </w:p>
    <w:p w14:paraId="21819417" w14:textId="77777777" w:rsidR="000F7094" w:rsidRPr="00CC45B7" w:rsidRDefault="000F7094" w:rsidP="000F7094">
      <w:r w:rsidRPr="007724C4">
        <w:rPr>
          <w:rFonts w:asciiTheme="minorHAnsi" w:hAnsiTheme="minorHAnsi"/>
          <w:noProof/>
          <w:sz w:val="22"/>
        </w:rPr>
        <mc:AlternateContent>
          <mc:Choice Requires="wps">
            <w:drawing>
              <wp:inline distT="0" distB="0" distL="0" distR="0" wp14:anchorId="0083283E" wp14:editId="21617755">
                <wp:extent cx="5943600" cy="3609892"/>
                <wp:effectExtent l="0" t="0" r="19050" b="10160"/>
                <wp:docPr id="27" name="Text Box 2" descr="In response to membrane stress (1), CpxA (SK) undergoes autophosphorylation at a conserved His residue in an ATP-dependent manner (2). CpxR (RR) then catalyzes the transfer of the phosphate group to a cognate Asp residue (3), resulting in CpxR-P and activation. CpxA exhibits phosphatase activity and can dephosphorylate CpxR-P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609892"/>
                        </a:xfrm>
                        <a:prstGeom prst="rect">
                          <a:avLst/>
                        </a:prstGeom>
                        <a:solidFill>
                          <a:srgbClr val="FFFFFF"/>
                        </a:solidFill>
                        <a:ln w="9525">
                          <a:solidFill>
                            <a:srgbClr val="000000"/>
                          </a:solidFill>
                          <a:miter lim="800000"/>
                          <a:headEnd/>
                          <a:tailEnd/>
                        </a:ln>
                      </wps:spPr>
                      <wps:txbx>
                        <w:txbxContent>
                          <w:p w14:paraId="57D0AE94" w14:textId="77777777" w:rsidR="000F7094" w:rsidRDefault="000F7094" w:rsidP="000F7094">
                            <w:pPr>
                              <w:keepNext/>
                              <w:spacing w:after="0"/>
                              <w:jc w:val="center"/>
                            </w:pPr>
                            <w:r>
                              <w:rPr>
                                <w:noProof/>
                              </w:rPr>
                              <w:drawing>
                                <wp:inline distT="0" distB="0" distL="0" distR="0" wp14:anchorId="728B03FC" wp14:editId="0D575C63">
                                  <wp:extent cx="5667375" cy="2280920"/>
                                  <wp:effectExtent l="0" t="0" r="9525" b="5080"/>
                                  <wp:docPr id="45" name="Picture 45" descr="In response to membrane stress (1), CpxA (SK) undergoes autophosphorylation at a conserved His residue in an ATP-dependent manner (2). CpxR (RR) then catalyzes the transfer of the phosphate group to a cognate Asp residue (3), resulting in CpxR-P and activation. CpxA exhibits phosphatase activity and can dephosphorylate CpxR-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n response to membrane stress (1), CpxA (SK) undergoes autophosphorylation at a conserved His residue in an ATP-dependent manner (2). CpxR (RR) then catalyzes the transfer of the phosphate group to a cognate Asp residue (3), resulting in CpxR-P and activation. CpxA exhibits phosphatase activity and can dephosphorylate CpxR-P (4)."/>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r="4647"/>
                                          <a:stretch/>
                                        </pic:blipFill>
                                        <pic:spPr bwMode="auto">
                                          <a:xfrm>
                                            <a:off x="0" y="0"/>
                                            <a:ext cx="5667375" cy="2280920"/>
                                          </a:xfrm>
                                          <a:prstGeom prst="rect">
                                            <a:avLst/>
                                          </a:prstGeom>
                                          <a:noFill/>
                                          <a:ln>
                                            <a:noFill/>
                                          </a:ln>
                                          <a:extLst>
                                            <a:ext uri="{53640926-AAD7-44D8-BBD7-CCE9431645EC}">
                                              <a14:shadowObscured xmlns:a14="http://schemas.microsoft.com/office/drawing/2010/main"/>
                                            </a:ext>
                                          </a:extLst>
                                        </pic:spPr>
                                      </pic:pic>
                                    </a:graphicData>
                                  </a:graphic>
                                </wp:inline>
                              </w:drawing>
                            </w:r>
                          </w:p>
                          <w:p w14:paraId="7BC657FA" w14:textId="01A992C0" w:rsidR="000F7094" w:rsidRPr="0031781A" w:rsidRDefault="000F7094" w:rsidP="00DF51F5">
                            <w:pPr>
                              <w:pStyle w:val="Caption"/>
                            </w:pPr>
                            <w:bookmarkStart w:id="20" w:name="_Ref100742363"/>
                            <w:bookmarkStart w:id="21" w:name="_Toc100243231"/>
                            <w:bookmarkStart w:id="22" w:name="_Toc100748284"/>
                            <w:r>
                              <w:t>Figure 1.</w:t>
                            </w:r>
                            <w:fldSimple w:instr=" SEQ Figure \* ARABIC ">
                              <w:r w:rsidR="00AA5AAC">
                                <w:rPr>
                                  <w:noProof/>
                                </w:rPr>
                                <w:t>3</w:t>
                              </w:r>
                            </w:fldSimple>
                            <w:bookmarkEnd w:id="20"/>
                            <w:r>
                              <w:t xml:space="preserve">. </w:t>
                            </w:r>
                            <w:r>
                              <w:rPr>
                                <w:rFonts w:cs="Times New Roman"/>
                                <w:szCs w:val="24"/>
                              </w:rPr>
                              <w:t>2CSTS</w:t>
                            </w:r>
                            <w:r w:rsidRPr="009363E4">
                              <w:rPr>
                                <w:rFonts w:cs="Times New Roman"/>
                                <w:szCs w:val="24"/>
                              </w:rPr>
                              <w:t xml:space="preserve"> signaling overview.</w:t>
                            </w:r>
                            <w:bookmarkEnd w:id="21"/>
                            <w:bookmarkEnd w:id="22"/>
                            <w:r w:rsidRPr="0031781A">
                              <w:t xml:space="preserve"> </w:t>
                            </w:r>
                          </w:p>
                          <w:p w14:paraId="032A0776" w14:textId="77777777" w:rsidR="000F7094" w:rsidRPr="009363E4" w:rsidRDefault="000F7094" w:rsidP="000F7094">
                            <w:pPr>
                              <w:spacing w:after="0" w:line="240" w:lineRule="auto"/>
                              <w:contextualSpacing/>
                              <w:rPr>
                                <w:rFonts w:cs="Times New Roman"/>
                                <w:szCs w:val="24"/>
                              </w:rPr>
                            </w:pPr>
                            <w:r w:rsidRPr="009363E4">
                              <w:rPr>
                                <w:rFonts w:cs="Times New Roman"/>
                                <w:szCs w:val="24"/>
                              </w:rPr>
                              <w:t xml:space="preserve">In response to membrane stress (1), </w:t>
                            </w:r>
                            <w:proofErr w:type="spellStart"/>
                            <w:r w:rsidRPr="009363E4">
                              <w:rPr>
                                <w:rFonts w:cs="Times New Roman"/>
                                <w:szCs w:val="24"/>
                              </w:rPr>
                              <w:t>CpxA</w:t>
                            </w:r>
                            <w:proofErr w:type="spellEnd"/>
                            <w:r w:rsidRPr="009363E4">
                              <w:rPr>
                                <w:rFonts w:cs="Times New Roman"/>
                                <w:szCs w:val="24"/>
                              </w:rPr>
                              <w:t xml:space="preserve"> (SK) undergoes autophosphorylation at a conserved His residue in an ATP-dependent manner (2). </w:t>
                            </w:r>
                            <w:proofErr w:type="spellStart"/>
                            <w:r w:rsidRPr="009363E4">
                              <w:rPr>
                                <w:rFonts w:cs="Times New Roman"/>
                                <w:szCs w:val="24"/>
                              </w:rPr>
                              <w:t>CpxR</w:t>
                            </w:r>
                            <w:proofErr w:type="spellEnd"/>
                            <w:r w:rsidRPr="009363E4">
                              <w:rPr>
                                <w:rFonts w:cs="Times New Roman"/>
                                <w:szCs w:val="24"/>
                              </w:rPr>
                              <w:t xml:space="preserve"> (RR) then catalyzes the transfer of the phosphate group to a cognate Asp residue (3), resulting in </w:t>
                            </w:r>
                            <w:proofErr w:type="spellStart"/>
                            <w:r w:rsidRPr="009363E4">
                              <w:rPr>
                                <w:rFonts w:cs="Times New Roman"/>
                                <w:szCs w:val="24"/>
                              </w:rPr>
                              <w:t>CpxR</w:t>
                            </w:r>
                            <w:proofErr w:type="spellEnd"/>
                            <w:r w:rsidRPr="009363E4">
                              <w:rPr>
                                <w:rFonts w:cs="Times New Roman"/>
                                <w:szCs w:val="24"/>
                              </w:rPr>
                              <w:t xml:space="preserve">-P and activation. </w:t>
                            </w:r>
                            <w:proofErr w:type="spellStart"/>
                            <w:r w:rsidRPr="009363E4">
                              <w:rPr>
                                <w:rFonts w:cs="Times New Roman"/>
                                <w:szCs w:val="24"/>
                              </w:rPr>
                              <w:t>CpxA</w:t>
                            </w:r>
                            <w:proofErr w:type="spellEnd"/>
                            <w:r w:rsidRPr="009363E4">
                              <w:rPr>
                                <w:rFonts w:cs="Times New Roman"/>
                                <w:szCs w:val="24"/>
                              </w:rPr>
                              <w:t xml:space="preserve"> exhibits phosphatase activity and can dephosphorylate </w:t>
                            </w:r>
                            <w:proofErr w:type="spellStart"/>
                            <w:r w:rsidRPr="009363E4">
                              <w:rPr>
                                <w:rFonts w:cs="Times New Roman"/>
                                <w:szCs w:val="24"/>
                              </w:rPr>
                              <w:t>CpxR</w:t>
                            </w:r>
                            <w:proofErr w:type="spellEnd"/>
                            <w:r w:rsidRPr="009363E4">
                              <w:rPr>
                                <w:rFonts w:cs="Times New Roman"/>
                                <w:szCs w:val="24"/>
                              </w:rPr>
                              <w:t>-P (4).</w:t>
                            </w:r>
                          </w:p>
                          <w:p w14:paraId="7E6CF43C" w14:textId="77777777" w:rsidR="000F7094" w:rsidRDefault="000F7094" w:rsidP="000F7094">
                            <w:pPr>
                              <w:jc w:val="center"/>
                            </w:pPr>
                          </w:p>
                        </w:txbxContent>
                      </wps:txbx>
                      <wps:bodyPr rot="0" vert="horz" wrap="square" lIns="91440" tIns="45720" rIns="91440" bIns="45720" anchor="t" anchorCtr="0">
                        <a:noAutofit/>
                      </wps:bodyPr>
                    </wps:wsp>
                  </a:graphicData>
                </a:graphic>
              </wp:inline>
            </w:drawing>
          </mc:Choice>
          <mc:Fallback>
            <w:pict>
              <v:shape w14:anchorId="0083283E" id="_x0000_s1028" type="#_x0000_t202" alt="In response to membrane stress (1), CpxA (SK) undergoes autophosphorylation at a conserved His residue in an ATP-dependent manner (2). CpxR (RR) then catalyzes the transfer of the phosphate group to a cognate Asp residue (3), resulting in CpxR-P and activation. CpxA exhibits phosphatase activity and can dephosphorylate CpxR-P (4)." style="width:468pt;height:28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">
                <v:textbox>
                  <w:txbxContent>
                    <w:p w14:paraId="57D0AE94" w14:textId="77777777" w:rsidR="000F7094" w:rsidRDefault="000F7094" w:rsidP="000F7094">
                      <w:pPr>
                        <w:keepNext/>
                        <w:spacing w:after="0"/>
                        <w:jc w:val="center"/>
                      </w:pPr>
                      <w:r>
                        <w:rPr>
                          <w:noProof/>
                        </w:rPr>
                        <w:drawing>
                          <wp:inline distT="0" distB="0" distL="0" distR="0" wp14:anchorId="728B03FC" wp14:editId="0D575C63">
                            <wp:extent cx="5667375" cy="2280920"/>
                            <wp:effectExtent l="0" t="0" r="9525" b="5080"/>
                            <wp:docPr id="45" name="Picture 45" descr="In response to membrane stress (1), CpxA (SK) undergoes autophosphorylation at a conserved His residue in an ATP-dependent manner (2). CpxR (RR) then catalyzes the transfer of the phosphate group to a cognate Asp residue (3), resulting in CpxR-P and activation. CpxA exhibits phosphatase activity and can dephosphorylate CpxR-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n response to membrane stress (1), CpxA (SK) undergoes autophosphorylation at a conserved His residue in an ATP-dependent manner (2). CpxR (RR) then catalyzes the transfer of the phosphate group to a cognate Asp residue (3), resulting in CpxR-P and activation. CpxA exhibits phosphatase activity and can dephosphorylate CpxR-P (4)."/>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r="4647"/>
                                    <a:stretch/>
                                  </pic:blipFill>
                                  <pic:spPr bwMode="auto">
                                    <a:xfrm>
                                      <a:off x="0" y="0"/>
                                      <a:ext cx="5667375" cy="2280920"/>
                                    </a:xfrm>
                                    <a:prstGeom prst="rect">
                                      <a:avLst/>
                                    </a:prstGeom>
                                    <a:noFill/>
                                    <a:ln>
                                      <a:noFill/>
                                    </a:ln>
                                    <a:extLst>
                                      <a:ext uri="{53640926-AAD7-44D8-BBD7-CCE9431645EC}">
                                        <a14:shadowObscured xmlns:a14="http://schemas.microsoft.com/office/drawing/2010/main"/>
                                      </a:ext>
                                    </a:extLst>
                                  </pic:spPr>
                                </pic:pic>
                              </a:graphicData>
                            </a:graphic>
                          </wp:inline>
                        </w:drawing>
                      </w:r>
                    </w:p>
                    <w:p w14:paraId="7BC657FA" w14:textId="01A992C0" w:rsidR="000F7094" w:rsidRPr="0031781A" w:rsidRDefault="000F7094" w:rsidP="00DF51F5">
                      <w:pPr>
                        <w:pStyle w:val="Caption"/>
                      </w:pPr>
                      <w:bookmarkStart w:id="23" w:name="_Ref100742363"/>
                      <w:bookmarkStart w:id="24" w:name="_Toc100243231"/>
                      <w:bookmarkStart w:id="25" w:name="_Toc100748284"/>
                      <w:r>
                        <w:t>Figure 1.</w:t>
                      </w:r>
                      <w:fldSimple w:instr=" SEQ Figure \* ARABIC ">
                        <w:r w:rsidR="00AA5AAC">
                          <w:rPr>
                            <w:noProof/>
                          </w:rPr>
                          <w:t>3</w:t>
                        </w:r>
                      </w:fldSimple>
                      <w:bookmarkEnd w:id="23"/>
                      <w:r>
                        <w:t xml:space="preserve">. </w:t>
                      </w:r>
                      <w:r>
                        <w:rPr>
                          <w:rFonts w:cs="Times New Roman"/>
                          <w:szCs w:val="24"/>
                        </w:rPr>
                        <w:t>2CSTS</w:t>
                      </w:r>
                      <w:r w:rsidRPr="009363E4">
                        <w:rPr>
                          <w:rFonts w:cs="Times New Roman"/>
                          <w:szCs w:val="24"/>
                        </w:rPr>
                        <w:t xml:space="preserve"> signaling overview.</w:t>
                      </w:r>
                      <w:bookmarkEnd w:id="24"/>
                      <w:bookmarkEnd w:id="25"/>
                      <w:r w:rsidRPr="0031781A">
                        <w:t xml:space="preserve"> </w:t>
                      </w:r>
                    </w:p>
                    <w:p w14:paraId="032A0776" w14:textId="77777777" w:rsidR="000F7094" w:rsidRPr="009363E4" w:rsidRDefault="000F7094" w:rsidP="000F7094">
                      <w:pPr>
                        <w:spacing w:after="0" w:line="240" w:lineRule="auto"/>
                        <w:contextualSpacing/>
                        <w:rPr>
                          <w:rFonts w:cs="Times New Roman"/>
                          <w:szCs w:val="24"/>
                        </w:rPr>
                      </w:pPr>
                      <w:r w:rsidRPr="009363E4">
                        <w:rPr>
                          <w:rFonts w:cs="Times New Roman"/>
                          <w:szCs w:val="24"/>
                        </w:rPr>
                        <w:t xml:space="preserve">In response to membrane stress (1), </w:t>
                      </w:r>
                      <w:proofErr w:type="spellStart"/>
                      <w:r w:rsidRPr="009363E4">
                        <w:rPr>
                          <w:rFonts w:cs="Times New Roman"/>
                          <w:szCs w:val="24"/>
                        </w:rPr>
                        <w:t>CpxA</w:t>
                      </w:r>
                      <w:proofErr w:type="spellEnd"/>
                      <w:r w:rsidRPr="009363E4">
                        <w:rPr>
                          <w:rFonts w:cs="Times New Roman"/>
                          <w:szCs w:val="24"/>
                        </w:rPr>
                        <w:t xml:space="preserve"> (SK) undergoes autophosphorylation at a conserved His residue in an ATP-dependent manner (2). </w:t>
                      </w:r>
                      <w:proofErr w:type="spellStart"/>
                      <w:r w:rsidRPr="009363E4">
                        <w:rPr>
                          <w:rFonts w:cs="Times New Roman"/>
                          <w:szCs w:val="24"/>
                        </w:rPr>
                        <w:t>CpxR</w:t>
                      </w:r>
                      <w:proofErr w:type="spellEnd"/>
                      <w:r w:rsidRPr="009363E4">
                        <w:rPr>
                          <w:rFonts w:cs="Times New Roman"/>
                          <w:szCs w:val="24"/>
                        </w:rPr>
                        <w:t xml:space="preserve"> (RR) then catalyzes the transfer of the phosphate group to a cognate Asp residue (3), resulting in </w:t>
                      </w:r>
                      <w:proofErr w:type="spellStart"/>
                      <w:r w:rsidRPr="009363E4">
                        <w:rPr>
                          <w:rFonts w:cs="Times New Roman"/>
                          <w:szCs w:val="24"/>
                        </w:rPr>
                        <w:t>CpxR</w:t>
                      </w:r>
                      <w:proofErr w:type="spellEnd"/>
                      <w:r w:rsidRPr="009363E4">
                        <w:rPr>
                          <w:rFonts w:cs="Times New Roman"/>
                          <w:szCs w:val="24"/>
                        </w:rPr>
                        <w:t xml:space="preserve">-P and activation. </w:t>
                      </w:r>
                      <w:proofErr w:type="spellStart"/>
                      <w:r w:rsidRPr="009363E4">
                        <w:rPr>
                          <w:rFonts w:cs="Times New Roman"/>
                          <w:szCs w:val="24"/>
                        </w:rPr>
                        <w:t>CpxA</w:t>
                      </w:r>
                      <w:proofErr w:type="spellEnd"/>
                      <w:r w:rsidRPr="009363E4">
                        <w:rPr>
                          <w:rFonts w:cs="Times New Roman"/>
                          <w:szCs w:val="24"/>
                        </w:rPr>
                        <w:t xml:space="preserve"> exhibits phosphatase activity and can dephosphorylate </w:t>
                      </w:r>
                      <w:proofErr w:type="spellStart"/>
                      <w:r w:rsidRPr="009363E4">
                        <w:rPr>
                          <w:rFonts w:cs="Times New Roman"/>
                          <w:szCs w:val="24"/>
                        </w:rPr>
                        <w:t>CpxR</w:t>
                      </w:r>
                      <w:proofErr w:type="spellEnd"/>
                      <w:r w:rsidRPr="009363E4">
                        <w:rPr>
                          <w:rFonts w:cs="Times New Roman"/>
                          <w:szCs w:val="24"/>
                        </w:rPr>
                        <w:t>-P (4).</w:t>
                      </w:r>
                    </w:p>
                    <w:p w14:paraId="7E6CF43C" w14:textId="77777777" w:rsidR="000F7094" w:rsidRDefault="000F7094" w:rsidP="000F7094">
                      <w:pPr>
                        <w:jc w:val="center"/>
                      </w:pPr>
                    </w:p>
                  </w:txbxContent>
                </v:textbox>
                <w10:anchorlock/>
              </v:shape>
            </w:pict>
          </mc:Fallback>
        </mc:AlternateContent>
      </w:r>
    </w:p>
    <w:p w14:paraId="031B0A34" w14:textId="73655B39" w:rsidR="000F7094" w:rsidRDefault="000F7094" w:rsidP="000F7094">
      <w:pPr>
        <w:ind w:firstLine="720"/>
      </w:pPr>
      <w:r>
        <w:lastRenderedPageBreak/>
        <w:t xml:space="preserve">CpxRA is a 2CSTS found in many drug-resistant Gram-negative pathogens and genetic activation of CpxRA abolishes the virulence of a number of pathogens in murine models. </w:t>
      </w:r>
      <w:r w:rsidRPr="003413EF">
        <w:t xml:space="preserve">CpxRA, composed of signal kinase </w:t>
      </w:r>
      <w:proofErr w:type="spellStart"/>
      <w:r w:rsidRPr="003413EF">
        <w:t>CpxA</w:t>
      </w:r>
      <w:proofErr w:type="spellEnd"/>
      <w:r w:rsidRPr="003413EF">
        <w:t xml:space="preserve"> and its corresponding response regulator </w:t>
      </w:r>
      <w:proofErr w:type="spellStart"/>
      <w:r w:rsidRPr="003413EF">
        <w:t>CpxR</w:t>
      </w:r>
      <w:proofErr w:type="spellEnd"/>
      <w:r w:rsidRPr="003413EF">
        <w:t xml:space="preserve">, is a 2CSTS found in many drug-resistant Gram-negative bacteria. </w:t>
      </w:r>
      <w:r>
        <w:t xml:space="preserve">The CpxRA system </w:t>
      </w:r>
      <w:r w:rsidRPr="003413EF">
        <w:t xml:space="preserve">regulates the transcription of </w:t>
      </w:r>
      <w:r>
        <w:t>approximately 100</w:t>
      </w:r>
      <w:r w:rsidRPr="003413EF">
        <w:t xml:space="preserve"> genes</w:t>
      </w:r>
      <w:r>
        <w:t xml:space="preserve"> where its activation results in the upregulation of </w:t>
      </w:r>
      <w:r w:rsidRPr="003413EF">
        <w:t>envelope integrity</w:t>
      </w:r>
      <w:r>
        <w:t xml:space="preserve"> maintenance factors and the downregulation of</w:t>
      </w:r>
      <w:r w:rsidRPr="003413EF">
        <w:t xml:space="preserve"> secreted</w:t>
      </w:r>
      <w:r>
        <w:t xml:space="preserve"> virulence</w:t>
      </w:r>
      <w:r w:rsidRPr="003413EF">
        <w:t xml:space="preserve"> factors. </w:t>
      </w:r>
      <w:r>
        <w:t xml:space="preserve">An overview of the CpxRA signaling pathway is provided in </w:t>
      </w:r>
      <w:r w:rsidR="007B0CB1" w:rsidRPr="007B0CB1">
        <w:rPr>
          <w:b/>
          <w:bCs/>
        </w:rPr>
        <w:fldChar w:fldCharType="begin"/>
      </w:r>
      <w:r w:rsidR="007B0CB1" w:rsidRPr="007B0CB1">
        <w:rPr>
          <w:b/>
          <w:bCs/>
        </w:rPr>
        <w:instrText xml:space="preserve"> REF _Ref100742363 \h </w:instrText>
      </w:r>
      <w:r w:rsidR="007B0CB1">
        <w:rPr>
          <w:b/>
          <w:bCs/>
        </w:rPr>
        <w:instrText xml:space="preserve"> \* MERGEFORMAT </w:instrText>
      </w:r>
      <w:r w:rsidR="007B0CB1" w:rsidRPr="007B0CB1">
        <w:rPr>
          <w:b/>
          <w:bCs/>
        </w:rPr>
      </w:r>
      <w:r w:rsidR="007B0CB1" w:rsidRPr="007B0CB1">
        <w:rPr>
          <w:b/>
          <w:bCs/>
        </w:rPr>
        <w:fldChar w:fldCharType="separate"/>
      </w:r>
      <w:r w:rsidR="00AA5AAC" w:rsidRPr="00AA5AAC">
        <w:rPr>
          <w:b/>
          <w:bCs/>
        </w:rPr>
        <w:t>Figure 1.3</w:t>
      </w:r>
      <w:r w:rsidR="007B0CB1" w:rsidRPr="007B0CB1">
        <w:rPr>
          <w:b/>
          <w:bCs/>
        </w:rPr>
        <w:fldChar w:fldCharType="end"/>
      </w:r>
      <w:r>
        <w:t>. Briefly, i</w:t>
      </w:r>
      <w:r w:rsidRPr="003413EF">
        <w:t xml:space="preserve">n response to envelope stress, </w:t>
      </w:r>
      <w:proofErr w:type="spellStart"/>
      <w:r w:rsidRPr="003413EF">
        <w:t>CpxA</w:t>
      </w:r>
      <w:proofErr w:type="spellEnd"/>
      <w:r w:rsidRPr="003413EF">
        <w:t xml:space="preserve"> </w:t>
      </w:r>
      <w:proofErr w:type="spellStart"/>
      <w:r w:rsidRPr="003413EF">
        <w:t>autophosphorylates</w:t>
      </w:r>
      <w:proofErr w:type="spellEnd"/>
      <w:r w:rsidRPr="003413EF">
        <w:t xml:space="preserve"> on a histidine residue and donates a phosphoryl group to an aspartic acid residue on </w:t>
      </w:r>
      <w:proofErr w:type="spellStart"/>
      <w:r w:rsidRPr="003413EF">
        <w:t>CpxR</w:t>
      </w:r>
      <w:proofErr w:type="spellEnd"/>
      <w:r w:rsidRPr="003413EF">
        <w:t xml:space="preserve">. </w:t>
      </w:r>
      <w:proofErr w:type="spellStart"/>
      <w:r w:rsidRPr="003413EF">
        <w:t>CpxA</w:t>
      </w:r>
      <w:proofErr w:type="spellEnd"/>
      <w:r w:rsidRPr="003413EF">
        <w:t xml:space="preserve"> also has phosphatase activity for</w:t>
      </w:r>
      <w:r>
        <w:t xml:space="preserve"> p</w:t>
      </w:r>
      <w:r w:rsidRPr="003413EF">
        <w:t xml:space="preserve">hosphorylated </w:t>
      </w:r>
      <w:proofErr w:type="spellStart"/>
      <w:r w:rsidRPr="003413EF">
        <w:t>CpxR</w:t>
      </w:r>
      <w:proofErr w:type="spellEnd"/>
      <w:r w:rsidRPr="003413EF">
        <w:t xml:space="preserve"> (</w:t>
      </w:r>
      <w:proofErr w:type="spellStart"/>
      <w:r w:rsidRPr="003413EF">
        <w:t>CpxR</w:t>
      </w:r>
      <w:proofErr w:type="spellEnd"/>
      <w:r w:rsidRPr="003413EF">
        <w:t>-P), and in</w:t>
      </w:r>
      <w:r>
        <w:t xml:space="preserve"> the </w:t>
      </w:r>
      <w:r w:rsidRPr="003413EF">
        <w:t xml:space="preserve">absence of envelope stress, </w:t>
      </w:r>
      <w:proofErr w:type="spellStart"/>
      <w:r w:rsidRPr="003413EF">
        <w:t>CpxA</w:t>
      </w:r>
      <w:proofErr w:type="spellEnd"/>
      <w:r w:rsidRPr="003413EF">
        <w:t xml:space="preserve"> acts as a phosphatase and </w:t>
      </w:r>
      <w:proofErr w:type="spellStart"/>
      <w:r w:rsidRPr="003413EF">
        <w:t>CpxR</w:t>
      </w:r>
      <w:proofErr w:type="spellEnd"/>
      <w:r w:rsidRPr="003413EF">
        <w:t xml:space="preserve"> remains inactive</w:t>
      </w:r>
      <w:r>
        <w:t xml:space="preserve"> (</w:t>
      </w:r>
      <w:r w:rsidR="007B0CB1" w:rsidRPr="007B0CB1">
        <w:rPr>
          <w:b/>
          <w:bCs/>
        </w:rPr>
        <w:fldChar w:fldCharType="begin"/>
      </w:r>
      <w:r w:rsidR="007B0CB1" w:rsidRPr="007B0CB1">
        <w:rPr>
          <w:b/>
          <w:bCs/>
        </w:rPr>
        <w:instrText xml:space="preserve"> REF _Ref100742363 \h  \* MERGEFORMAT </w:instrText>
      </w:r>
      <w:r w:rsidR="007B0CB1" w:rsidRPr="007B0CB1">
        <w:rPr>
          <w:b/>
          <w:bCs/>
        </w:rPr>
      </w:r>
      <w:r w:rsidR="007B0CB1" w:rsidRPr="007B0CB1">
        <w:rPr>
          <w:b/>
          <w:bCs/>
        </w:rPr>
        <w:fldChar w:fldCharType="separate"/>
      </w:r>
      <w:r w:rsidR="00AA5AAC" w:rsidRPr="00AA5AAC">
        <w:rPr>
          <w:b/>
          <w:bCs/>
        </w:rPr>
        <w:t>Figure 1.3</w:t>
      </w:r>
      <w:r w:rsidR="007B0CB1" w:rsidRPr="007B0CB1">
        <w:rPr>
          <w:b/>
          <w:bCs/>
        </w:rPr>
        <w:fldChar w:fldCharType="end"/>
      </w:r>
      <w:r>
        <w:t>)</w:t>
      </w:r>
      <w:r w:rsidRPr="003413EF">
        <w:t xml:space="preserve">. Thus, accumulation of </w:t>
      </w:r>
      <w:proofErr w:type="spellStart"/>
      <w:r w:rsidRPr="003413EF">
        <w:t>CpxR</w:t>
      </w:r>
      <w:proofErr w:type="spellEnd"/>
      <w:r w:rsidRPr="003413EF">
        <w:t xml:space="preserve">-P is indicative of activation of the CpxRA system. </w:t>
      </w:r>
      <w:r>
        <w:t xml:space="preserve"> </w:t>
      </w:r>
    </w:p>
    <w:p w14:paraId="3F632A2F" w14:textId="7A03DFCE" w:rsidR="000F7094" w:rsidRPr="003E5113" w:rsidRDefault="000F7094" w:rsidP="000F7094">
      <w:pPr>
        <w:pStyle w:val="Subsection"/>
      </w:pPr>
      <w:bookmarkStart w:id="26" w:name="_Toc100241874"/>
      <w:bookmarkStart w:id="27" w:name="_Toc102586238"/>
      <w:r>
        <w:t>1.1.3 Summary of accomplishments</w:t>
      </w:r>
      <w:bookmarkEnd w:id="26"/>
      <w:r w:rsidR="00FD20B7">
        <w:t>.</w:t>
      </w:r>
      <w:bookmarkEnd w:id="27"/>
    </w:p>
    <w:p w14:paraId="5A5616E1" w14:textId="6069DE15" w:rsidR="000F7094" w:rsidRDefault="000F7094" w:rsidP="0042307F">
      <w:pPr>
        <w:ind w:firstLine="720"/>
        <w:rPr>
          <w:rFonts w:cs="Times New Roman"/>
          <w:szCs w:val="24"/>
        </w:rPr>
      </w:pPr>
      <w:r w:rsidRPr="00EE76F7">
        <w:rPr>
          <w:rFonts w:cs="Times New Roman"/>
          <w:szCs w:val="24"/>
        </w:rPr>
        <w:t>Recently, 2,3,4,9-tetrahydro-1</w:t>
      </w:r>
      <w:r w:rsidRPr="00EE76F7">
        <w:rPr>
          <w:rFonts w:cs="Times New Roman"/>
          <w:i/>
          <w:szCs w:val="24"/>
        </w:rPr>
        <w:t>H</w:t>
      </w:r>
      <w:r w:rsidRPr="00EE76F7">
        <w:rPr>
          <w:rFonts w:cs="Times New Roman"/>
          <w:szCs w:val="24"/>
        </w:rPr>
        <w:t xml:space="preserve">-carbazol-1-amines were shown to activate the CpxRA system by inhibiting the phosphatase activity of </w:t>
      </w:r>
      <w:proofErr w:type="spellStart"/>
      <w:r w:rsidRPr="00EE76F7">
        <w:rPr>
          <w:rFonts w:cs="Times New Roman"/>
          <w:szCs w:val="24"/>
        </w:rPr>
        <w:t>CpxA</w:t>
      </w:r>
      <w:proofErr w:type="spellEnd"/>
      <w:r w:rsidRPr="00EE76F7">
        <w:rPr>
          <w:rFonts w:cs="Times New Roman"/>
          <w:szCs w:val="24"/>
        </w:rPr>
        <w:t>.</w:t>
      </w:r>
      <w:r>
        <w:rPr>
          <w:rFonts w:cs="Times New Roman"/>
          <w:szCs w:val="24"/>
        </w:rPr>
        <w:t xml:space="preserve"> </w:t>
      </w:r>
      <w:r w:rsidRPr="003413EF">
        <w:rPr>
          <w:rFonts w:cs="Times New Roman"/>
          <w:b/>
          <w:bCs/>
          <w:szCs w:val="24"/>
        </w:rPr>
        <w:t>Chapter 1</w:t>
      </w:r>
      <w:r w:rsidRPr="00EE76F7">
        <w:rPr>
          <w:rFonts w:cs="Times New Roman"/>
          <w:szCs w:val="24"/>
        </w:rPr>
        <w:t xml:space="preserve"> </w:t>
      </w:r>
      <w:r>
        <w:rPr>
          <w:rFonts w:cs="Times New Roman"/>
          <w:szCs w:val="24"/>
        </w:rPr>
        <w:t xml:space="preserve">will </w:t>
      </w:r>
      <w:r w:rsidRPr="00EE76F7">
        <w:rPr>
          <w:rFonts w:cs="Times New Roman"/>
          <w:szCs w:val="24"/>
        </w:rPr>
        <w:t>report</w:t>
      </w:r>
      <w:r>
        <w:rPr>
          <w:rFonts w:cs="Times New Roman"/>
          <w:szCs w:val="24"/>
        </w:rPr>
        <w:t xml:space="preserve"> collaborative efforts on </w:t>
      </w:r>
      <w:r w:rsidRPr="00EE76F7">
        <w:rPr>
          <w:rFonts w:cs="Times New Roman"/>
          <w:szCs w:val="24"/>
        </w:rPr>
        <w:t>the initial structure-activity relationships of this scaffold by focusing on three approaches</w:t>
      </w:r>
      <w:r>
        <w:rPr>
          <w:rFonts w:cs="Times New Roman"/>
          <w:szCs w:val="24"/>
        </w:rPr>
        <w:t>:</w:t>
      </w:r>
      <w:r w:rsidRPr="00EE76F7">
        <w:rPr>
          <w:rFonts w:cs="Times New Roman"/>
          <w:szCs w:val="24"/>
        </w:rPr>
        <w:t xml:space="preserve"> </w:t>
      </w:r>
      <w:r w:rsidRPr="001648C7">
        <w:rPr>
          <w:rStyle w:val="Emphasis"/>
          <w:rFonts w:cs="Times New Roman"/>
          <w:i w:val="0"/>
          <w:iCs w:val="0"/>
          <w:color w:val="000000"/>
          <w:szCs w:val="24"/>
          <w:shd w:val="clear" w:color="auto" w:fill="FFFFFF"/>
        </w:rPr>
        <w:t>1) A-ring substitution, 2) B-ring deconstruction to provide N-arylated amino acid derivatives and 3) C-ring elimination to give 2-ethylamino substituted indoles</w:t>
      </w:r>
      <w:r w:rsidRPr="001648C7">
        <w:rPr>
          <w:rFonts w:cs="Times New Roman"/>
          <w:i/>
          <w:iCs/>
          <w:szCs w:val="24"/>
        </w:rPr>
        <w:t>.</w:t>
      </w:r>
      <w:r>
        <w:rPr>
          <w:rFonts w:cs="Times New Roman"/>
          <w:i/>
          <w:iCs/>
          <w:szCs w:val="24"/>
        </w:rPr>
        <w:t xml:space="preserve"> </w:t>
      </w:r>
      <w:r w:rsidRPr="00C53454">
        <w:rPr>
          <w:rFonts w:cs="Times New Roman"/>
          <w:szCs w:val="24"/>
        </w:rPr>
        <w:t>Th</w:t>
      </w:r>
      <w:r>
        <w:rPr>
          <w:rFonts w:cs="Times New Roman"/>
          <w:szCs w:val="24"/>
        </w:rPr>
        <w:t>is</w:t>
      </w:r>
      <w:r w:rsidRPr="00C53454">
        <w:rPr>
          <w:rFonts w:cs="Times New Roman"/>
          <w:szCs w:val="24"/>
        </w:rPr>
        <w:t xml:space="preserve"> </w:t>
      </w:r>
      <w:r>
        <w:rPr>
          <w:rFonts w:cs="Times New Roman"/>
          <w:szCs w:val="24"/>
        </w:rPr>
        <w:t>molecular deconstruction approach, outlined in</w:t>
      </w:r>
      <w:r w:rsidR="007B0CB1">
        <w:rPr>
          <w:rFonts w:cs="Times New Roman"/>
          <w:b/>
          <w:bCs/>
          <w:szCs w:val="24"/>
        </w:rPr>
        <w:t xml:space="preserve"> </w:t>
      </w:r>
      <w:r w:rsidR="007B0CB1" w:rsidRPr="007B0CB1">
        <w:rPr>
          <w:rFonts w:cs="Times New Roman"/>
          <w:b/>
          <w:bCs/>
          <w:szCs w:val="24"/>
        </w:rPr>
        <w:fldChar w:fldCharType="begin"/>
      </w:r>
      <w:r w:rsidR="007B0CB1" w:rsidRPr="007B0CB1">
        <w:rPr>
          <w:rFonts w:cs="Times New Roman"/>
          <w:b/>
          <w:bCs/>
          <w:szCs w:val="24"/>
        </w:rPr>
        <w:instrText xml:space="preserve"> REF _Ref100742414 \h  \* MERGEFORMAT </w:instrText>
      </w:r>
      <w:r w:rsidR="007B0CB1" w:rsidRPr="007B0CB1">
        <w:rPr>
          <w:rFonts w:cs="Times New Roman"/>
          <w:b/>
          <w:bCs/>
          <w:szCs w:val="24"/>
        </w:rPr>
      </w:r>
      <w:r w:rsidR="007B0CB1" w:rsidRPr="007B0CB1">
        <w:rPr>
          <w:rFonts w:cs="Times New Roman"/>
          <w:b/>
          <w:bCs/>
          <w:szCs w:val="24"/>
        </w:rPr>
        <w:fldChar w:fldCharType="separate"/>
      </w:r>
      <w:r w:rsidR="00AA5AAC" w:rsidRPr="00AA5AAC">
        <w:rPr>
          <w:b/>
          <w:bCs/>
        </w:rPr>
        <w:t>Figure 1.4</w:t>
      </w:r>
      <w:r w:rsidR="007B0CB1" w:rsidRPr="007B0CB1">
        <w:rPr>
          <w:rFonts w:cs="Times New Roman"/>
          <w:b/>
          <w:bCs/>
          <w:szCs w:val="24"/>
        </w:rPr>
        <w:fldChar w:fldCharType="end"/>
      </w:r>
      <w:r>
        <w:rPr>
          <w:rFonts w:cs="Times New Roman"/>
          <w:szCs w:val="24"/>
        </w:rPr>
        <w:t>, helped to identify a</w:t>
      </w:r>
      <w:r w:rsidRPr="00EE76F7">
        <w:rPr>
          <w:rFonts w:cs="Times New Roman"/>
          <w:szCs w:val="24"/>
        </w:rPr>
        <w:t xml:space="preserve"> new lead compound </w:t>
      </w:r>
      <w:r w:rsidR="00006D91" w:rsidRPr="00006D91">
        <w:rPr>
          <w:rFonts w:cs="Times New Roman"/>
          <w:b/>
          <w:bCs/>
          <w:szCs w:val="24"/>
        </w:rPr>
        <w:t>2.</w:t>
      </w:r>
      <w:r w:rsidRPr="00EE76F7">
        <w:rPr>
          <w:rFonts w:cs="Times New Roman"/>
          <w:b/>
          <w:szCs w:val="24"/>
        </w:rPr>
        <w:t>26</w:t>
      </w:r>
      <w:r w:rsidRPr="00EE76F7">
        <w:rPr>
          <w:rFonts w:cs="Times New Roman"/>
          <w:szCs w:val="24"/>
        </w:rPr>
        <w:t xml:space="preserve">, which manifests a ~30-fold improvement in </w:t>
      </w:r>
      <w:proofErr w:type="spellStart"/>
      <w:r w:rsidRPr="00EE76F7">
        <w:rPr>
          <w:rFonts w:cs="Times New Roman"/>
          <w:szCs w:val="24"/>
        </w:rPr>
        <w:t>CpxA</w:t>
      </w:r>
      <w:proofErr w:type="spellEnd"/>
      <w:r w:rsidRPr="00EE76F7">
        <w:rPr>
          <w:rFonts w:cs="Times New Roman"/>
          <w:szCs w:val="24"/>
        </w:rPr>
        <w:t xml:space="preserve"> phosphatase inhibition over the initial hit</w:t>
      </w:r>
      <w:r>
        <w:rPr>
          <w:rFonts w:cs="Times New Roman"/>
          <w:szCs w:val="24"/>
        </w:rPr>
        <w:t xml:space="preserve">, compound </w:t>
      </w:r>
      <w:r w:rsidR="00006D91" w:rsidRPr="00006D91">
        <w:rPr>
          <w:rFonts w:cs="Times New Roman"/>
          <w:b/>
          <w:bCs/>
          <w:szCs w:val="24"/>
        </w:rPr>
        <w:t>2.</w:t>
      </w:r>
      <w:r w:rsidRPr="00C53454">
        <w:rPr>
          <w:rFonts w:cs="Times New Roman"/>
          <w:b/>
          <w:bCs/>
          <w:szCs w:val="24"/>
        </w:rPr>
        <w:t>1</w:t>
      </w:r>
      <w:r w:rsidRPr="00EE76F7">
        <w:rPr>
          <w:rFonts w:cs="Times New Roman"/>
          <w:szCs w:val="24"/>
        </w:rPr>
        <w:t>.</w:t>
      </w:r>
      <w:r>
        <w:rPr>
          <w:rFonts w:cs="Times New Roman"/>
          <w:szCs w:val="24"/>
        </w:rPr>
        <w:t xml:space="preserve"> The activity of </w:t>
      </w:r>
      <w:r w:rsidR="00006D91" w:rsidRPr="00006D91">
        <w:rPr>
          <w:rFonts w:cs="Times New Roman"/>
          <w:b/>
          <w:bCs/>
          <w:szCs w:val="24"/>
        </w:rPr>
        <w:t>2.</w:t>
      </w:r>
      <w:r w:rsidRPr="00AC74D8">
        <w:rPr>
          <w:rFonts w:cs="Times New Roman"/>
          <w:b/>
          <w:bCs/>
          <w:szCs w:val="24"/>
        </w:rPr>
        <w:t>26</w:t>
      </w:r>
      <w:r>
        <w:rPr>
          <w:rFonts w:cs="Times New Roman"/>
          <w:szCs w:val="24"/>
        </w:rPr>
        <w:t xml:space="preserve"> was assessed in mouse UTI models for its ability to alter UPEC cell fitness in the urine, bladder, and kidneys. Genetic- versus chemo-modulation of the CpxRA 2CSTS was assessed with bacterial cell assays, human urine samples, and proteomics analysis. This work provides useful structure-activity relationships and a foundation for which to advance the </w:t>
      </w:r>
      <w:proofErr w:type="spellStart"/>
      <w:r>
        <w:rPr>
          <w:rFonts w:cs="Times New Roman"/>
          <w:szCs w:val="24"/>
        </w:rPr>
        <w:lastRenderedPageBreak/>
        <w:t>ca</w:t>
      </w:r>
      <w:r w:rsidR="0048314B">
        <w:rPr>
          <w:rFonts w:cs="Times New Roman"/>
          <w:szCs w:val="24"/>
        </w:rPr>
        <w:t>r</w:t>
      </w:r>
      <w:r>
        <w:rPr>
          <w:rFonts w:cs="Times New Roman"/>
          <w:szCs w:val="24"/>
        </w:rPr>
        <w:t>bazolamine</w:t>
      </w:r>
      <w:proofErr w:type="spellEnd"/>
      <w:r>
        <w:rPr>
          <w:rFonts w:cs="Times New Roman"/>
          <w:szCs w:val="24"/>
        </w:rPr>
        <w:t xml:space="preserve"> tools towards uncovering new biology and further understanding the biological significance and therapeutic potential of CpxRA and 2CSTS in general. </w:t>
      </w:r>
    </w:p>
    <w:p w14:paraId="33B8A35C" w14:textId="77777777" w:rsidR="000F7094" w:rsidRDefault="000F7094" w:rsidP="000F7094">
      <w:pPr>
        <w:spacing w:after="0"/>
        <w:rPr>
          <w:rFonts w:cs="Times New Roman"/>
          <w:szCs w:val="24"/>
        </w:rPr>
      </w:pPr>
      <w:r w:rsidRPr="00ED1B50">
        <w:rPr>
          <w:noProof/>
        </w:rPr>
        <mc:AlternateContent>
          <mc:Choice Requires="wps">
            <w:drawing>
              <wp:inline distT="0" distB="0" distL="0" distR="0" wp14:anchorId="4B2369F2" wp14:editId="1191B578">
                <wp:extent cx="5943600" cy="3896139"/>
                <wp:effectExtent l="0" t="0" r="19050" b="28575"/>
                <wp:docPr id="28" name="Text Box 2" descr="Structural evolution towards lead compound.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896139"/>
                        </a:xfrm>
                        <a:prstGeom prst="rect">
                          <a:avLst/>
                        </a:prstGeom>
                        <a:solidFill>
                          <a:srgbClr val="FFFFFF"/>
                        </a:solidFill>
                        <a:ln w="9525">
                          <a:solidFill>
                            <a:srgbClr val="000000"/>
                          </a:solidFill>
                          <a:miter lim="800000"/>
                          <a:headEnd/>
                          <a:tailEnd/>
                        </a:ln>
                      </wps:spPr>
                      <wps:txbx>
                        <w:txbxContent>
                          <w:p w14:paraId="504547D0" w14:textId="04AA902B" w:rsidR="000F7094" w:rsidRDefault="00006D91" w:rsidP="000F7094">
                            <w:pPr>
                              <w:keepNext/>
                              <w:spacing w:after="0"/>
                              <w:jc w:val="center"/>
                            </w:pPr>
                            <w:r>
                              <w:rPr>
                                <w:noProof/>
                              </w:rPr>
                              <w:drawing>
                                <wp:inline distT="0" distB="0" distL="0" distR="0" wp14:anchorId="1E697613" wp14:editId="6F986D48">
                                  <wp:extent cx="5751830" cy="3395980"/>
                                  <wp:effectExtent l="0" t="0" r="1270" b="0"/>
                                  <wp:docPr id="2" name="Picture 2" descr="Structural evolution towards lead comp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ructural evolution towards lead compound. "/>
                                          <pic:cNvPicPr/>
                                        </pic:nvPicPr>
                                        <pic:blipFill>
                                          <a:blip r:embed="rId71">
                                            <a:extLst>
                                              <a:ext uri="{28A0092B-C50C-407E-A947-70E740481C1C}">
                                                <a14:useLocalDpi xmlns:a14="http://schemas.microsoft.com/office/drawing/2010/main" val="0"/>
                                              </a:ext>
                                            </a:extLst>
                                          </a:blip>
                                          <a:stretch>
                                            <a:fillRect/>
                                          </a:stretch>
                                        </pic:blipFill>
                                        <pic:spPr>
                                          <a:xfrm>
                                            <a:off x="0" y="0"/>
                                            <a:ext cx="5751830" cy="3395980"/>
                                          </a:xfrm>
                                          <a:prstGeom prst="rect">
                                            <a:avLst/>
                                          </a:prstGeom>
                                        </pic:spPr>
                                      </pic:pic>
                                    </a:graphicData>
                                  </a:graphic>
                                </wp:inline>
                              </w:drawing>
                            </w:r>
                          </w:p>
                          <w:p w14:paraId="0CE0D952" w14:textId="3FD1906D" w:rsidR="000F7094" w:rsidRDefault="000F7094" w:rsidP="00DF51F5">
                            <w:pPr>
                              <w:pStyle w:val="Caption"/>
                            </w:pPr>
                            <w:bookmarkStart w:id="28" w:name="_Ref100742414"/>
                            <w:bookmarkStart w:id="29" w:name="_Toc100243232"/>
                            <w:bookmarkStart w:id="30" w:name="_Toc100748285"/>
                            <w:r>
                              <w:t>Figure 1.</w:t>
                            </w:r>
                            <w:fldSimple w:instr=" SEQ Figure \* ARABIC ">
                              <w:r w:rsidR="00AA5AAC">
                                <w:rPr>
                                  <w:noProof/>
                                </w:rPr>
                                <w:t>4</w:t>
                              </w:r>
                            </w:fldSimple>
                            <w:bookmarkEnd w:id="28"/>
                            <w:r>
                              <w:t>. Structural evolution towards lead compound.</w:t>
                            </w:r>
                            <w:bookmarkEnd w:id="29"/>
                            <w:bookmarkEnd w:id="30"/>
                            <w:r>
                              <w:t xml:space="preserve"> </w:t>
                            </w:r>
                          </w:p>
                          <w:p w14:paraId="28FDE1B4" w14:textId="77777777" w:rsidR="000F7094" w:rsidRDefault="000F7094" w:rsidP="000F7094"/>
                        </w:txbxContent>
                      </wps:txbx>
                      <wps:bodyPr rot="0" vert="horz" wrap="square" lIns="91440" tIns="45720" rIns="91440" bIns="45720" anchor="t" anchorCtr="0">
                        <a:noAutofit/>
                      </wps:bodyPr>
                    </wps:wsp>
                  </a:graphicData>
                </a:graphic>
              </wp:inline>
            </w:drawing>
          </mc:Choice>
          <mc:Fallback>
            <w:pict>
              <v:shape w14:anchorId="4B2369F2" id="_x0000_s1029" type="#_x0000_t202" alt="Structural evolution towards lead compound. " style="width:468pt;height:30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">
                <v:textbox>
                  <w:txbxContent>
                    <w:p w14:paraId="504547D0" w14:textId="04AA902B" w:rsidR="000F7094" w:rsidRDefault="00006D91" w:rsidP="000F7094">
                      <w:pPr>
                        <w:keepNext/>
                        <w:spacing w:after="0"/>
                        <w:jc w:val="center"/>
                      </w:pPr>
                      <w:r>
                        <w:rPr>
                          <w:noProof/>
                        </w:rPr>
                        <w:drawing>
                          <wp:inline distT="0" distB="0" distL="0" distR="0" wp14:anchorId="1E697613" wp14:editId="6F986D48">
                            <wp:extent cx="5751830" cy="3395980"/>
                            <wp:effectExtent l="0" t="0" r="1270" b="0"/>
                            <wp:docPr id="2" name="Picture 2" descr="Structural evolution towards lead comp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ructural evolution towards lead compound. "/>
                                    <pic:cNvPicPr/>
                                  </pic:nvPicPr>
                                  <pic:blipFill>
                                    <a:blip r:embed="rId71">
                                      <a:extLst>
                                        <a:ext uri="{28A0092B-C50C-407E-A947-70E740481C1C}">
                                          <a14:useLocalDpi xmlns:a14="http://schemas.microsoft.com/office/drawing/2010/main" val="0"/>
                                        </a:ext>
                                      </a:extLst>
                                    </a:blip>
                                    <a:stretch>
                                      <a:fillRect/>
                                    </a:stretch>
                                  </pic:blipFill>
                                  <pic:spPr>
                                    <a:xfrm>
                                      <a:off x="0" y="0"/>
                                      <a:ext cx="5751830" cy="3395980"/>
                                    </a:xfrm>
                                    <a:prstGeom prst="rect">
                                      <a:avLst/>
                                    </a:prstGeom>
                                  </pic:spPr>
                                </pic:pic>
                              </a:graphicData>
                            </a:graphic>
                          </wp:inline>
                        </w:drawing>
                      </w:r>
                    </w:p>
                    <w:p w14:paraId="0CE0D952" w14:textId="3FD1906D" w:rsidR="000F7094" w:rsidRDefault="000F7094" w:rsidP="00DF51F5">
                      <w:pPr>
                        <w:pStyle w:val="Caption"/>
                      </w:pPr>
                      <w:bookmarkStart w:id="31" w:name="_Ref100742414"/>
                      <w:bookmarkStart w:id="32" w:name="_Toc100243232"/>
                      <w:bookmarkStart w:id="33" w:name="_Toc100748285"/>
                      <w:r>
                        <w:t>Figure 1.</w:t>
                      </w:r>
                      <w:fldSimple w:instr=" SEQ Figure \* ARABIC ">
                        <w:r w:rsidR="00AA5AAC">
                          <w:rPr>
                            <w:noProof/>
                          </w:rPr>
                          <w:t>4</w:t>
                        </w:r>
                      </w:fldSimple>
                      <w:bookmarkEnd w:id="31"/>
                      <w:r>
                        <w:t>. Structural evolution towards lead compound.</w:t>
                      </w:r>
                      <w:bookmarkEnd w:id="32"/>
                      <w:bookmarkEnd w:id="33"/>
                      <w:r>
                        <w:t xml:space="preserve"> </w:t>
                      </w:r>
                    </w:p>
                    <w:p w14:paraId="28FDE1B4" w14:textId="77777777" w:rsidR="000F7094" w:rsidRDefault="000F7094" w:rsidP="000F7094"/>
                  </w:txbxContent>
                </v:textbox>
                <w10:anchorlock/>
              </v:shape>
            </w:pict>
          </mc:Fallback>
        </mc:AlternateContent>
      </w:r>
    </w:p>
    <w:p w14:paraId="4D5FD04C" w14:textId="77777777" w:rsidR="000F7094" w:rsidRDefault="000F7094" w:rsidP="000F7094">
      <w:pPr>
        <w:ind w:firstLine="720"/>
        <w:rPr>
          <w:rFonts w:cs="Times New Roman"/>
          <w:szCs w:val="24"/>
        </w:rPr>
      </w:pPr>
    </w:p>
    <w:p w14:paraId="6FC6BF36" w14:textId="77777777" w:rsidR="000F7094" w:rsidRPr="003E5113" w:rsidRDefault="000F7094" w:rsidP="000F7094">
      <w:pPr>
        <w:pStyle w:val="Section"/>
      </w:pPr>
      <w:bookmarkStart w:id="34" w:name="_Toc100241875"/>
      <w:bookmarkStart w:id="35" w:name="_Toc102586239"/>
      <w:r w:rsidRPr="003E5113">
        <w:t>1.</w:t>
      </w:r>
      <w:r>
        <w:t>2</w:t>
      </w:r>
      <w:r w:rsidRPr="003E5113">
        <w:t xml:space="preserve"> </w:t>
      </w:r>
      <w:r>
        <w:t xml:space="preserve">Natural product total synthesis and </w:t>
      </w:r>
      <w:r w:rsidRPr="009F53B9">
        <w:rPr>
          <w:i/>
          <w:iCs/>
        </w:rPr>
        <w:t>Picrasma</w:t>
      </w:r>
      <w:r>
        <w:t xml:space="preserve"> alkaloids</w:t>
      </w:r>
      <w:bookmarkEnd w:id="34"/>
      <w:bookmarkEnd w:id="35"/>
    </w:p>
    <w:p w14:paraId="36A25F06" w14:textId="07B6E085" w:rsidR="000F7094" w:rsidRPr="003E5113" w:rsidRDefault="000F7094" w:rsidP="000F7094">
      <w:pPr>
        <w:pStyle w:val="Subsection"/>
      </w:pPr>
      <w:bookmarkStart w:id="36" w:name="_Toc100241876"/>
      <w:bookmarkStart w:id="37" w:name="_Toc102586240"/>
      <w:r w:rsidRPr="003E5113">
        <w:t>1.</w:t>
      </w:r>
      <w:r>
        <w:t>2</w:t>
      </w:r>
      <w:r w:rsidRPr="003E5113">
        <w:t>.</w:t>
      </w:r>
      <w:r>
        <w:t>1</w:t>
      </w:r>
      <w:r w:rsidRPr="003E5113">
        <w:t xml:space="preserve"> </w:t>
      </w:r>
      <w:r>
        <w:t>Natural products and the u</w:t>
      </w:r>
      <w:r w:rsidRPr="003E5113">
        <w:t>tility of total synthesis</w:t>
      </w:r>
      <w:bookmarkEnd w:id="36"/>
      <w:r w:rsidR="00FD20B7">
        <w:t>.</w:t>
      </w:r>
      <w:bookmarkEnd w:id="37"/>
    </w:p>
    <w:p w14:paraId="67F99DD9" w14:textId="77777777" w:rsidR="001E7DE2" w:rsidRDefault="000F7094" w:rsidP="001E7DE2">
      <w:pPr>
        <w:ind w:firstLine="720"/>
        <w:rPr>
          <w:rFonts w:cs="Times New Roman"/>
          <w:szCs w:val="24"/>
        </w:rPr>
      </w:pPr>
      <w:r>
        <w:rPr>
          <w:rFonts w:cs="Times New Roman"/>
          <w:szCs w:val="24"/>
        </w:rPr>
        <w:t>Natural products and their synthetic analogs have been a consistent source of new therapeutics to treat a number of ailments and diseases. Historically, natural products have played a key role in drug discovery,</w:t>
      </w:r>
      <w:r>
        <w:rPr>
          <w:rFonts w:cs="Times New Roman"/>
          <w:szCs w:val="24"/>
        </w:rPr>
        <w:fldChar w:fldCharType="begin"/>
      </w:r>
      <w:r>
        <w:rPr>
          <w:rFonts w:cs="Times New Roman"/>
          <w:szCs w:val="24"/>
        </w:rPr>
        <w:instrText xml:space="preserve"> ADDIN ZOTERO_ITEM CSL_CITATION {"citationID":"3d1Oc2Fq","properties":{"formattedCitation":"\\super 16\\nosupersub{}","plainCitation":"16","noteIndex":0},"citationItems":[{"id":578,"uris":["http://zotero.org/users/6503767/items/DMTIB5U4"],"itemData":{"id":578,"type":"article-journal","abstract":"Natural products and their structural analogues have historically made a major contribution to pharmacotherapy, especially for cancer and infectious diseases. Nevertheless, natural products also present challenges for drug discovery, such as technical barriers to screening, isolation, characterization and optimization, which contributed to a decline in their pursuit by the pharmaceutical industry from the 1990s onwards. In recent years, several technological and scientific developments — including improved analytical tools, genome mining and engineering strategies, and microbial culturing advances — are addressing such challenges and opening up new opportunities. Consequently, interest in natural products as drug leads is being revitalized, particularly for tackling antimicrobial resistance. Here, we summarize recent technological developments that are enabling natural product-based drug discovery, highlight selected applications and discuss key opportunities.","container-title":"Nature Reviews Drug Discovery","DOI":"10.1038/s41573-020-00114-z","ISSN":"1474-1784","issue":"3","journalAbbreviation":"Nat Rev Drug Discov","language":"en","note":"number: 3\npublisher: Nature Publishing Group","page":"200-216","source":"www.nature.com","title":"Natural products in drug discovery: advances and opportunities","title-short":"Natural products in drug discovery","volume":"20","author":[{"family":"Atanasov","given":"Atanas G."},{"family":"Zotchev","given":"Sergey B."},{"family":"Dirsch","given":"Verena M."},{"family":"Supuran","given":"Claudiu T."}],"issued":{"date-parts":[["2021",3]]}}}],"schema":"https://github.com/citation-style-language/schema/raw/master/csl-citation.json"} </w:instrText>
      </w:r>
      <w:r>
        <w:rPr>
          <w:rFonts w:cs="Times New Roman"/>
          <w:szCs w:val="24"/>
        </w:rPr>
        <w:fldChar w:fldCharType="separate"/>
      </w:r>
      <w:r w:rsidRPr="00D70EAB">
        <w:rPr>
          <w:rFonts w:cs="Times New Roman"/>
          <w:szCs w:val="24"/>
          <w:vertAlign w:val="superscript"/>
        </w:rPr>
        <w:t>16</w:t>
      </w:r>
      <w:r>
        <w:rPr>
          <w:rFonts w:cs="Times New Roman"/>
          <w:szCs w:val="24"/>
        </w:rPr>
        <w:fldChar w:fldCharType="end"/>
      </w:r>
      <w:r>
        <w:rPr>
          <w:rFonts w:cs="Times New Roman"/>
          <w:szCs w:val="24"/>
        </w:rPr>
        <w:t xml:space="preserve"> especially for cancer and infectious diseases,</w:t>
      </w:r>
      <w:r>
        <w:rPr>
          <w:rFonts w:cs="Times New Roman"/>
          <w:szCs w:val="24"/>
        </w:rPr>
        <w:fldChar w:fldCharType="begin"/>
      </w:r>
      <w:r>
        <w:rPr>
          <w:rFonts w:cs="Times New Roman"/>
          <w:szCs w:val="24"/>
        </w:rPr>
        <w:instrText xml:space="preserve"> ADDIN ZOTERO_ITEM CSL_CITATION {"citationID":"lfC85wjR","properties":{"formattedCitation":"\\super 17\\nosupersub{}","plainCitation":"17","noteIndex":0},"citationItems":[{"id":571,"uris":["http://zotero.org/users/6503767/items/VUUXU73H"],"itemData":{"id":571,"type":"article-journal","abstract":"This contribution is a completely updated and expanded version of the four prior analogous reviews that were published in this journal in 1997, 2003, 2007, and 2012. In the case of all approved therapeutic agents, the time frame has been extended to cover the 34 years from January 1, 1981, to December 31, 2014, for all diseases worldwide, and from 1950 (earliest so far identified) to December 2014 for all approved antitumor drugs worldwide. As mentioned in the 2012 review, we have continued to utilize our secondary subdivision of a \"natural product mimic\", or \"NM\", to join the original primary divisions and the designation \"natural product botanical\", or \"NB\", to cover those botanical \"defined mixtures\" now recognized as drug entities by the U.S. FDA (and similar organizations). From the data presented in this review, the utilization of natural products and/or their novel structures, in order to discover and develop the final drug entity, is still alive and well. For example, in the area of cancer, over the time frame from around the 1940s to the end of 2014, of the 175 small molecules approved, 131, or 75%, are other than \"S\" (synthetic), with 85, or 49%, actually being either natural products or directly derived therefrom. In other areas, the influence of natural product structures is quite marked, with, as expected from prior information, the anti-infective area being dependent on natural products and their structures. We wish to draw the attention of readers to the rapidly evolving recognition that a significant number of natural product drugs/leads are actually produced by microbes and/or microbial interactions with the \"host from whence it was isolated\", and therefore it is considered that this area of natural product research should be expanded significantly.","container-title":"Journal of Natural Products","DOI":"10.1021/acs.jnatprod.5b01055","ISSN":"1520-6025","issue":"3","journalAbbreviation":"J Nat Prod","language":"eng","note":"PMID: 26852623","page":"629-661","source":"PubMed","title":"Natural Products as Sources of New Drugs from 1981 to 2014","volume":"79","author":[{"family":"Newman","given":"David J."},{"family":"Cragg","given":"Gordon M."}],"issued":{"date-parts":[["2016",3,25]]}}}],"schema":"https://github.com/citation-style-language/schema/raw/master/csl-citation.json"} </w:instrText>
      </w:r>
      <w:r>
        <w:rPr>
          <w:rFonts w:cs="Times New Roman"/>
          <w:szCs w:val="24"/>
        </w:rPr>
        <w:fldChar w:fldCharType="separate"/>
      </w:r>
      <w:r w:rsidRPr="00D70EAB">
        <w:rPr>
          <w:rFonts w:cs="Times New Roman"/>
          <w:szCs w:val="24"/>
          <w:vertAlign w:val="superscript"/>
        </w:rPr>
        <w:t>17</w:t>
      </w:r>
      <w:r>
        <w:rPr>
          <w:rFonts w:cs="Times New Roman"/>
          <w:szCs w:val="24"/>
        </w:rPr>
        <w:fldChar w:fldCharType="end"/>
      </w:r>
      <w:r>
        <w:rPr>
          <w:rFonts w:cs="Times New Roman"/>
          <w:szCs w:val="24"/>
        </w:rPr>
        <w:t xml:space="preserve"> but also in other therapeutic areas, such as cardiovascular and metabolic disorders.</w:t>
      </w:r>
      <w:r>
        <w:rPr>
          <w:rFonts w:cs="Times New Roman"/>
          <w:szCs w:val="24"/>
        </w:rPr>
        <w:fldChar w:fldCharType="begin"/>
      </w:r>
      <w:r>
        <w:rPr>
          <w:rFonts w:cs="Times New Roman"/>
          <w:szCs w:val="24"/>
        </w:rPr>
        <w:instrText xml:space="preserve"> ADDIN ZOTERO_ITEM CSL_CITATION {"citationID":"PjYkMwMP","properties":{"formattedCitation":"\\super 18\\nosupersub{}","plainCitation":"18","noteIndex":0},"citationItems":[{"id":573,"uris":["http://zotero.org/users/6503767/items/RDS2PTL6"],"itemData":{"id":573,"type":"article-journal","abstract":"Natural products have always been exploited to promote health and served as a valuable source for the discovery of new drugs. In this review, the great potential of natural compounds and medicinal plants for the treatment or prevention of cardiovascular and metabolic disorders, global health problems with rising prevalence, is addressed. Special emphasis is laid on natural products for which efficacy and safety have already been proven and which are in clinical trials, as well as on plants used in traditional medicine. Potential benefits from certain dietary habits and dietary constituents, as well as common molecular targets of natural products, are also briefly discussed. A glimpse at the history of statins and biguanides, two prominent representatives of natural products (or their derivatives) in the fight against metabolic disease, is also included. The present review aims to serve as an “opening” of this special issue of Molecules, presenting key historical developments, recent advances, and future perspectives outlining the potential of natural products for prevention or therapy of cardiovascular and metabolic disease.","container-title":"Molecules","DOI":"10.3390/molecules21060807","ISSN":"1420-3049","issue":"6","journalAbbreviation":"Molecules","note":"PMID: 27338339\nPMCID: PMC4928700","page":"807","source":"PubMed Central","title":"Natural Products to Counteract the Epidemic of Cardiovascular and Metabolic Disorders","volume":"21","author":[{"family":"Waltenberger","given":"Birgit"},{"family":"Mocan","given":"Andrei"},{"family":"Šmejkal","given":"Karel"},{"family":"Heiss","given":"Elke H."},{"family":"Atanasov","given":"Atanas G."}],"issued":{"date-parts":[["2016",6,22]]}}}],"schema":"https://github.com/citation-style-language/schema/raw/master/csl-citation.json"} </w:instrText>
      </w:r>
      <w:r>
        <w:rPr>
          <w:rFonts w:cs="Times New Roman"/>
          <w:szCs w:val="24"/>
        </w:rPr>
        <w:fldChar w:fldCharType="separate"/>
      </w:r>
      <w:r w:rsidRPr="00D70EAB">
        <w:rPr>
          <w:rFonts w:cs="Times New Roman"/>
          <w:szCs w:val="24"/>
          <w:vertAlign w:val="superscript"/>
        </w:rPr>
        <w:t>18</w:t>
      </w:r>
      <w:r>
        <w:rPr>
          <w:rFonts w:cs="Times New Roman"/>
          <w:szCs w:val="24"/>
        </w:rPr>
        <w:fldChar w:fldCharType="end"/>
      </w:r>
      <w:r>
        <w:rPr>
          <w:rFonts w:cs="Times New Roman"/>
          <w:szCs w:val="24"/>
        </w:rPr>
        <w:t xml:space="preserve"> The original written records on medicinal applications of natural sources date back thousands of years. For example, in 2600 BC the sophisticated medical system of Mesopotamia listed ~1,000 plant-derived medicines, the </w:t>
      </w:r>
      <w:r>
        <w:rPr>
          <w:rFonts w:cs="Times New Roman"/>
          <w:szCs w:val="24"/>
        </w:rPr>
        <w:lastRenderedPageBreak/>
        <w:t>most preserved record of Egyptian medicine is the “Ebers Papyrus” from about 1550 BC, and traditional Chinese medicine has been extensively documented over thousands of years.</w:t>
      </w:r>
      <w:r>
        <w:rPr>
          <w:rFonts w:cs="Times New Roman"/>
          <w:szCs w:val="24"/>
        </w:rPr>
        <w:fldChar w:fldCharType="begin"/>
      </w:r>
      <w:r>
        <w:rPr>
          <w:rFonts w:cs="Times New Roman"/>
          <w:szCs w:val="24"/>
        </w:rPr>
        <w:instrText xml:space="preserve"> ADDIN ZOTERO_ITEM CSL_CITATION {"citationID":"2bJvEj05","properties":{"formattedCitation":"\\super 19\\nosupersub{}","plainCitation":"19","noteIndex":0},"citationItems":[{"id":569,"uris":["http://zotero.org/users/6503767/items/9QJQMEX6"],"itemData":{"id":569,"type":"article-journal","abstract":"Medicinal plants have historically proven their value as a source of molecules with therapeutic potential, and nowadays still represent an important pool for the identification of novel drug leads. In the past decades, pharmaceutical industry focused mainly on libraries of synthetic compounds as drug discovery source. They are comparably easy to produce and resupply, and demonstrate good compatibility with established high throughput screening (HTS) platforms. However, at the same time there has been a declining trend in the number of new drugs reaching the market, raising renewed scientific interest in drug discovery from natural sources, despite of its known challenges. In this survey, a brief outline of historical development is provided together with a comprehensive overview of used approaches and recent developments relevant to plant-derived natural product drug discovery. Associated challenges and major strengths of natural product-based drug discovery are critically discussed. A snapshot of the advanced plant-derived natural products that are currently in actively recruiting clinical trials is also presented. Importantly, the transition of a natural compound from a \"screening hit\" through a \"drug lead\" to a \"marketed drug\" is associated with increasingly challenging demands for compound amount, which often cannot be met by re-isolation from the respective plant sources. In this regard, existing alternatives for resupply are also discussed, including different biotechnology approaches and total organic synthesis. While the intrinsic complexity of natural product-based drug discovery necessitates highly integrated interdisciplinary approaches, the reviewed scientific developments, recent technological advances, and research trends clearly indicate that natural products will be among the most important sources of new drugs also in the future.","container-title":"Biotechnology Advances","DOI":"10.1016/j.biotechadv.2015.08.001","ISSN":"1873-1899","issue":"8","journalAbbreviation":"Biotechnol Adv","language":"eng","note":"PMID: 26281720\nPMCID: PMC4748402","page":"1582-1614","source":"PubMed","title":"Discovery and resupply of pharmacologically active plant-derived natural products: A review","title-short":"Discovery and resupply of pharmacologically active plant-derived natural products","volume":"33","author":[{"family":"Atanasov","given":"Atanas G."},{"family":"Waltenberger","given":"Birgit"},{"family":"Pferschy-Wenzig","given":"Eva-Maria"},{"family":"Linder","given":"Thomas"},{"family":"Wawrosch","given":"Christoph"},{"family":"Uhrin","given":"Pavel"},{"family":"Temml","given":"Veronika"},{"family":"Wang","given":"Limei"},{"family":"Schwaiger","given":"Stefan"},{"family":"Heiss","given":"Elke H."},{"family":"Rollinger","given":"Judith M."},{"family":"Schuster","given":"Daniela"},{"family":"Breuss","given":"Johannes M."},{"family":"Bochkov","given":"Valery"},{"family":"Mihovilovic","given":"Marko D."},{"family":"Kopp","given":"Brigitte"},{"family":"Bauer","given":"Rudolf"},{"family":"Dirsch","given":"Verena M."},{"family":"Stuppner","given":"Hermann"}],"issued":{"date-parts":[["2015",12]]}}}],"schema":"https://github.com/citation-style-language/schema/raw/master/csl-citation.json"} </w:instrText>
      </w:r>
      <w:r>
        <w:rPr>
          <w:rFonts w:cs="Times New Roman"/>
          <w:szCs w:val="24"/>
        </w:rPr>
        <w:fldChar w:fldCharType="separate"/>
      </w:r>
      <w:r w:rsidRPr="00731548">
        <w:rPr>
          <w:rFonts w:cs="Times New Roman"/>
          <w:szCs w:val="24"/>
          <w:vertAlign w:val="superscript"/>
        </w:rPr>
        <w:t>19</w:t>
      </w:r>
      <w:r>
        <w:rPr>
          <w:rFonts w:cs="Times New Roman"/>
          <w:szCs w:val="24"/>
        </w:rPr>
        <w:fldChar w:fldCharType="end"/>
      </w:r>
      <w:r>
        <w:rPr>
          <w:rFonts w:cs="Times New Roman"/>
          <w:szCs w:val="24"/>
        </w:rPr>
        <w:t xml:space="preserve"> </w:t>
      </w:r>
    </w:p>
    <w:p w14:paraId="0E242BF2" w14:textId="0CD4CAA6" w:rsidR="000F7094" w:rsidRDefault="000F7094" w:rsidP="001E7DE2">
      <w:pPr>
        <w:ind w:firstLine="720"/>
        <w:rPr>
          <w:rFonts w:cs="Times New Roman"/>
          <w:szCs w:val="24"/>
        </w:rPr>
      </w:pPr>
      <w:r>
        <w:rPr>
          <w:rFonts w:cs="Times New Roman"/>
          <w:szCs w:val="24"/>
        </w:rPr>
        <w:t>Medicinal plants used in those ancient times were only applied on an empirical basis, since knowledge of pharmacological activities and mechanisms of their active constituents were nonexistent. Fortunately, isolation techniques, chemical synthesis methodology, and mechanistic studies have since evolved tremendously to allow for significant drug discovery advancements.</w:t>
      </w:r>
      <w:r w:rsidR="001E7DE2">
        <w:rPr>
          <w:rFonts w:cs="Times New Roman"/>
          <w:szCs w:val="24"/>
        </w:rPr>
        <w:t xml:space="preserve"> For instance,</w:t>
      </w:r>
      <w:r>
        <w:rPr>
          <w:rFonts w:cs="Times New Roman"/>
          <w:szCs w:val="24"/>
        </w:rPr>
        <w:t xml:space="preserve"> </w:t>
      </w:r>
      <w:r w:rsidR="001E7DE2">
        <w:rPr>
          <w:rFonts w:cs="Times New Roman"/>
          <w:szCs w:val="24"/>
        </w:rPr>
        <w:t xml:space="preserve">a German apothecary assistant, Friedrich </w:t>
      </w:r>
      <w:proofErr w:type="spellStart"/>
      <w:r w:rsidR="001E7DE2">
        <w:rPr>
          <w:rFonts w:cs="Times New Roman"/>
          <w:szCs w:val="24"/>
        </w:rPr>
        <w:t>Sertürner</w:t>
      </w:r>
      <w:proofErr w:type="spellEnd"/>
      <w:r w:rsidR="001E7DE2">
        <w:rPr>
          <w:rFonts w:cs="Times New Roman"/>
          <w:szCs w:val="24"/>
        </w:rPr>
        <w:t xml:space="preserve">, succeeded in isolating morphine from opium as early as 1817. </w:t>
      </w:r>
      <w:proofErr w:type="spellStart"/>
      <w:r w:rsidR="001E7DE2">
        <w:rPr>
          <w:rFonts w:cs="Times New Roman"/>
          <w:szCs w:val="24"/>
        </w:rPr>
        <w:t>Sertürner</w:t>
      </w:r>
      <w:proofErr w:type="spellEnd"/>
      <w:r w:rsidR="001E7DE2">
        <w:rPr>
          <w:rFonts w:cs="Times New Roman"/>
          <w:szCs w:val="24"/>
        </w:rPr>
        <w:t xml:space="preserve"> published a comprehensive paper on morphine’s isolation, crystallization, crystal structure, and pharmacological properties (first studied in stray dogs and then self-experiments).</w:t>
      </w:r>
      <w:r>
        <w:rPr>
          <w:rFonts w:cs="Times New Roman"/>
          <w:szCs w:val="24"/>
        </w:rPr>
        <w:fldChar w:fldCharType="begin"/>
      </w:r>
      <w:r>
        <w:rPr>
          <w:rFonts w:cs="Times New Roman"/>
          <w:szCs w:val="24"/>
        </w:rPr>
        <w:instrText xml:space="preserve"> ADDIN ZOTERO_ITEM CSL_CITATION {"citationID":"xyxQujCj","properties":{"formattedCitation":"\\super 20\\nosupersub{}","plainCitation":"20","noteIndex":0},"citationItems":[{"id":584,"uris":["http://zotero.org/users/6503767/items/9AQXZ7DZ"],"itemData":{"id":584,"type":"article-journal","container-title":"Annalen der Physik","DOI":"10.1002/andp.18170550104","ISSN":"1521-3889","issue":"1","language":"en","note":"_eprint: https://onlinelibrary.wiley.com/doi/pdf/10.1002/andp.18170550104","page":"56-89","source":"Wiley Online Library","title":"Ueber das Morphium, eine neue salzfähige Grundlage, und die Mekonsäure, als Hauptbestandtheile des Opiums","volume":"55","author":[{"literal":"Sertuerner"}],"issued":{"date-parts":[["1817"]]}}}],"schema":"https://github.com/citation-style-language/schema/raw/master/csl-citation.json"} </w:instrText>
      </w:r>
      <w:r>
        <w:rPr>
          <w:rFonts w:cs="Times New Roman"/>
          <w:szCs w:val="24"/>
        </w:rPr>
        <w:fldChar w:fldCharType="separate"/>
      </w:r>
      <w:r w:rsidRPr="005A61C5">
        <w:rPr>
          <w:rFonts w:cs="Times New Roman"/>
          <w:szCs w:val="24"/>
          <w:vertAlign w:val="superscript"/>
        </w:rPr>
        <w:t>20</w:t>
      </w:r>
      <w:r>
        <w:rPr>
          <w:rFonts w:cs="Times New Roman"/>
          <w:szCs w:val="24"/>
        </w:rPr>
        <w:fldChar w:fldCharType="end"/>
      </w:r>
      <w:r w:rsidR="001E7DE2">
        <w:rPr>
          <w:rFonts w:cs="Times New Roman"/>
          <w:szCs w:val="24"/>
        </w:rPr>
        <w:t xml:space="preserve"> </w:t>
      </w:r>
      <w:r w:rsidR="002668E0">
        <w:rPr>
          <w:rFonts w:cs="Times New Roman"/>
          <w:szCs w:val="24"/>
        </w:rPr>
        <w:t xml:space="preserve">Since then, </w:t>
      </w:r>
      <w:r>
        <w:rPr>
          <w:rFonts w:cs="Times New Roman"/>
          <w:szCs w:val="24"/>
        </w:rPr>
        <w:t>many bioactive natural products, primarily alkaloids</w:t>
      </w:r>
      <w:r>
        <w:rPr>
          <w:rFonts w:cs="Times New Roman"/>
          <w:szCs w:val="24"/>
        </w:rPr>
        <w:fldChar w:fldCharType="begin"/>
      </w:r>
      <w:r>
        <w:rPr>
          <w:rFonts w:cs="Times New Roman"/>
          <w:szCs w:val="24"/>
        </w:rPr>
        <w:instrText xml:space="preserve"> ADDIN ZOTERO_ITEM CSL_CITATION {"citationID":"XTcAN7le","properties":{"formattedCitation":"\\super 21\\nosupersub{}","plainCitation":"21","noteIndex":0},"citationItems":[{"id":586,"uris":["http://zotero.org/users/6503767/items/QETAT5CR"],"itemData":{"id":586,"type":"article-journal","abstract":"This paper presents the history of the discovery of the first alkaloids. Isolation of alkaloids is connected with the study of the active principles of medicines of plant origin, for example opium and cinchona bark. Sertürner described morphine as a plant alkali and claimed that it was capable of neutralizing free acids yielding salts. The recognition of alkaloids as a new class of compounds was an important step at that time because of the dogmatic denial of the possible existence of plant bases. Isolation of alkaloids is a significant event from the point of view of chemistry, physiology and medicine. The discovery caused essential conceptual changes in chemistry. Priority claims with reference to the discovery of the alkaloids are also reviewed.","container-title":"Die Pharmazie","ISSN":"0031-7144","issue":"7","journalAbbreviation":"Pharmazie","language":"eng","note":"PMID: 9266593","page":"546-550","source":"PubMed","title":"The discovery of alkaloids","volume":"52","author":[{"family":"Hosztafi","given":"S."}],"issued":{"date-parts":[["1997",7]]}}}],"schema":"https://github.com/citation-style-language/schema/raw/master/csl-citation.json"} </w:instrText>
      </w:r>
      <w:r>
        <w:rPr>
          <w:rFonts w:cs="Times New Roman"/>
          <w:szCs w:val="24"/>
        </w:rPr>
        <w:fldChar w:fldCharType="separate"/>
      </w:r>
      <w:r w:rsidRPr="005A61C5">
        <w:rPr>
          <w:rFonts w:cs="Times New Roman"/>
          <w:szCs w:val="24"/>
          <w:vertAlign w:val="superscript"/>
        </w:rPr>
        <w:t>21</w:t>
      </w:r>
      <w:r>
        <w:rPr>
          <w:rFonts w:cs="Times New Roman"/>
          <w:szCs w:val="24"/>
        </w:rPr>
        <w:fldChar w:fldCharType="end"/>
      </w:r>
      <w:r>
        <w:rPr>
          <w:rFonts w:cs="Times New Roman"/>
          <w:szCs w:val="24"/>
        </w:rPr>
        <w:t xml:space="preserve"> (e.g., quinine,</w:t>
      </w:r>
      <w:r>
        <w:rPr>
          <w:rFonts w:cs="Times New Roman"/>
          <w:szCs w:val="24"/>
        </w:rPr>
        <w:fldChar w:fldCharType="begin"/>
      </w:r>
      <w:r>
        <w:rPr>
          <w:rFonts w:cs="Times New Roman"/>
          <w:szCs w:val="24"/>
        </w:rPr>
        <w:instrText xml:space="preserve"> ADDIN ZOTERO_ITEM CSL_CITATION {"citationID":"G3HOsbAM","properties":{"formattedCitation":"\\super 22\\nosupersub{}","plainCitation":"22","noteIndex":0},"citationItems":[{"id":588,"uris":["http://zotero.org/users/6503767/items/MXF2EBAM"],"itemData":{"id":588,"type":"article-journal","abstract":"Quinine remains an important anti-malarial drug almost 400 years after its effectiveness was first documented. However, its continued use is challenged by its poor tolerability, poor compliance with complex dosing regimens, and the availability of more efficacious anti-malarial drugs. This article reviews the historical role of quinine, considers its current usage and provides insight into its appropriate future use in the treatment of malaria. In light of recent research findings intravenous artesunate should be the first-line drug for severe malaria, with quinine as an alternative. The role of rectal quinine as pre-referral treatment for severe malaria has not been fully explored, but it remains a promising intervention. In pregnancy, quinine continues to play a critical role in the management of malaria, especially in the first trimester, and it will remain a mainstay of treatment until safer alternatives become available. For uncomplicated malaria, artemisinin-based combination therapy (ACT) offers a better option than quinine though the difficulty of maintaining a steady supply of ACT in resource-limited settings renders the rapid withdrawal of quinine for uncomplicated malaria cases risky. The best approach would be to identify solutions to ACT stock-outs, maintain quinine in case of ACT stock-outs, and evaluate strategies for improving quinine treatment outcomes by combining it with antibiotics. In HIV and TB infected populations, concerns about potential interactions between quinine and antiretroviral and anti-tuberculosis drugs exist, and these will need further research and pharmacovigilance.","container-title":"Malaria Journal","DOI":"10.1186/1475-2875-10-144","ISSN":"1475-2875","journalAbbreviation":"Malar J","note":"PMID: 21609473\nPMCID: PMC3121651","page":"144","source":"PubMed Central","title":"Quinine, an old anti-malarial drug in a modern world: role in the treatment of malaria","title-short":"Quinine, an old anti-malarial drug in a modern world","volume":"10","author":[{"family":"Achan","given":"Jane"},{"family":"Talisuna","given":"Ambrose O"},{"family":"Erhart","given":"Annette"},{"family":"Yeka","given":"Adoke"},{"family":"Tibenderana","given":"James K"},{"family":"Baliraine","given":"Frederick N"},{"family":"Rosenthal","given":"Philip J"},{"family":"D'Alessandro","given":"Umberto"}],"issued":{"date-parts":[["2011",5,24]]}}}],"schema":"https://github.com/citation-style-language/schema/raw/master/csl-citation.json"} </w:instrText>
      </w:r>
      <w:r>
        <w:rPr>
          <w:rFonts w:cs="Times New Roman"/>
          <w:szCs w:val="24"/>
        </w:rPr>
        <w:fldChar w:fldCharType="separate"/>
      </w:r>
      <w:r w:rsidRPr="005A61C5">
        <w:rPr>
          <w:rFonts w:cs="Times New Roman"/>
          <w:szCs w:val="24"/>
          <w:vertAlign w:val="superscript"/>
        </w:rPr>
        <w:t>22</w:t>
      </w:r>
      <w:r>
        <w:rPr>
          <w:rFonts w:cs="Times New Roman"/>
          <w:szCs w:val="24"/>
        </w:rPr>
        <w:fldChar w:fldCharType="end"/>
      </w:r>
      <w:r>
        <w:rPr>
          <w:rFonts w:cs="Times New Roman"/>
          <w:szCs w:val="24"/>
        </w:rPr>
        <w:t xml:space="preserve"> caffeine,</w:t>
      </w:r>
      <w:r>
        <w:rPr>
          <w:rFonts w:cs="Times New Roman"/>
          <w:szCs w:val="24"/>
        </w:rPr>
        <w:fldChar w:fldCharType="begin"/>
      </w:r>
      <w:r>
        <w:rPr>
          <w:rFonts w:cs="Times New Roman"/>
          <w:szCs w:val="24"/>
        </w:rPr>
        <w:instrText xml:space="preserve"> ADDIN ZOTERO_ITEM CSL_CITATION {"citationID":"poUVsT8u","properties":{"formattedCitation":"\\super 23\\nosupersub{}","plainCitation":"23","noteIndex":0},"citationItems":[{"id":591,"uris":["http://zotero.org/users/6503767/items/XGPFYJTH"],"itemData":{"id":591,"type":"chapter","event-place":"Verlin","language":"German","page":"144-159","publisher":"G. Reimer","publisher-place":"Verlin","title":"Neueste phytochemische Entdeckungen zur Begründung einer wissenschaftlichen Phytochemie","author":[{"family":"Runge","given":"Friedlieb F."}],"issued":{"date-parts":[["1820"]]}}}],"schema":"https://github.com/citation-style-language/schema/raw/master/csl-citation.json"} </w:instrText>
      </w:r>
      <w:r>
        <w:rPr>
          <w:rFonts w:cs="Times New Roman"/>
          <w:szCs w:val="24"/>
        </w:rPr>
        <w:fldChar w:fldCharType="separate"/>
      </w:r>
      <w:r w:rsidRPr="004D4D9E">
        <w:rPr>
          <w:rFonts w:cs="Times New Roman"/>
          <w:szCs w:val="24"/>
          <w:vertAlign w:val="superscript"/>
        </w:rPr>
        <w:t>23</w:t>
      </w:r>
      <w:r>
        <w:rPr>
          <w:rFonts w:cs="Times New Roman"/>
          <w:szCs w:val="24"/>
        </w:rPr>
        <w:fldChar w:fldCharType="end"/>
      </w:r>
      <w:r>
        <w:rPr>
          <w:rFonts w:cs="Times New Roman"/>
          <w:szCs w:val="24"/>
        </w:rPr>
        <w:t xml:space="preserve"> nicotine,</w:t>
      </w:r>
      <w:r>
        <w:rPr>
          <w:rFonts w:cs="Times New Roman"/>
          <w:szCs w:val="24"/>
        </w:rPr>
        <w:fldChar w:fldCharType="begin"/>
      </w:r>
      <w:r>
        <w:rPr>
          <w:rFonts w:cs="Times New Roman"/>
          <w:szCs w:val="24"/>
        </w:rPr>
        <w:instrText xml:space="preserve"> ADDIN ZOTERO_ITEM CSL_CITATION {"citationID":"Q5Gwbax1","properties":{"formattedCitation":"\\super 24\\nosupersub{}","plainCitation":"24","noteIndex":0},"citationItems":[{"id":592,"uris":["http://zotero.org/users/6503767/items/GNYU2JUH"],"itemData":{"id":592,"type":"article-journal","abstract":"Nicotine has a long and storied history in physiology and pharmacology. Historically, it has been used as a tool to explore the nervous system, studied for its role in tobacco use, and more recently examined for its diverse potential medicinal uses. Psychopharmacology research has been pivotal in the science foundation for nicotine and tobacco product regulation.","container-title":"Psychopharmacology","DOI":"10.1007/s00213-006-0308-4","ISSN":"1432-2072","issue":"3","journalAbbreviation":"Psychopharmacology","language":"en","page":"286-291","source":"Springer Link","title":"Nicotine psychopharmacology research contributions to United States and global tobacco regulation: a look back and a look forward","title-short":"Nicotine psychopharmacology research contributions to United States and global tobacco regulation","volume":"184","author":[{"family":"Henningfield","given":"Jack E."},{"family":"Zeller","given":"Mitch"}],"issued":{"date-parts":[["2006",2,1]]}}}],"schema":"https://github.com/citation-style-language/schema/raw/master/csl-citation.json"} </w:instrText>
      </w:r>
      <w:r>
        <w:rPr>
          <w:rFonts w:cs="Times New Roman"/>
          <w:szCs w:val="24"/>
        </w:rPr>
        <w:fldChar w:fldCharType="separate"/>
      </w:r>
      <w:r w:rsidRPr="007E6D6C">
        <w:rPr>
          <w:rFonts w:cs="Times New Roman"/>
          <w:szCs w:val="24"/>
          <w:vertAlign w:val="superscript"/>
        </w:rPr>
        <w:t>24</w:t>
      </w:r>
      <w:r>
        <w:rPr>
          <w:rFonts w:cs="Times New Roman"/>
          <w:szCs w:val="24"/>
        </w:rPr>
        <w:fldChar w:fldCharType="end"/>
      </w:r>
      <w:r>
        <w:rPr>
          <w:rFonts w:cs="Times New Roman"/>
          <w:szCs w:val="24"/>
        </w:rPr>
        <w:t xml:space="preserve"> cocaine</w:t>
      </w:r>
      <w:r>
        <w:rPr>
          <w:rFonts w:cs="Times New Roman"/>
          <w:szCs w:val="24"/>
        </w:rPr>
        <w:fldChar w:fldCharType="begin"/>
      </w:r>
      <w:r>
        <w:rPr>
          <w:rFonts w:cs="Times New Roman"/>
          <w:szCs w:val="24"/>
        </w:rPr>
        <w:instrText xml:space="preserve"> ADDIN ZOTERO_ITEM CSL_CITATION {"citationID":"tQf6JaDz","properties":{"formattedCitation":"\\super 25\\nosupersub{}","plainCitation":"25","noteIndex":0},"citationItems":[{"id":595,"uris":["http://zotero.org/users/6503767/items/6E2ERQ6N"],"itemData":{"id":595,"type":"article-journal","container-title":"Current Medicinal Chemistry","DOI":"10.2174/092986712803988811","ISSN":"09298673","issue":"33","journalAbbreviation":"CMC","language":"en","page":"5647-5657","source":"DOI.org (Crossref)","title":"Data Available on the Extent of Cocaine Use and Dependence: Biochemistry, Pharmacologic Effects and Global Burden of Disease of Cocaine Abusers","title-short":"Data Available on the Extent of Cocaine Use and Dependence","volume":"19","author":[{"family":"Pomara","given":"C."},{"family":"Cassano","given":"T."},{"family":"D'Errico","given":"S."},{"family":"Bello","given":"S."},{"family":"Romano","given":"A.D."},{"family":"Riezzo","given":"I."},{"family":"Serviddio","given":"G."}],"issued":{"date-parts":[["2012",11,14]]}}}],"schema":"https://github.com/citation-style-language/schema/raw/master/csl-citation.json"} </w:instrText>
      </w:r>
      <w:r>
        <w:rPr>
          <w:rFonts w:cs="Times New Roman"/>
          <w:szCs w:val="24"/>
        </w:rPr>
        <w:fldChar w:fldCharType="separate"/>
      </w:r>
      <w:r w:rsidRPr="007E6D6C">
        <w:rPr>
          <w:rFonts w:cs="Times New Roman"/>
          <w:szCs w:val="24"/>
          <w:vertAlign w:val="superscript"/>
        </w:rPr>
        <w:t>25</w:t>
      </w:r>
      <w:r>
        <w:rPr>
          <w:rFonts w:cs="Times New Roman"/>
          <w:szCs w:val="24"/>
        </w:rPr>
        <w:fldChar w:fldCharType="end"/>
      </w:r>
      <w:r>
        <w:rPr>
          <w:rFonts w:cs="Times New Roman"/>
          <w:szCs w:val="24"/>
        </w:rPr>
        <w:t xml:space="preserve">), </w:t>
      </w:r>
      <w:r w:rsidR="002668E0">
        <w:rPr>
          <w:rFonts w:cs="Times New Roman"/>
          <w:szCs w:val="24"/>
        </w:rPr>
        <w:t>have been</w:t>
      </w:r>
      <w:r>
        <w:rPr>
          <w:rFonts w:cs="Times New Roman"/>
          <w:szCs w:val="24"/>
        </w:rPr>
        <w:t xml:space="preserve"> isolated from their natural sources.</w:t>
      </w:r>
      <w:r>
        <w:rPr>
          <w:rFonts w:cs="Times New Roman"/>
          <w:szCs w:val="24"/>
        </w:rPr>
        <w:fldChar w:fldCharType="begin"/>
      </w:r>
      <w:r>
        <w:rPr>
          <w:rFonts w:cs="Times New Roman"/>
          <w:szCs w:val="24"/>
        </w:rPr>
        <w:instrText xml:space="preserve"> ADDIN ZOTERO_ITEM CSL_CITATION {"citationID":"kPCc8MqA","properties":{"formattedCitation":"\\super 19\\nosupersub{}","plainCitation":"19","noteIndex":0},"citationItems":[{"id":569,"uris":["http://zotero.org/users/6503767/items/9QJQMEX6"],"itemData":{"id":569,"type":"article-journal","abstract":"Medicinal plants have historically proven their value as a source of molecules with therapeutic potential, and nowadays still represent an important pool for the identification of novel drug leads. In the past decades, pharmaceutical industry focused mainly on libraries of synthetic compounds as drug discovery source. They are comparably easy to produce and resupply, and demonstrate good compatibility with established high throughput screening (HTS) platforms. However, at the same time there has been a declining trend in the number of new drugs reaching the market, raising renewed scientific interest in drug discovery from natural sources, despite of its known challenges. In this survey, a brief outline of historical development is provided together with a comprehensive overview of used approaches and recent developments relevant to plant-derived natural product drug discovery. Associated challenges and major strengths of natural product-based drug discovery are critically discussed. A snapshot of the advanced plant-derived natural products that are currently in actively recruiting clinical trials is also presented. Importantly, the transition of a natural compound from a \"screening hit\" through a \"drug lead\" to a \"marketed drug\" is associated with increasingly challenging demands for compound amount, which often cannot be met by re-isolation from the respective plant sources. In this regard, existing alternatives for resupply are also discussed, including different biotechnology approaches and total organic synthesis. While the intrinsic complexity of natural product-based drug discovery necessitates highly integrated interdisciplinary approaches, the reviewed scientific developments, recent technological advances, and research trends clearly indicate that natural products will be among the most important sources of new drugs also in the future.","container-title":"Biotechnology Advances","DOI":"10.1016/j.biotechadv.2015.08.001","ISSN":"1873-1899","issue":"8","journalAbbreviation":"Biotechnol Adv","language":"eng","note":"PMID: 26281720\nPMCID: PMC4748402","page":"1582-1614","source":"PubMed","title":"Discovery and resupply of pharmacologically active plant-derived natural products: A review","title-short":"Discovery and resupply of pharmacologically active plant-derived natural products","volume":"33","author":[{"family":"Atanasov","given":"Atanas G."},{"family":"Waltenberger","given":"Birgit"},{"family":"Pferschy-Wenzig","given":"Eva-Maria"},{"family":"Linder","given":"Thomas"},{"family":"Wawrosch","given":"Christoph"},{"family":"Uhrin","given":"Pavel"},{"family":"Temml","given":"Veronika"},{"family":"Wang","given":"Limei"},{"family":"Schwaiger","given":"Stefan"},{"family":"Heiss","given":"Elke H."},{"family":"Rollinger","given":"Judith M."},{"family":"Schuster","given":"Daniela"},{"family":"Breuss","given":"Johannes M."},{"family":"Bochkov","given":"Valery"},{"family":"Mihovilovic","given":"Marko D."},{"family":"Kopp","given":"Brigitte"},{"family":"Bauer","given":"Rudolf"},{"family":"Dirsch","given":"Verena M."},{"family":"Stuppner","given":"Hermann"}],"issued":{"date-parts":[["2015",12]]}}}],"schema":"https://github.com/citation-style-language/schema/raw/master/csl-citation.json"} </w:instrText>
      </w:r>
      <w:r>
        <w:rPr>
          <w:rFonts w:cs="Times New Roman"/>
          <w:szCs w:val="24"/>
        </w:rPr>
        <w:fldChar w:fldCharType="separate"/>
      </w:r>
      <w:r w:rsidRPr="004D240F">
        <w:rPr>
          <w:rFonts w:cs="Times New Roman"/>
          <w:szCs w:val="24"/>
          <w:vertAlign w:val="superscript"/>
        </w:rPr>
        <w:t>19</w:t>
      </w:r>
      <w:r>
        <w:rPr>
          <w:rFonts w:cs="Times New Roman"/>
          <w:szCs w:val="24"/>
        </w:rPr>
        <w:fldChar w:fldCharType="end"/>
      </w:r>
      <w:r>
        <w:rPr>
          <w:rFonts w:cs="Times New Roman"/>
          <w:szCs w:val="24"/>
        </w:rPr>
        <w:t xml:space="preserve"> For example, early transformations of traditional medicine into modern drugs include the antimalarial alkaloid quinine isolated from </w:t>
      </w:r>
      <w:r w:rsidRPr="000C0E4D">
        <w:rPr>
          <w:rFonts w:cs="Times New Roman"/>
          <w:i/>
          <w:iCs/>
          <w:szCs w:val="24"/>
        </w:rPr>
        <w:t>Cinchona</w:t>
      </w:r>
      <w:r>
        <w:rPr>
          <w:rFonts w:cs="Times New Roman"/>
          <w:szCs w:val="24"/>
        </w:rPr>
        <w:t xml:space="preserve"> bark in 1820.</w:t>
      </w:r>
      <w:r>
        <w:rPr>
          <w:rFonts w:cs="Times New Roman"/>
          <w:szCs w:val="24"/>
        </w:rPr>
        <w:fldChar w:fldCharType="begin"/>
      </w:r>
      <w:r>
        <w:rPr>
          <w:rFonts w:cs="Times New Roman"/>
          <w:szCs w:val="24"/>
        </w:rPr>
        <w:instrText xml:space="preserve"> ADDIN ZOTERO_ITEM CSL_CITATION {"citationID":"uNBFhvv3","properties":{"formattedCitation":"\\super 26\\nosupersub{}","plainCitation":"26","noteIndex":0},"citationItems":[{"id":581,"uris":["http://zotero.org/users/6503767/items/Z8X4KIGF"],"itemData":{"id":581,"type":"article-journal","abstract":"Traditional medicines provide fertile ground for modern drug development, but first they must pass along a pathway of discovery, isolation, and mechanistic studies before eventual deployment in the clinic. Here, we highlight the challenges along this route, focusing on the compounds artemisinin, triptolide, celastrol, capsaicin, and curcumin.","container-title":"Cell","DOI":"10.1016/j.cell.2007.08.021","ISSN":"0092-8674","issue":"5","journalAbbreviation":"Cell","note":"PMID: 17803898\nPMCID: PMC2507744","page":"769-774","source":"PubMed Central","title":"Molecular Understanding and Modern Application of Traditional Medicines: Triumphs and Trials","title-short":"Molecular Understanding and Modern Application of Traditional Medicines","volume":"130","author":[{"family":"Corson","given":"Timothy W."},{"family":"Crews","given":"Craig M."}],"issued":{"date-parts":[["2007",9,7]]}}}],"schema":"https://github.com/citation-style-language/schema/raw/master/csl-citation.json"} </w:instrText>
      </w:r>
      <w:r>
        <w:rPr>
          <w:rFonts w:cs="Times New Roman"/>
          <w:szCs w:val="24"/>
        </w:rPr>
        <w:fldChar w:fldCharType="separate"/>
      </w:r>
      <w:r w:rsidRPr="007E6D6C">
        <w:rPr>
          <w:rFonts w:cs="Times New Roman"/>
          <w:szCs w:val="24"/>
          <w:vertAlign w:val="superscript"/>
        </w:rPr>
        <w:t>26</w:t>
      </w:r>
      <w:r>
        <w:rPr>
          <w:rFonts w:cs="Times New Roman"/>
          <w:szCs w:val="24"/>
        </w:rPr>
        <w:fldChar w:fldCharType="end"/>
      </w:r>
    </w:p>
    <w:p w14:paraId="1CB69053" w14:textId="77777777" w:rsidR="000F7094" w:rsidRDefault="000F7094" w:rsidP="000F7094">
      <w:pPr>
        <w:ind w:left="1440" w:firstLine="720"/>
      </w:pPr>
      <w:r w:rsidRPr="0030377D">
        <w:rPr>
          <w:noProof/>
        </w:rPr>
        <mc:AlternateContent>
          <mc:Choice Requires="wps">
            <w:drawing>
              <wp:inline distT="0" distB="0" distL="0" distR="0" wp14:anchorId="420347E1" wp14:editId="12E953F7">
                <wp:extent cx="2806810" cy="1287780"/>
                <wp:effectExtent l="0" t="0" r="12700" b="2667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810" cy="1287780"/>
                        </a:xfrm>
                        <a:prstGeom prst="rect">
                          <a:avLst/>
                        </a:prstGeom>
                        <a:solidFill>
                          <a:srgbClr val="FFFFFF"/>
                        </a:solidFill>
                        <a:ln w="9525">
                          <a:solidFill>
                            <a:srgbClr val="000000"/>
                          </a:solidFill>
                          <a:miter lim="800000"/>
                          <a:headEnd/>
                          <a:tailEnd/>
                        </a:ln>
                      </wps:spPr>
                      <wps:txbx>
                        <w:txbxContent>
                          <w:p w14:paraId="274364B0" w14:textId="77777777" w:rsidR="000F7094" w:rsidRDefault="000F7094" w:rsidP="000F7094">
                            <w:pPr>
                              <w:keepNext/>
                              <w:spacing w:line="240" w:lineRule="auto"/>
                              <w:jc w:val="center"/>
                            </w:pPr>
                            <w:r>
                              <w:object w:dxaOrig="1490" w:dyaOrig="1061" w14:anchorId="5713A2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35pt;height:53.3pt" o:ole="">
                                  <v:imagedata r:id="rId72" o:title=""/>
                                </v:shape>
                                <o:OLEObject Type="Embed" ProgID="ChemDraw.Document.6.0" ShapeID="_x0000_i1025" DrawAspect="Content" ObjectID="_1713353463" r:id="rId73"/>
                              </w:object>
                            </w:r>
                          </w:p>
                          <w:p w14:paraId="5F7A70B4" w14:textId="6A9878C4" w:rsidR="000F7094" w:rsidRDefault="000F7094" w:rsidP="00DF51F5">
                            <w:pPr>
                              <w:pStyle w:val="Caption"/>
                            </w:pPr>
                            <w:bookmarkStart w:id="38" w:name="_Ref100742441"/>
                            <w:bookmarkStart w:id="39" w:name="_Toc100243233"/>
                            <w:bookmarkStart w:id="40" w:name="_Toc100748286"/>
                            <w:r>
                              <w:t>Figure 1.</w:t>
                            </w:r>
                            <w:fldSimple w:instr=" SEQ Figure \* ARABIC ">
                              <w:r w:rsidR="00AA5AAC">
                                <w:rPr>
                                  <w:noProof/>
                                </w:rPr>
                                <w:t>5</w:t>
                              </w:r>
                            </w:fldSimple>
                            <w:bookmarkEnd w:id="38"/>
                            <w:r>
                              <w:t xml:space="preserve">. The general </w:t>
                            </w:r>
                            <w:r w:rsidRPr="00F6154A">
                              <w:t>β-carboline</w:t>
                            </w:r>
                            <w:r>
                              <w:t xml:space="preserve"> and tetrahydro-</w:t>
                            </w:r>
                            <w:r w:rsidRPr="00E27483">
                              <w:t xml:space="preserve"> </w:t>
                            </w:r>
                            <w:r w:rsidRPr="00F6154A">
                              <w:t>β</w:t>
                            </w:r>
                            <w:r>
                              <w:t xml:space="preserve"> -carboline structure.</w:t>
                            </w:r>
                            <w:bookmarkEnd w:id="39"/>
                            <w:bookmarkEnd w:id="40"/>
                            <w:r>
                              <w:t xml:space="preserve"> </w:t>
                            </w:r>
                          </w:p>
                        </w:txbxContent>
                      </wps:txbx>
                      <wps:bodyPr rot="0" vert="horz" wrap="square" lIns="91440" tIns="45720" rIns="91440" bIns="45720" anchor="t" anchorCtr="0">
                        <a:noAutofit/>
                      </wps:bodyPr>
                    </wps:wsp>
                  </a:graphicData>
                </a:graphic>
              </wp:inline>
            </w:drawing>
          </mc:Choice>
          <mc:Fallback>
            <w:pict>
              <v:shape w14:anchorId="420347E1" id="_x0000_s1030" type="#_x0000_t202" style="width:221pt;height:10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">
                <v:textbox>
                  <w:txbxContent>
                    <w:p w14:paraId="274364B0" w14:textId="77777777" w:rsidR="000F7094" w:rsidRDefault="000F7094" w:rsidP="000F7094">
                      <w:pPr>
                        <w:keepNext/>
                        <w:spacing w:line="240" w:lineRule="auto"/>
                        <w:jc w:val="center"/>
                      </w:pPr>
                      <w:r>
                        <w:object w:dxaOrig="1490" w:dyaOrig="1061" w14:anchorId="5713A23A">
                          <v:shape id="_x0000_i1025" type="#_x0000_t75" style="width:74.35pt;height:53.3pt" o:ole="">
                            <v:imagedata r:id="rId72" o:title=""/>
                          </v:shape>
                          <o:OLEObject Type="Embed" ProgID="ChemDraw.Document.6.0" ShapeID="_x0000_i1025" DrawAspect="Content" ObjectID="_1713353463" r:id="rId74"/>
                        </w:object>
                      </w:r>
                    </w:p>
                    <w:p w14:paraId="5F7A70B4" w14:textId="6A9878C4" w:rsidR="000F7094" w:rsidRDefault="000F7094" w:rsidP="00DF51F5">
                      <w:pPr>
                        <w:pStyle w:val="Caption"/>
                      </w:pPr>
                      <w:bookmarkStart w:id="41" w:name="_Ref100742441"/>
                      <w:bookmarkStart w:id="42" w:name="_Toc100243233"/>
                      <w:bookmarkStart w:id="43" w:name="_Toc100748286"/>
                      <w:r>
                        <w:t>Figure 1.</w:t>
                      </w:r>
                      <w:fldSimple w:instr=" SEQ Figure \* ARABIC ">
                        <w:r w:rsidR="00AA5AAC">
                          <w:rPr>
                            <w:noProof/>
                          </w:rPr>
                          <w:t>5</w:t>
                        </w:r>
                      </w:fldSimple>
                      <w:bookmarkEnd w:id="41"/>
                      <w:r>
                        <w:t xml:space="preserve">. The general </w:t>
                      </w:r>
                      <w:r w:rsidRPr="00F6154A">
                        <w:t>β-carboline</w:t>
                      </w:r>
                      <w:r>
                        <w:t xml:space="preserve"> and tetrahydro-</w:t>
                      </w:r>
                      <w:r w:rsidRPr="00E27483">
                        <w:t xml:space="preserve"> </w:t>
                      </w:r>
                      <w:r w:rsidRPr="00F6154A">
                        <w:t>β</w:t>
                      </w:r>
                      <w:r>
                        <w:t xml:space="preserve"> -carboline structure.</w:t>
                      </w:r>
                      <w:bookmarkEnd w:id="42"/>
                      <w:bookmarkEnd w:id="43"/>
                      <w:r>
                        <w:t xml:space="preserve"> </w:t>
                      </w:r>
                    </w:p>
                  </w:txbxContent>
                </v:textbox>
                <w10:anchorlock/>
              </v:shape>
            </w:pict>
          </mc:Fallback>
        </mc:AlternateContent>
      </w:r>
    </w:p>
    <w:p w14:paraId="22CB767A" w14:textId="5059C9D1" w:rsidR="000F7094" w:rsidRDefault="000F7094" w:rsidP="000F7094">
      <w:pPr>
        <w:ind w:firstLine="720"/>
        <w:rPr>
          <w:rFonts w:cs="Times New Roman"/>
          <w:szCs w:val="24"/>
        </w:rPr>
      </w:pPr>
      <w:r w:rsidRPr="008A1748">
        <w:t>Generally defined as naturally occurring organic compounds containing one or more basic nitrogen atom</w:t>
      </w:r>
      <w:r>
        <w:t>s</w:t>
      </w:r>
      <w:r w:rsidRPr="008A1748">
        <w:t>, alkaloids are a large and structurally diverse group of natural products provided by a vast range of organisms</w:t>
      </w:r>
      <w:r>
        <w:t xml:space="preserve">, and they </w:t>
      </w:r>
      <w:r w:rsidRPr="008A1748">
        <w:t xml:space="preserve">exhibit a </w:t>
      </w:r>
      <w:r>
        <w:t>broad spectrum</w:t>
      </w:r>
      <w:r w:rsidRPr="008A1748">
        <w:t xml:space="preserve"> of</w:t>
      </w:r>
      <w:r>
        <w:t xml:space="preserve"> biological activities</w:t>
      </w:r>
      <w:r w:rsidRPr="008A1748">
        <w:t>.</w:t>
      </w:r>
      <w:r w:rsidRPr="008A1748">
        <w:fldChar w:fldCharType="begin"/>
      </w:r>
      <w:r>
        <w:instrText xml:space="preserve"> ADDIN ZOTERO_ITEM CSL_CITATION {"citationID":"CsaGgrlp","properties":{"formattedCitation":"\\super 27\\nosupersub{}","plainCitation":"27","noteIndex":0},"citationItems":[{"id":115,"uris":["http://zotero.org/users/6503767/items/JMQK9VSD"],"itemData":{"id":115,"type":"article-journal","abstract":"With reports of pandrug-resistant bacteria causing untreatable infections, the need for new antibacterial therapies is more pressing than ever. Alkaloids are a large and structurally diverse group of compounds that have served as scaffolds for important antibacterial drugs such as metronidazole and the quinolones. In this review, we highlight other alkaloids with development potential. Natural, semisynthetic and synthetic alkaloids of all classes are considered, looking first at those with direct antibacterial activity and those with antibiotic-enhancing activity. Potent examples include CJ-13,136, a novel actinomycete-derived quinolone alkaloid with a minimum inhibitory concentration of 0.1ng/mL against Helicobacter pylori, and squalamine, a polyamine alkaloid from the dogfish shark that renders Gram-negative pathogens 16- to &gt;32-fold more susceptible to ciprofloxacin. Where available, information on toxicity, structure–activity relationships, mechanisms of action and in vivo activity is presented. The effects of alkaloids on virulence gene regulatory systems such as quorum sensing and virulence factors such as sortases, adhesins and secretion systems are also described. The synthetic isoquinoline alkaloid virstatin, for example, inhibits the transcriptional regulator ToxT in Vibrio cholerae, preventing expression of cholera toxin and fimbriae and conferring in vivo protection against intestinal colonisation. The review concludes with implications and limitations of the described research and directions for future research.","container-title":"International Journal of Antimicrobial Agents","DOI":"10.1016/j.ijantimicag.2014.06.001","ISSN":"0924-8579","issue":"5","journalAbbreviation":"International Journal of Antimicrobial Agents","language":"en","page":"377-386","source":"ScienceDirect","title":"Alkaloids: An overview of their antibacterial, antibiotic-enhancing and antivirulence activities","title-short":"Alkaloids","volume":"44","author":[{"family":"Cushnie","given":"T. P. Tim"},{"family":"Cushnie","given":"Benjamart"},{"family":"Lamb","given":"Andrew J."}],"issued":{"date-parts":[["2014",11,1]]}}}],"schema":"https://github.com/citation-style-language/schema/raw/master/csl-citation.json"} </w:instrText>
      </w:r>
      <w:r w:rsidRPr="008A1748">
        <w:fldChar w:fldCharType="separate"/>
      </w:r>
      <w:r w:rsidRPr="007E6D6C">
        <w:rPr>
          <w:rFonts w:cs="Times New Roman"/>
          <w:szCs w:val="24"/>
          <w:vertAlign w:val="superscript"/>
        </w:rPr>
        <w:t>27</w:t>
      </w:r>
      <w:r w:rsidRPr="008A1748">
        <w:fldChar w:fldCharType="end"/>
      </w:r>
      <w:r>
        <w:t xml:space="preserve"> </w:t>
      </w:r>
      <w:r w:rsidRPr="0030377D">
        <w:t>Within the alkaloid class of natural products, the β-carboline and its saturated</w:t>
      </w:r>
      <w:r>
        <w:t xml:space="preserve"> relative,</w:t>
      </w:r>
      <w:r w:rsidRPr="0030377D">
        <w:t xml:space="preserve"> tetrahydro-β-carboline (THBC)</w:t>
      </w:r>
      <w:r>
        <w:t>,</w:t>
      </w:r>
      <w:r w:rsidRPr="0030377D">
        <w:t xml:space="preserve"> are widely present. Classified by a tricyclic 9</w:t>
      </w:r>
      <w:r w:rsidRPr="0030377D">
        <w:rPr>
          <w:i/>
          <w:iCs/>
        </w:rPr>
        <w:t>H</w:t>
      </w:r>
      <w:r w:rsidRPr="0030377D">
        <w:t>-pyrido[3,4-</w:t>
      </w:r>
      <w:proofErr w:type="gramStart"/>
      <w:r w:rsidRPr="0030377D">
        <w:rPr>
          <w:i/>
          <w:iCs/>
        </w:rPr>
        <w:t>b</w:t>
      </w:r>
      <w:r w:rsidRPr="0030377D">
        <w:t>]indole</w:t>
      </w:r>
      <w:proofErr w:type="gramEnd"/>
      <w:r w:rsidRPr="0030377D">
        <w:t xml:space="preserve"> framework </w:t>
      </w:r>
      <w:r w:rsidRPr="0030377D">
        <w:lastRenderedPageBreak/>
        <w:t>(</w:t>
      </w:r>
      <w:r w:rsidR="007B0CB1" w:rsidRPr="007B0CB1">
        <w:rPr>
          <w:b/>
          <w:bCs/>
        </w:rPr>
        <w:fldChar w:fldCharType="begin"/>
      </w:r>
      <w:r w:rsidR="007B0CB1" w:rsidRPr="007B0CB1">
        <w:rPr>
          <w:b/>
          <w:bCs/>
        </w:rPr>
        <w:instrText xml:space="preserve"> REF _Ref100742441 \h  \* MERGEFORMAT </w:instrText>
      </w:r>
      <w:r w:rsidR="007B0CB1" w:rsidRPr="007B0CB1">
        <w:rPr>
          <w:b/>
          <w:bCs/>
        </w:rPr>
      </w:r>
      <w:r w:rsidR="007B0CB1" w:rsidRPr="007B0CB1">
        <w:rPr>
          <w:b/>
          <w:bCs/>
        </w:rPr>
        <w:fldChar w:fldCharType="separate"/>
      </w:r>
      <w:r w:rsidR="00AA5AAC" w:rsidRPr="00AA5AAC">
        <w:rPr>
          <w:b/>
          <w:bCs/>
        </w:rPr>
        <w:t>Figure 1.5</w:t>
      </w:r>
      <w:r w:rsidR="007B0CB1" w:rsidRPr="007B0CB1">
        <w:rPr>
          <w:b/>
          <w:bCs/>
        </w:rPr>
        <w:fldChar w:fldCharType="end"/>
      </w:r>
      <w:r w:rsidRPr="0030377D">
        <w:t>), the β-carboline scaffold can be observed in diverse natural sources</w:t>
      </w:r>
      <w:r>
        <w:t xml:space="preserve"> encompassing a variety of biological activities. Examples of this chemical family include </w:t>
      </w:r>
      <w:r>
        <w:rPr>
          <w:rFonts w:cs="Times New Roman"/>
          <w:szCs w:val="24"/>
        </w:rPr>
        <w:t>y</w:t>
      </w:r>
      <w:r w:rsidRPr="006C542A">
        <w:rPr>
          <w:rFonts w:cs="Times New Roman"/>
          <w:szCs w:val="24"/>
        </w:rPr>
        <w:t>ohimbine</w:t>
      </w:r>
      <w:r>
        <w:rPr>
          <w:rFonts w:cs="Times New Roman"/>
          <w:szCs w:val="24"/>
        </w:rPr>
        <w:t xml:space="preserve"> (α</w:t>
      </w:r>
      <w:r w:rsidRPr="00E970C4">
        <w:rPr>
          <w:rFonts w:cs="Times New Roman"/>
          <w:szCs w:val="24"/>
          <w:vertAlign w:val="subscript"/>
        </w:rPr>
        <w:t>2</w:t>
      </w:r>
      <w:r>
        <w:rPr>
          <w:rFonts w:cs="Times New Roman"/>
          <w:szCs w:val="24"/>
        </w:rPr>
        <w:t>-adrenergic receptor antagonist)</w:t>
      </w:r>
      <w:r w:rsidRPr="006C542A">
        <w:rPr>
          <w:rFonts w:cs="Times New Roman"/>
          <w:szCs w:val="24"/>
        </w:rPr>
        <w:t>,</w:t>
      </w:r>
      <w:r w:rsidRPr="006C542A">
        <w:rPr>
          <w:rFonts w:cs="Times New Roman"/>
          <w:szCs w:val="24"/>
        </w:rPr>
        <w:fldChar w:fldCharType="begin"/>
      </w:r>
      <w:r>
        <w:rPr>
          <w:rFonts w:cs="Times New Roman"/>
          <w:szCs w:val="24"/>
        </w:rPr>
        <w:instrText xml:space="preserve"> ADDIN ZOTERO_ITEM CSL_CITATION {"citationID":"6pUDg1gg","properties":{"formattedCitation":"\\super 28\\nosupersub{}","plainCitation":"28","noteIndex":0},"citationItems":[{"id":106,"uris":["http://zotero.org/users/6503767/items/SPL869UT"],"itemData":{"id":106,"type":"article-journal","abstract":"Herein, we evaluate the interaction of the α2-AR antagonist, yohimbine, as compared to fluparoxan, at multiple monoaminergic receptors and examine their roles in the modulation of adrenergic, dopaminergic and serotonergic transmission in freely-moving rats. Yohimbine displays marked affinity at human (h)α2A-, hα2B- and hα2C-ARs, significant affinity for h5-HT1A, h5-HT1B, h5-HT1D, and hD2 receptors and weak affinity for hD3 receptors. In [35S]GTPγS binding protocols, yohimbine exerts antagonist actions at hα2A-AR, h5-HT1B, h5-HT1D, and hD2 sites, yet partial agonist actions at h5-HT1A sites. In vivo, agonist actions of yohimbine at 5-HT1A sites are revealed by WAY100,635-reversible induction of hypothermia in the rat. In guinea pigs, antagonist actions of yohimbine at 5-HT1B receptors are revealed by blockade of hypothermia evoked by the 5-HT1B agonist, GR46,611. In distinction to yohimbine, fluparoxan shows only modest partial agonist actions at h5-HT1A sites versus marked antagonist actions at hα2-ARs. While fluparoxan selectively enhances hippocampal noradrenaline (NAD) turnover, yohimbine also enhances striatal dopamine (DA) turnover and suppresses striatal turnover of 5-HT. Further, yohimbine decreases firing of serotonergic neurones in raphe nuclei, an action reversed by WAY100,635. Fluparoxan increases extracellular levels of DA and NAD, but not 5-HT, in frontal cortex. In analogy, yohimbine enhances FCX levels of DA and NAD, yet suppresses those of 5-HT, the latter effect being antagonized by WAY100,635. The induction by fluoxetine of FCX levels of 5-HT, DA, and NAD is potentiated by fluparoxan. Yohimbine likewise facilitates the influence of fluoxetine upon DA and NAD levels, but not those of 5-HT. In conclusion, the α2-AR antagonist properties of yohimbine increase DA and NAD levels both alone and in association with fluoxetine. However, in contrast to the selective α2-AR antagonist, fluparoxan, the 5-HT1A agonist actions of yohimbine suppress 5-HT levels alone and underlie its inability to augment the influence of fluoxetine upon 5-HT levels. Synapse 35:79–95, 2000. © 2000 Wiley-Liss, Inc.","container-title":"Synapse","DOI":"https://doi.org/10.1002/(SICI)1098-2396(200002)35:2&lt;79::AID-SYN1&gt;3.0.CO;2-X","ISSN":"1098-2396","issue":"2","language":"en","note":"_eprint: https://onlinelibrary.wiley.com/doi/pdf/10.1002/%28SICI%291098-2396%28200002%2935%3A2%3C79%3A%3AAID-SYN1%3E3.0.CO%3B2-X","page":"79-95","source":"Wiley Online Library","title":"Agonist and antagonist actions of yohimbine as compared to fluparoxan at α2-adrenergic receptors (AR)s, serotonin (5-HT)1A, 5-HT1B, 5-HT1D and dopamine D2 and D3 receptors. Significance for the modulation of frontocortical monoaminergic transmission and depressive states","volume":"35","author":[{"family":"Millan","given":"Mark J."},{"family":"Newman‐Tancredi","given":"Adrian"},{"family":"Audinot","given":"Valérie"},{"family":"Cussac","given":"Didier"},{"family":"Lejeune","given":"Françoise"},{"family":"Nicolas","given":"Jean-Paul"},{"family":"Cogé","given":"Francis"},{"family":"Galizzi","given":"Jean-Pierre"},{"family":"Boutin","given":"Jean A."},{"family":"Rivet","given":"Jean-Michel"},{"family":"Dekeyne","given":"Anne"},{"family":"Gobert","given":"Alain"}],"issued":{"date-parts":[["2000"]]}}}],"schema":"https://github.com/citation-style-language/schema/raw/master/csl-citation.json"} </w:instrText>
      </w:r>
      <w:r w:rsidRPr="006C542A">
        <w:rPr>
          <w:rFonts w:cs="Times New Roman"/>
          <w:szCs w:val="24"/>
        </w:rPr>
        <w:fldChar w:fldCharType="separate"/>
      </w:r>
      <w:r w:rsidRPr="007E6D6C">
        <w:rPr>
          <w:rFonts w:cs="Times New Roman"/>
          <w:szCs w:val="24"/>
          <w:vertAlign w:val="superscript"/>
        </w:rPr>
        <w:t>28</w:t>
      </w:r>
      <w:r w:rsidRPr="006C542A">
        <w:rPr>
          <w:rFonts w:cs="Times New Roman"/>
          <w:szCs w:val="24"/>
        </w:rPr>
        <w:fldChar w:fldCharType="end"/>
      </w:r>
      <w:r w:rsidRPr="006C542A">
        <w:rPr>
          <w:rFonts w:cs="Times New Roman"/>
          <w:szCs w:val="24"/>
        </w:rPr>
        <w:t xml:space="preserve"> </w:t>
      </w:r>
      <w:proofErr w:type="spellStart"/>
      <w:r>
        <w:rPr>
          <w:rFonts w:cs="Times New Roman"/>
          <w:szCs w:val="24"/>
        </w:rPr>
        <w:t>s</w:t>
      </w:r>
      <w:r w:rsidRPr="006C542A">
        <w:rPr>
          <w:rFonts w:cs="Times New Roman"/>
          <w:szCs w:val="24"/>
        </w:rPr>
        <w:t>trictosidine</w:t>
      </w:r>
      <w:proofErr w:type="spellEnd"/>
      <w:r>
        <w:rPr>
          <w:rFonts w:cs="Times New Roman"/>
          <w:szCs w:val="24"/>
        </w:rPr>
        <w:t xml:space="preserve"> (common biosynthetic intermediate)</w:t>
      </w:r>
      <w:r w:rsidRPr="006C542A">
        <w:rPr>
          <w:rFonts w:cs="Times New Roman"/>
          <w:szCs w:val="24"/>
        </w:rPr>
        <w:t>,</w:t>
      </w:r>
      <w:r w:rsidRPr="006C542A">
        <w:rPr>
          <w:rFonts w:cs="Times New Roman"/>
          <w:szCs w:val="24"/>
        </w:rPr>
        <w:fldChar w:fldCharType="begin"/>
      </w:r>
      <w:r>
        <w:rPr>
          <w:rFonts w:cs="Times New Roman"/>
          <w:szCs w:val="24"/>
        </w:rPr>
        <w:instrText xml:space="preserve"> ADDIN ZOTERO_ITEM CSL_CITATION {"citationID":"2jAMbxuW","properties":{"formattedCitation":"\\super 29\\nosupersub{}","plainCitation":"29","noteIndex":0},"citationItems":[{"id":108,"uris":["http://zotero.org/users/6503767/items/BSD4YF98"],"itemData":{"id":108,"type":"article-journal","container-title":"Biochemistry","DOI":"10.1021/bi00584a018","ISSN":"0006-2960","issue":"17","journalAbbreviation":"Biochemistry","note":"publisher: American Chemical Society","page":"3760-3763","source":"ACS Publications","title":"Purification and properties of strictosidine synthetase (an enzyme condensing tryptamine and secologanin) from Catharanthus roseus cultured cells","volume":"18","author":[{"family":"Mizukami","given":"Hajime"},{"family":"Nordlov","given":"Hans"},{"family":"Lee","given":"Siu-Leung"},{"family":"Scott","given":"A. Ian"}],"issued":{"date-parts":[["1979",8,21]]}}}],"schema":"https://github.com/citation-style-language/schema/raw/master/csl-citation.json"} </w:instrText>
      </w:r>
      <w:r w:rsidRPr="006C542A">
        <w:rPr>
          <w:rFonts w:cs="Times New Roman"/>
          <w:szCs w:val="24"/>
        </w:rPr>
        <w:fldChar w:fldCharType="separate"/>
      </w:r>
      <w:r w:rsidRPr="007E6D6C">
        <w:rPr>
          <w:rFonts w:cs="Times New Roman"/>
          <w:szCs w:val="24"/>
          <w:vertAlign w:val="superscript"/>
        </w:rPr>
        <w:t>29</w:t>
      </w:r>
      <w:r w:rsidRPr="006C542A">
        <w:rPr>
          <w:rFonts w:cs="Times New Roman"/>
          <w:szCs w:val="24"/>
        </w:rPr>
        <w:fldChar w:fldCharType="end"/>
      </w:r>
      <w:r w:rsidRPr="006C542A">
        <w:rPr>
          <w:rFonts w:cs="Times New Roman"/>
          <w:szCs w:val="24"/>
        </w:rPr>
        <w:t xml:space="preserve"> </w:t>
      </w:r>
      <w:proofErr w:type="spellStart"/>
      <w:r>
        <w:rPr>
          <w:rFonts w:cs="Times New Roman"/>
          <w:szCs w:val="24"/>
        </w:rPr>
        <w:t>m</w:t>
      </w:r>
      <w:r w:rsidRPr="006C542A">
        <w:rPr>
          <w:rFonts w:cs="Times New Roman"/>
          <w:szCs w:val="24"/>
        </w:rPr>
        <w:t>itragynine</w:t>
      </w:r>
      <w:proofErr w:type="spellEnd"/>
      <w:r>
        <w:rPr>
          <w:rFonts w:cs="Times New Roman"/>
          <w:szCs w:val="24"/>
        </w:rPr>
        <w:t xml:space="preserve"> (partial </w:t>
      </w:r>
      <w:r>
        <w:rPr>
          <w:rFonts w:ascii="Calibri" w:hAnsi="Calibri" w:cs="Calibri"/>
          <w:szCs w:val="24"/>
        </w:rPr>
        <w:t>μ</w:t>
      </w:r>
      <w:r>
        <w:rPr>
          <w:rFonts w:cs="Times New Roman"/>
          <w:szCs w:val="24"/>
        </w:rPr>
        <w:t>-opioid agonist)</w:t>
      </w:r>
      <w:r w:rsidRPr="006C542A">
        <w:rPr>
          <w:rFonts w:cs="Times New Roman"/>
          <w:szCs w:val="24"/>
        </w:rPr>
        <w:t>,</w:t>
      </w:r>
      <w:r w:rsidRPr="006C542A">
        <w:rPr>
          <w:rFonts w:cs="Times New Roman"/>
          <w:szCs w:val="24"/>
        </w:rPr>
        <w:fldChar w:fldCharType="begin"/>
      </w:r>
      <w:r>
        <w:rPr>
          <w:rFonts w:cs="Times New Roman"/>
          <w:szCs w:val="24"/>
        </w:rPr>
        <w:instrText xml:space="preserve"> ADDIN ZOTERO_ITEM CSL_CITATION {"citationID":"le8PIqVl","properties":{"formattedCitation":"\\super 30\\nosupersub{}","plainCitation":"30","noteIndex":0},"citationItems":[{"id":109,"uris":["http://zotero.org/users/6503767/items/ECX4S88H"],"itemData":{"id":109,"type":"article-journal","abstract":"Kratom (or Ketum) is a psychoactive plant preparation used in Southeast Asia. It is derived from the plant Mitragyna speciosa Korth. Kratom as well as its main alkaloid, mitragynine, currently spreads around the world. Thus, addiction potential and adverse health consequences are becoming an important issue for health authorities. Here we reviewed the available evidence and identified future research needs. It was found that mitragynine and M. speciosa preparations are systematically consumed with rather well defined instrumentalization goals, e.g. to enhance tolerance for hard work or as a substitute in the self-treatment of opiate addiction. There is also evidence from experimental animal models supporting analgesic, muscle relaxant, anti-inflammatory as well as strong anorectic effects. In humans, regular consumption may escalate, lead to tolerance and may yield aversive withdrawal effects. Mitragynine and its derivatives actions in the central nervous system involve μ-opioid receptors, neuronal Ca2+ channels and descending monoaminergic projections. Altogether, available data currently suggest both, a therapeutic as well as an abuse potential.","container-title":"Neuroscience &amp; Biobehavioral Reviews","DOI":"10.1016/j.neubiorev.2012.11.012","ISSN":"0149-7634","issue":"2","journalAbbreviation":"Neuroscience &amp; Biobehavioral Reviews","language":"en","page":"138-151","source":"ScienceDirect","title":"From Kratom to mitragynine and its derivatives: Physiological and behavioural effects related to use, abuse, and addiction","title-short":"From Kratom to mitragynine and its derivatives","volume":"37","author":[{"family":"Hassan","given":"Zurina"},{"family":"Muzaimi","given":"Mustapha"},{"family":"Navaratnam","given":"Visweswaran"},{"family":"Yusoff","given":"Nurul H. M."},{"family":"Suhaimi","given":"Farah W."},{"family":"Vadivelu","given":"Rajakumar"},{"family":"Vicknasingam","given":"Balasingam K."},{"family":"Amato","given":"Davide"},{"family":"Hörsten","given":"Stephan","non-dropping-particle":"von"},{"family":"Ismail","given":"Nurul I. W."},{"family":"Jayabalan","given":"Nanthini"},{"family":"Hazim","given":"Ammar I."},{"family":"Mansor","given":"Sharif M."},{"family":"Müller","given":"Christian P."}],"issued":{"date-parts":[["2013",2,1]]}}}],"schema":"https://github.com/citation-style-language/schema/raw/master/csl-citation.json"} </w:instrText>
      </w:r>
      <w:r w:rsidRPr="006C542A">
        <w:rPr>
          <w:rFonts w:cs="Times New Roman"/>
          <w:szCs w:val="24"/>
        </w:rPr>
        <w:fldChar w:fldCharType="separate"/>
      </w:r>
      <w:r w:rsidRPr="007E6D6C">
        <w:rPr>
          <w:rFonts w:cs="Times New Roman"/>
          <w:szCs w:val="24"/>
          <w:vertAlign w:val="superscript"/>
        </w:rPr>
        <w:t>30</w:t>
      </w:r>
      <w:r w:rsidRPr="006C542A">
        <w:rPr>
          <w:rFonts w:cs="Times New Roman"/>
          <w:szCs w:val="24"/>
        </w:rPr>
        <w:fldChar w:fldCharType="end"/>
      </w:r>
      <w:r w:rsidRPr="006C542A">
        <w:rPr>
          <w:rFonts w:cs="Times New Roman"/>
          <w:szCs w:val="24"/>
        </w:rPr>
        <w:t xml:space="preserve"> </w:t>
      </w:r>
      <w:proofErr w:type="spellStart"/>
      <w:r>
        <w:rPr>
          <w:rFonts w:cs="Times New Roman"/>
          <w:szCs w:val="24"/>
        </w:rPr>
        <w:t>h</w:t>
      </w:r>
      <w:r w:rsidRPr="006C542A">
        <w:rPr>
          <w:rFonts w:cs="Times New Roman"/>
          <w:szCs w:val="24"/>
        </w:rPr>
        <w:t>armine</w:t>
      </w:r>
      <w:proofErr w:type="spellEnd"/>
      <w:r>
        <w:rPr>
          <w:rFonts w:cs="Times New Roman"/>
          <w:szCs w:val="24"/>
        </w:rPr>
        <w:t xml:space="preserve"> (monoamine oxidase inhibitor)</w:t>
      </w:r>
      <w:r w:rsidRPr="006C542A">
        <w:rPr>
          <w:rFonts w:cs="Times New Roman"/>
          <w:szCs w:val="24"/>
        </w:rPr>
        <w:t>,</w:t>
      </w:r>
      <w:r w:rsidRPr="006C542A">
        <w:rPr>
          <w:rFonts w:cs="Times New Roman"/>
          <w:szCs w:val="24"/>
        </w:rPr>
        <w:fldChar w:fldCharType="begin"/>
      </w:r>
      <w:r>
        <w:rPr>
          <w:rFonts w:cs="Times New Roman"/>
          <w:szCs w:val="24"/>
        </w:rPr>
        <w:instrText xml:space="preserve"> ADDIN ZOTERO_ITEM CSL_CITATION {"citationID":"WLzqrqxQ","properties":{"formattedCitation":"\\super 31\\nosupersub{}","plainCitation":"31","noteIndex":0},"citationItems":[{"id":112,"uris":["http://zotero.org/users/6503767/items/T9DJIAZ6"],"itemData":{"id":112,"type":"chapter","abstract":"This chapter describes the possible therapeutic applications of harmala seeds. Nearly all parts of the plant are used in the traditional system of medicine, for the treatment of a number of human ailments, including lumbago, asthma, colic, and jaundice and for use as a stimulant emmenagogue. Medicinally, the fruits and seeds have digestive, diuretic, hallucinogenic, hypnotic, antipyretic, antispasmodic, nauseant, emetic, and uterine stimulant activities. The pharmacologically active compounds of harmala seeds are several alkaloids, including β-carbolines, such as harmine, harmaline, harmalol, harman and quinazoline derivatives, and vasicine (peganine) and vasicinone. The β-carboline alkaloids harmine and harmaline, which show monoamine oxidase inhibition, are used as a psychoactive drug to treat Parkinson's disease. Harmala alkaloids are short-term monoamine oxidase inhibitors. An MAOI acts to inhibit a key enzyme, monoamine oxidase (MAO), in the human body, responsible for processes in the brain and throughout the body. Harmala seeds are used as a galactogogue. They are also effective in painful and difficult menstruation and for regulating menstruation. The fruits and seeds of harmala are digestive, diuretic, antipyretic, antispasmodic, nauseant, and emetic. All parts of the plant are thought to be toxic, but toxicity is not severe. Monoamine oxidase inhibitors act to inhibit a key enzyme in the human body responsible for processes in the brain and throughout the body.","container-title":"Nuts and Seeds in Health and Disease Prevention","event-place":"San Diego","ISBN":"978-0-12-375688-6","language":"en","note":"DOI: 10.1016/B978-0-12-375688-6.10070-2","page":"585-599","publisher":"Academic Press","publisher-place":"San Diego","source":"ScienceDirect","title":"Chapter 70 - Medicinal and Pharmacological Potential of Harmala (Peganum harmala L.) Seeds","URL":"https://www.sciencedirect.com/science/article/pii/B9780123756886100702","author":[{"family":"Marwat","given":"Sarfaraz Khan"},{"family":"Rehman","given":"Fazal","dropping-particle":"ur"}],"editor":[{"family":"Preedy","given":"Victor R."},{"family":"Watson","given":"Ronald Ross"},{"family":"Patel","given":"Vinood B."}],"accessed":{"date-parts":[["2021",4,14]]},"issued":{"date-parts":[["2011",1,1]]}}}],"schema":"https://github.com/citation-style-language/schema/raw/master/csl-citation.json"} </w:instrText>
      </w:r>
      <w:r w:rsidRPr="006C542A">
        <w:rPr>
          <w:rFonts w:cs="Times New Roman"/>
          <w:szCs w:val="24"/>
        </w:rPr>
        <w:fldChar w:fldCharType="separate"/>
      </w:r>
      <w:r w:rsidRPr="007E6D6C">
        <w:rPr>
          <w:rFonts w:cs="Times New Roman"/>
          <w:szCs w:val="24"/>
          <w:vertAlign w:val="superscript"/>
        </w:rPr>
        <w:t>31</w:t>
      </w:r>
      <w:r w:rsidRPr="006C542A">
        <w:rPr>
          <w:rFonts w:cs="Times New Roman"/>
          <w:szCs w:val="24"/>
        </w:rPr>
        <w:fldChar w:fldCharType="end"/>
      </w:r>
      <w:r w:rsidRPr="006C542A">
        <w:rPr>
          <w:rFonts w:cs="Times New Roman"/>
          <w:szCs w:val="24"/>
        </w:rPr>
        <w:t xml:space="preserve"> </w:t>
      </w:r>
      <w:proofErr w:type="spellStart"/>
      <w:r>
        <w:rPr>
          <w:rFonts w:cs="Times New Roman"/>
          <w:szCs w:val="24"/>
        </w:rPr>
        <w:t>e</w:t>
      </w:r>
      <w:r w:rsidRPr="006C542A">
        <w:rPr>
          <w:rFonts w:cs="Times New Roman"/>
          <w:szCs w:val="24"/>
        </w:rPr>
        <w:t>udistomin</w:t>
      </w:r>
      <w:r>
        <w:rPr>
          <w:rFonts w:cs="Times New Roman"/>
          <w:szCs w:val="24"/>
        </w:rPr>
        <w:t>s</w:t>
      </w:r>
      <w:proofErr w:type="spellEnd"/>
      <w:r>
        <w:rPr>
          <w:rFonts w:cs="Times New Roman"/>
          <w:szCs w:val="24"/>
        </w:rPr>
        <w:t xml:space="preserve"> (cytotoxic, antitumor, and antiviral properties)</w:t>
      </w:r>
      <w:r w:rsidRPr="006C542A">
        <w:rPr>
          <w:rFonts w:cs="Times New Roman"/>
          <w:szCs w:val="24"/>
        </w:rPr>
        <w:t>,</w:t>
      </w:r>
      <w:r w:rsidRPr="006C542A">
        <w:rPr>
          <w:rFonts w:cs="Times New Roman"/>
          <w:szCs w:val="24"/>
        </w:rPr>
        <w:fldChar w:fldCharType="begin"/>
      </w:r>
      <w:r>
        <w:rPr>
          <w:rFonts w:cs="Times New Roman"/>
          <w:szCs w:val="24"/>
        </w:rPr>
        <w:instrText xml:space="preserve"> ADDIN ZOTERO_ITEM CSL_CITATION {"citationID":"D4nvmO3i","properties":{"formattedCitation":"\\super 32\\nosupersub{}","plainCitation":"32","noteIndex":0},"citationItems":[{"id":105,"uris":["http://zotero.org/users/6503767/items/AJKKX6N5"],"itemData":{"id":105,"type":"article-journal","abstract":"Chemical investigation of the Micronesian ascidian Eudistoma sp. afforded two new eudistomin congeners, which were designated eudistomins W (1) and X (2). The structures of the new compounds were unambiguously established on the basis of NMR spectroscopic (1H, 13C, COSY, 1H detected direct, and long-range 13C−1H correlations) and mass spectrometric (EI and ESIMS) data. Compound 2 exhibited antibiotic activity toward Bacillus subtilis, Staphyloccocus aureus, and Escherichia coli and was also found to be fungicidal against Candida albicans in an agar diffusion assay. Compound 1 was selectively active against C. albicans but showed no antibacterial activity.","container-title":"Journal of Natural Products","DOI":"10.1021/np020315n","ISSN":"0163-3864","issue":"2","journalAbbreviation":"J. Nat. Prod.","note":"publisher: American Chemical Society","page":"272-275","source":"ACS Publications","title":"Eudistomins W and X, Two New β-Carbolines from the Micronesian Tunicate Eudistoma sp.","volume":"66","author":[{"family":"Schupp","given":"Peter"},{"family":"Poehner","given":"Timo"},{"family":"Edrada","given":"RuAngelie"},{"family":"Ebel","given":"Rainer"},{"family":"Berg","given":"Albrecht"},{"family":"Wray","given":"Victor"},{"family":"Proksch","given":"Peter"}],"issued":{"date-parts":[["2003",2,1]]}}}],"schema":"https://github.com/citation-style-language/schema/raw/master/csl-citation.json"} </w:instrText>
      </w:r>
      <w:r w:rsidRPr="006C542A">
        <w:rPr>
          <w:rFonts w:cs="Times New Roman"/>
          <w:szCs w:val="24"/>
        </w:rPr>
        <w:fldChar w:fldCharType="separate"/>
      </w:r>
      <w:r w:rsidRPr="007E6D6C">
        <w:rPr>
          <w:rFonts w:cs="Times New Roman"/>
          <w:szCs w:val="24"/>
          <w:vertAlign w:val="superscript"/>
        </w:rPr>
        <w:t>32</w:t>
      </w:r>
      <w:r w:rsidRPr="006C542A">
        <w:rPr>
          <w:rFonts w:cs="Times New Roman"/>
          <w:szCs w:val="24"/>
        </w:rPr>
        <w:fldChar w:fldCharType="end"/>
      </w:r>
      <w:r w:rsidRPr="006C542A">
        <w:rPr>
          <w:rFonts w:cs="Times New Roman"/>
          <w:szCs w:val="24"/>
        </w:rPr>
        <w:t xml:space="preserve"> </w:t>
      </w:r>
      <w:proofErr w:type="spellStart"/>
      <w:r>
        <w:rPr>
          <w:rFonts w:cs="Times New Roman"/>
          <w:szCs w:val="24"/>
        </w:rPr>
        <w:t>h</w:t>
      </w:r>
      <w:r w:rsidRPr="006C542A">
        <w:rPr>
          <w:rFonts w:cs="Times New Roman"/>
          <w:szCs w:val="24"/>
        </w:rPr>
        <w:t>yrtiocarboline</w:t>
      </w:r>
      <w:proofErr w:type="spellEnd"/>
      <w:r>
        <w:rPr>
          <w:rFonts w:cs="Times New Roman"/>
          <w:szCs w:val="24"/>
        </w:rPr>
        <w:t xml:space="preserve"> (antiproliferative activity </w:t>
      </w:r>
      <w:proofErr w:type="spellStart"/>
      <w:r>
        <w:rPr>
          <w:rFonts w:cs="Times New Roman"/>
          <w:szCs w:val="24"/>
        </w:rPr>
        <w:t>agains</w:t>
      </w:r>
      <w:proofErr w:type="spellEnd"/>
      <w:r>
        <w:rPr>
          <w:rFonts w:cs="Times New Roman"/>
          <w:szCs w:val="24"/>
        </w:rPr>
        <w:t xml:space="preserve"> lung and lymphoma cancer cell lines)</w:t>
      </w:r>
      <w:r w:rsidRPr="006C542A">
        <w:rPr>
          <w:rFonts w:cs="Times New Roman"/>
          <w:szCs w:val="24"/>
        </w:rPr>
        <w:fldChar w:fldCharType="begin"/>
      </w:r>
      <w:r>
        <w:rPr>
          <w:rFonts w:cs="Times New Roman"/>
          <w:szCs w:val="24"/>
        </w:rPr>
        <w:instrText xml:space="preserve"> ADDIN ZOTERO_ITEM CSL_CITATION {"citationID":"LB2ZUdAU","properties":{"formattedCitation":"\\super 33\\nosupersub{}","plainCitation":"33","noteIndex":0},"citationItems":[{"id":102,"uris":["http://zotero.org/users/6503767/items/9QCEQBXV"],"itemData":{"id":102,"type":"article-journal","abstract":"A new 1-imidazoyl-3-carboxy-6-hydroxy-β-carboline alkaloid, named hyrtiocarboline (1), was isolated from a Papua New Guinea marine sponge Hyrtios reticulatus. The structure was elucidated from spectroscopic data, including 1H-15N HMBC NMR experiments that provided complementary 15N chemical shift information in support of the structure. This compound showed selective anti-proliferative activity against H522-T1 non-small cell lung, MDA-MB-435 melanoma, and U937 lymphoma cancer cell lines.","container-title":"Journal of natural products","DOI":"10.1021/np9005426","ISSN":"0163-3864","issue":"2","journalAbbreviation":"J Nat Prod","note":"PMID: 20000782\nPMCID: PMC2829331","page":"255-257","source":"PubMed Central","title":"A β-Carboline Alkaloid from the Papua New Guinea Marine Sponge Hyrtios reticulatus","volume":"73","author":[{"family":"Inman","given":"Wayne D."},{"family":"Bray","given":"Walter M."},{"family":"Gassner","given":"Nadine C."},{"family":"Lokey","given":"R. Scott"},{"family":"Tenney","given":"Karen"},{"family":"Shen","given":"Young Yongchun"},{"family":"TenDyke","given":"Karen"},{"family":"Suh","given":"Ted"},{"family":"Crews","given":"Phillip"}],"issued":{"date-parts":[["2010",2,26]]}}}],"schema":"https://github.com/citation-style-language/schema/raw/master/csl-citation.json"} </w:instrText>
      </w:r>
      <w:r w:rsidRPr="006C542A">
        <w:rPr>
          <w:rFonts w:cs="Times New Roman"/>
          <w:szCs w:val="24"/>
        </w:rPr>
        <w:fldChar w:fldCharType="separate"/>
      </w:r>
      <w:r w:rsidRPr="007E6D6C">
        <w:rPr>
          <w:rFonts w:cs="Times New Roman"/>
          <w:szCs w:val="24"/>
          <w:vertAlign w:val="superscript"/>
        </w:rPr>
        <w:t>33</w:t>
      </w:r>
      <w:r w:rsidRPr="006C542A">
        <w:rPr>
          <w:rFonts w:cs="Times New Roman"/>
          <w:szCs w:val="24"/>
        </w:rPr>
        <w:fldChar w:fldCharType="end"/>
      </w:r>
      <w:r w:rsidRPr="006C542A">
        <w:rPr>
          <w:rFonts w:cs="Times New Roman"/>
          <w:szCs w:val="24"/>
        </w:rPr>
        <w:t xml:space="preserve"> (</w:t>
      </w:r>
      <w:r w:rsidR="007B0CB1" w:rsidRPr="007B0CB1">
        <w:rPr>
          <w:rFonts w:cs="Times New Roman"/>
          <w:b/>
          <w:bCs/>
          <w:szCs w:val="24"/>
        </w:rPr>
        <w:fldChar w:fldCharType="begin"/>
      </w:r>
      <w:r w:rsidR="007B0CB1" w:rsidRPr="007B0CB1">
        <w:rPr>
          <w:rFonts w:cs="Times New Roman"/>
          <w:b/>
          <w:bCs/>
          <w:szCs w:val="24"/>
        </w:rPr>
        <w:instrText xml:space="preserve"> REF _Ref100742458 \h  \* MERGEFORMAT </w:instrText>
      </w:r>
      <w:r w:rsidR="007B0CB1" w:rsidRPr="007B0CB1">
        <w:rPr>
          <w:rFonts w:cs="Times New Roman"/>
          <w:b/>
          <w:bCs/>
          <w:szCs w:val="24"/>
        </w:rPr>
      </w:r>
      <w:r w:rsidR="007B0CB1" w:rsidRPr="007B0CB1">
        <w:rPr>
          <w:rFonts w:cs="Times New Roman"/>
          <w:b/>
          <w:bCs/>
          <w:szCs w:val="24"/>
        </w:rPr>
        <w:fldChar w:fldCharType="separate"/>
      </w:r>
      <w:r w:rsidR="00AA5AAC" w:rsidRPr="00AA5AAC">
        <w:rPr>
          <w:b/>
          <w:bCs/>
        </w:rPr>
        <w:t>Figure 1.6</w:t>
      </w:r>
      <w:r w:rsidR="007B0CB1" w:rsidRPr="007B0CB1">
        <w:rPr>
          <w:rFonts w:cs="Times New Roman"/>
          <w:b/>
          <w:bCs/>
          <w:szCs w:val="24"/>
        </w:rPr>
        <w:fldChar w:fldCharType="end"/>
      </w:r>
      <w:r w:rsidRPr="006C542A">
        <w:rPr>
          <w:rFonts w:cs="Times New Roman"/>
          <w:szCs w:val="24"/>
        </w:rPr>
        <w:t>).</w:t>
      </w:r>
      <w:r>
        <w:rPr>
          <w:rFonts w:cs="Times New Roman"/>
          <w:szCs w:val="24"/>
        </w:rPr>
        <w:t xml:space="preserve"> </w:t>
      </w:r>
    </w:p>
    <w:p w14:paraId="728CF43E" w14:textId="77777777" w:rsidR="000F7094" w:rsidRPr="00E26B0B" w:rsidRDefault="000F7094" w:rsidP="000F7094">
      <w:r w:rsidRPr="006C542A">
        <w:rPr>
          <w:rFonts w:cs="Times New Roman"/>
          <w:b/>
          <w:bCs/>
          <w:noProof/>
          <w:szCs w:val="24"/>
        </w:rPr>
        <mc:AlternateContent>
          <mc:Choice Requires="wps">
            <w:drawing>
              <wp:inline distT="0" distB="0" distL="0" distR="0" wp14:anchorId="1C46DA50" wp14:editId="6531EFA6">
                <wp:extent cx="5880100" cy="3204210"/>
                <wp:effectExtent l="0" t="0" r="25400" b="1524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3204210"/>
                        </a:xfrm>
                        <a:prstGeom prst="rect">
                          <a:avLst/>
                        </a:prstGeom>
                        <a:solidFill>
                          <a:srgbClr val="FFFFFF"/>
                        </a:solidFill>
                        <a:ln w="9525">
                          <a:solidFill>
                            <a:srgbClr val="000000"/>
                          </a:solidFill>
                          <a:miter lim="800000"/>
                          <a:headEnd/>
                          <a:tailEnd/>
                        </a:ln>
                      </wps:spPr>
                      <wps:txbx>
                        <w:txbxContent>
                          <w:p w14:paraId="21B0E9E4" w14:textId="77777777" w:rsidR="000F7094" w:rsidRDefault="000F7094" w:rsidP="000F7094">
                            <w:pPr>
                              <w:keepNext/>
                              <w:spacing w:after="0"/>
                              <w:jc w:val="center"/>
                            </w:pPr>
                            <w:r>
                              <w:object w:dxaOrig="8345" w:dyaOrig="4277" w14:anchorId="4F7A4B8B">
                                <v:shape id="_x0000_i1026" type="#_x0000_t75" style="width:415.65pt;height:212.75pt" o:ole="">
                                  <v:imagedata r:id="rId75" o:title=""/>
                                </v:shape>
                                <o:OLEObject Type="Embed" ProgID="ChemDraw.Document.6.0" ShapeID="_x0000_i1026" DrawAspect="Content" ObjectID="_1713353464" r:id="rId76"/>
                              </w:object>
                            </w:r>
                          </w:p>
                          <w:p w14:paraId="1B0993DE" w14:textId="1770B48B" w:rsidR="000F7094" w:rsidRDefault="000F7094" w:rsidP="00DF51F5">
                            <w:pPr>
                              <w:pStyle w:val="Caption"/>
                            </w:pPr>
                            <w:bookmarkStart w:id="44" w:name="_Ref100742458"/>
                            <w:bookmarkStart w:id="45" w:name="_Toc100243234"/>
                            <w:bookmarkStart w:id="46" w:name="_Toc100748287"/>
                            <w:r>
                              <w:t>Figure 1.</w:t>
                            </w:r>
                            <w:fldSimple w:instr=" SEQ Figure \* ARABIC ">
                              <w:r w:rsidR="00AA5AAC">
                                <w:rPr>
                                  <w:noProof/>
                                </w:rPr>
                                <w:t>6</w:t>
                              </w:r>
                            </w:fldSimple>
                            <w:bookmarkEnd w:id="44"/>
                            <w:r>
                              <w:t xml:space="preserve">. </w:t>
                            </w:r>
                            <w:r w:rsidRPr="00CE6C93">
                              <w:rPr>
                                <w:rFonts w:cs="Times New Roman"/>
                              </w:rPr>
                              <w:t>β</w:t>
                            </w:r>
                            <w:r w:rsidRPr="00CE6C93">
                              <w:rPr>
                                <w:rFonts w:cstheme="minorHAnsi"/>
                              </w:rPr>
                              <w:t>-carboline</w:t>
                            </w:r>
                            <w:r>
                              <w:t>-containing natural products and biologically active compounds.</w:t>
                            </w:r>
                            <w:bookmarkEnd w:id="45"/>
                            <w:bookmarkEnd w:id="46"/>
                            <w:r>
                              <w:t xml:space="preserve"> </w:t>
                            </w:r>
                          </w:p>
                        </w:txbxContent>
                      </wps:txbx>
                      <wps:bodyPr rot="0" vert="horz" wrap="square" lIns="91440" tIns="45720" rIns="91440" bIns="45720" anchor="t" anchorCtr="0">
                        <a:noAutofit/>
                      </wps:bodyPr>
                    </wps:wsp>
                  </a:graphicData>
                </a:graphic>
              </wp:inline>
            </w:drawing>
          </mc:Choice>
          <mc:Fallback>
            <w:pict>
              <v:shape w14:anchorId="1C46DA50" id="_x0000_s1031" type="#_x0000_t202" style="width:463pt;height:25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">
                <v:textbox>
                  <w:txbxContent>
                    <w:p w14:paraId="21B0E9E4" w14:textId="77777777" w:rsidR="000F7094" w:rsidRDefault="000F7094" w:rsidP="000F7094">
                      <w:pPr>
                        <w:keepNext/>
                        <w:spacing w:after="0"/>
                        <w:jc w:val="center"/>
                      </w:pPr>
                      <w:r>
                        <w:object w:dxaOrig="8345" w:dyaOrig="4277" w14:anchorId="4F7A4B8B">
                          <v:shape id="_x0000_i1026" type="#_x0000_t75" style="width:415.65pt;height:212.75pt" o:ole="">
                            <v:imagedata r:id="rId75" o:title=""/>
                          </v:shape>
                          <o:OLEObject Type="Embed" ProgID="ChemDraw.Document.6.0" ShapeID="_x0000_i1026" DrawAspect="Content" ObjectID="_1713353464" r:id="rId77"/>
                        </w:object>
                      </w:r>
                    </w:p>
                    <w:p w14:paraId="1B0993DE" w14:textId="1770B48B" w:rsidR="000F7094" w:rsidRDefault="000F7094" w:rsidP="00DF51F5">
                      <w:pPr>
                        <w:pStyle w:val="Caption"/>
                      </w:pPr>
                      <w:bookmarkStart w:id="47" w:name="_Ref100742458"/>
                      <w:bookmarkStart w:id="48" w:name="_Toc100243234"/>
                      <w:bookmarkStart w:id="49" w:name="_Toc100748287"/>
                      <w:r>
                        <w:t>Figure 1.</w:t>
                      </w:r>
                      <w:fldSimple w:instr=" SEQ Figure \* ARABIC ">
                        <w:r w:rsidR="00AA5AAC">
                          <w:rPr>
                            <w:noProof/>
                          </w:rPr>
                          <w:t>6</w:t>
                        </w:r>
                      </w:fldSimple>
                      <w:bookmarkEnd w:id="47"/>
                      <w:r>
                        <w:t xml:space="preserve">. </w:t>
                      </w:r>
                      <w:r w:rsidRPr="00CE6C93">
                        <w:rPr>
                          <w:rFonts w:cs="Times New Roman"/>
                        </w:rPr>
                        <w:t>β</w:t>
                      </w:r>
                      <w:r w:rsidRPr="00CE6C93">
                        <w:rPr>
                          <w:rFonts w:cstheme="minorHAnsi"/>
                        </w:rPr>
                        <w:t>-carboline</w:t>
                      </w:r>
                      <w:r>
                        <w:t>-containing natural products and biologically active compounds.</w:t>
                      </w:r>
                      <w:bookmarkEnd w:id="48"/>
                      <w:bookmarkEnd w:id="49"/>
                      <w:r>
                        <w:t xml:space="preserve"> </w:t>
                      </w:r>
                    </w:p>
                  </w:txbxContent>
                </v:textbox>
                <w10:anchorlock/>
              </v:shape>
            </w:pict>
          </mc:Fallback>
        </mc:AlternateContent>
      </w:r>
    </w:p>
    <w:p w14:paraId="2482EB22" w14:textId="07B3932E" w:rsidR="000F7094" w:rsidRDefault="000F7094" w:rsidP="0042307F">
      <w:pPr>
        <w:rPr>
          <w:rFonts w:cs="Times New Roman"/>
          <w:szCs w:val="24"/>
        </w:rPr>
      </w:pPr>
      <w:r>
        <w:rPr>
          <w:rFonts w:cs="Times New Roman"/>
          <w:szCs w:val="24"/>
        </w:rPr>
        <w:tab/>
        <w:t>One challenge in plant-derived natural product drug discovery involves accessibility of starting materials. The lab-intensive and time-consuming extraction and isolation process serves as a bottle neck in drug development, because the amounts of active ingredients in natural medicines are usually fairly low.</w:t>
      </w:r>
      <w:r>
        <w:rPr>
          <w:rFonts w:cs="Times New Roman"/>
          <w:szCs w:val="24"/>
        </w:rPr>
        <w:fldChar w:fldCharType="begin"/>
      </w:r>
      <w:r>
        <w:rPr>
          <w:rFonts w:cs="Times New Roman"/>
          <w:szCs w:val="24"/>
        </w:rPr>
        <w:instrText xml:space="preserve"> ADDIN ZOTERO_ITEM CSL_CITATION {"citationID":"7vn28IDO","properties":{"formattedCitation":"\\super 34\\nosupersub{}","plainCitation":"34","noteIndex":0},"citationItems":[{"id":566,"uris":["http://zotero.org/users/6503767/items/2Y2PEDQ9"],"itemData":{"id":566,"type":"article-journal","abstract":"Natural medicines were the only option for the prevention and treatment of human diseases for thousands of years. Natural products are important sources for drug development. The amounts of bioactive natural products in natural medicines are always fairly low. Today, it is very crucial to develop effective and selective methods for the extraction and isolation of those bioactive natural products. This paper intends to provide a comprehensive view of a variety of methods used in the extraction and isolation of natural products. This paper also presents the advantage, disadvantage and practical examples of conventional and modern techniques involved in natural products research.","container-title":"Chinese Medicine","DOI":"10.1186/s13020-018-0177-x","ISSN":"1749-8546","issue":"1","journalAbbreviation":"Chinese Medicine","page":"20","source":"BioMed Central","title":"Techniques for extraction and isolation of natural products: a comprehensive review","title-short":"Techniques for extraction and isolation of natural products","volume":"13","author":[{"family":"Zhang","given":"Qing-Wen"},{"family":"Lin","given":"Li-Gen"},{"family":"Ye","given":"Wen-Cai"}],"issued":{"date-parts":[["2018",4,17]]}}}],"schema":"https://github.com/citation-style-language/schema/raw/master/csl-citation.json"} </w:instrText>
      </w:r>
      <w:r>
        <w:rPr>
          <w:rFonts w:cs="Times New Roman"/>
          <w:szCs w:val="24"/>
        </w:rPr>
        <w:fldChar w:fldCharType="separate"/>
      </w:r>
      <w:r w:rsidRPr="007E6D6C">
        <w:rPr>
          <w:rFonts w:cs="Times New Roman"/>
          <w:szCs w:val="24"/>
          <w:vertAlign w:val="superscript"/>
        </w:rPr>
        <w:t>34</w:t>
      </w:r>
      <w:r>
        <w:rPr>
          <w:rFonts w:cs="Times New Roman"/>
          <w:szCs w:val="24"/>
        </w:rPr>
        <w:fldChar w:fldCharType="end"/>
      </w:r>
      <w:r>
        <w:rPr>
          <w:rFonts w:cs="Times New Roman"/>
          <w:szCs w:val="24"/>
        </w:rPr>
        <w:t xml:space="preserve"> One example of a low-yielding yet pharmaceutically important natural product family is the </w:t>
      </w:r>
      <w:r w:rsidRPr="006A1450">
        <w:rPr>
          <w:rFonts w:cs="Times New Roman"/>
          <w:i/>
          <w:iCs/>
          <w:szCs w:val="24"/>
        </w:rPr>
        <w:t>Picrasma</w:t>
      </w:r>
      <w:r>
        <w:rPr>
          <w:rFonts w:cs="Times New Roman"/>
          <w:szCs w:val="24"/>
        </w:rPr>
        <w:t xml:space="preserve"> alkaloids. The isolation process of the bis-β-carboline quassidine compounds from </w:t>
      </w:r>
      <w:r w:rsidRPr="00E71A1A">
        <w:rPr>
          <w:rFonts w:cs="Times New Roman"/>
          <w:i/>
          <w:iCs/>
          <w:szCs w:val="24"/>
        </w:rPr>
        <w:t xml:space="preserve">Picrasma </w:t>
      </w:r>
      <w:proofErr w:type="spellStart"/>
      <w:r w:rsidRPr="00E71A1A">
        <w:rPr>
          <w:rFonts w:cs="Times New Roman"/>
          <w:i/>
          <w:iCs/>
          <w:szCs w:val="24"/>
        </w:rPr>
        <w:t>quassioides</w:t>
      </w:r>
      <w:proofErr w:type="spellEnd"/>
      <w:r>
        <w:rPr>
          <w:rFonts w:cs="Times New Roman"/>
          <w:szCs w:val="24"/>
        </w:rPr>
        <w:t xml:space="preserve"> stems by Yao et al.</w:t>
      </w:r>
      <w:r>
        <w:rPr>
          <w:rFonts w:cs="Times New Roman"/>
          <w:szCs w:val="24"/>
        </w:rPr>
        <w:fldChar w:fldCharType="begin"/>
      </w:r>
      <w:r>
        <w:rPr>
          <w:rFonts w:cs="Times New Roman"/>
          <w:szCs w:val="24"/>
        </w:rPr>
        <w:instrText xml:space="preserve"> ADDIN ZOTERO_ITEM CSL_CITATION {"citationID":"fPq5VmiX","properties":{"formattedCitation":"\\super 35\\nosupersub{}","plainCitation":"35","noteIndex":0},"citationItems":[{"id":347,"uris":["http://zotero.org/users/6503767/items/PNWG4FBH"],"itemData":{"id":347,"type":"article-journal","abstract":"Four new bis-β-carboline alkaloids, quassidines A−D (1−4), together with a known alkaloid, picrasidine C (5), were isolated from the stems of Picrasma quassioides. Quassidine A (1) is the first reported bis-β-carboline alkaloid possessing a novel cyclobutane moiety. The structures of the new compounds were determined on the basis of their 1D and 2D NMR and X-ray diffraction data. A possible biogenetic pathway for these alkaloids was proposed, and all compounds were evaluated for anti-inflammatory activity. Only quassidine A (1) showed weak activity.","container-title":"Journal of Natural Products","DOI":"10.1021/np900538r","ISSN":"0163-3864","issue":"2","journalAbbreviation":"J. Nat. Prod.","note":"publisher: American Chemical Society","page":"167-171","source":"ACS Publications","title":"Quassidines A−D, Bis-β-carboline Alkaloids from the Stems of Picrasma quassioides","volume":"73","author":[{"family":"Jiao","given":"Wei-Hua"},{"family":"Gao","given":"Hao"},{"family":"Li","given":"Chen-Yang"},{"family":"Zhao","given":"Feng"},{"family":"Jiang","given":"Ren-Wang"},{"family":"Wang","given":"Ying"},{"family":"Zhou","given":"Guang-Xiong"},{"family":"Yao","given":"Xin-Sheng"}],"issued":{"date-parts":[["2010",2,26]]}}}],"schema":"https://github.com/citation-style-language/schema/raw/master/csl-citation.json"} </w:instrText>
      </w:r>
      <w:r>
        <w:rPr>
          <w:rFonts w:cs="Times New Roman"/>
          <w:szCs w:val="24"/>
        </w:rPr>
        <w:fldChar w:fldCharType="separate"/>
      </w:r>
      <w:r w:rsidRPr="007E6D6C">
        <w:rPr>
          <w:rFonts w:cs="Times New Roman"/>
          <w:szCs w:val="24"/>
          <w:vertAlign w:val="superscript"/>
        </w:rPr>
        <w:t>35</w:t>
      </w:r>
      <w:r>
        <w:rPr>
          <w:rFonts w:cs="Times New Roman"/>
          <w:szCs w:val="24"/>
        </w:rPr>
        <w:fldChar w:fldCharType="end"/>
      </w:r>
      <w:r>
        <w:rPr>
          <w:rFonts w:cs="Times New Roman"/>
          <w:szCs w:val="24"/>
        </w:rPr>
        <w:t xml:space="preserve"> </w:t>
      </w:r>
      <w:r w:rsidR="002668E0">
        <w:rPr>
          <w:rFonts w:cs="Times New Roman"/>
          <w:szCs w:val="24"/>
        </w:rPr>
        <w:t xml:space="preserve">exemplifies the tedious isolation work of natural product drug discovery and </w:t>
      </w:r>
      <w:r>
        <w:rPr>
          <w:rFonts w:cs="Times New Roman"/>
          <w:szCs w:val="24"/>
        </w:rPr>
        <w:t>is depicted in</w:t>
      </w:r>
      <w:r w:rsidR="007B0CB1">
        <w:rPr>
          <w:rFonts w:cs="Times New Roman"/>
          <w:b/>
          <w:bCs/>
          <w:szCs w:val="24"/>
        </w:rPr>
        <w:t xml:space="preserve"> </w:t>
      </w:r>
      <w:r w:rsidR="007B0CB1" w:rsidRPr="007B0CB1">
        <w:rPr>
          <w:rFonts w:cs="Times New Roman"/>
          <w:b/>
          <w:bCs/>
          <w:szCs w:val="24"/>
        </w:rPr>
        <w:fldChar w:fldCharType="begin"/>
      </w:r>
      <w:r w:rsidR="007B0CB1" w:rsidRPr="007B0CB1">
        <w:rPr>
          <w:rFonts w:cs="Times New Roman"/>
          <w:b/>
          <w:bCs/>
          <w:szCs w:val="24"/>
        </w:rPr>
        <w:instrText xml:space="preserve"> REF _Ref100742582 \h  \* MERGEFORMAT </w:instrText>
      </w:r>
      <w:r w:rsidR="007B0CB1" w:rsidRPr="007B0CB1">
        <w:rPr>
          <w:rFonts w:cs="Times New Roman"/>
          <w:b/>
          <w:bCs/>
          <w:szCs w:val="24"/>
        </w:rPr>
      </w:r>
      <w:r w:rsidR="007B0CB1" w:rsidRPr="007B0CB1">
        <w:rPr>
          <w:rFonts w:cs="Times New Roman"/>
          <w:b/>
          <w:bCs/>
          <w:szCs w:val="24"/>
        </w:rPr>
        <w:fldChar w:fldCharType="separate"/>
      </w:r>
      <w:r w:rsidR="00AA5AAC" w:rsidRPr="00AA5AAC">
        <w:rPr>
          <w:b/>
          <w:bCs/>
        </w:rPr>
        <w:t>Figure 1.7</w:t>
      </w:r>
      <w:r w:rsidR="007B0CB1" w:rsidRPr="007B0CB1">
        <w:rPr>
          <w:rFonts w:cs="Times New Roman"/>
          <w:b/>
          <w:bCs/>
          <w:szCs w:val="24"/>
        </w:rPr>
        <w:fldChar w:fldCharType="end"/>
      </w:r>
      <w:r>
        <w:rPr>
          <w:rFonts w:cs="Times New Roman"/>
          <w:szCs w:val="24"/>
        </w:rPr>
        <w:t xml:space="preserve">. Briefly, the </w:t>
      </w:r>
      <w:r>
        <w:rPr>
          <w:rFonts w:cs="Times New Roman"/>
          <w:szCs w:val="24"/>
        </w:rPr>
        <w:lastRenderedPageBreak/>
        <w:t xml:space="preserve">resultant ethanol extract from 100 kg of plant material is dried, diluted with water, then partitioned between ethyl acetate, chloroform, and </w:t>
      </w:r>
      <w:r w:rsidRPr="006A1450">
        <w:rPr>
          <w:rFonts w:cs="Times New Roman"/>
          <w:i/>
          <w:iCs/>
          <w:szCs w:val="24"/>
        </w:rPr>
        <w:t>n</w:t>
      </w:r>
      <w:r>
        <w:rPr>
          <w:rFonts w:cs="Times New Roman"/>
          <w:szCs w:val="24"/>
        </w:rPr>
        <w:t>-butanol. Dried chloroform-soluble material (128 g) was then purified via silica gel chromatography to afford ten fractions, which were further purified to obtain 5.6 mg of picrasidine C (</w:t>
      </w:r>
      <w:r w:rsidR="006D7CF1" w:rsidRPr="006D7CF1">
        <w:rPr>
          <w:rFonts w:cs="Times New Roman"/>
          <w:b/>
          <w:bCs/>
          <w:szCs w:val="24"/>
        </w:rPr>
        <w:t>3.</w:t>
      </w:r>
      <w:r w:rsidRPr="006F069D">
        <w:rPr>
          <w:rFonts w:cs="Times New Roman"/>
          <w:b/>
          <w:bCs/>
          <w:szCs w:val="24"/>
        </w:rPr>
        <w:t>1</w:t>
      </w:r>
      <w:r>
        <w:rPr>
          <w:rFonts w:cs="Times New Roman"/>
          <w:szCs w:val="24"/>
        </w:rPr>
        <w:t>), 154 mg of quassidine B (</w:t>
      </w:r>
      <w:r w:rsidR="006D7CF1" w:rsidRPr="006D7CF1">
        <w:rPr>
          <w:rFonts w:cs="Times New Roman"/>
          <w:b/>
          <w:bCs/>
          <w:szCs w:val="24"/>
        </w:rPr>
        <w:t>3.</w:t>
      </w:r>
      <w:r w:rsidRPr="006F069D">
        <w:rPr>
          <w:rFonts w:cs="Times New Roman"/>
          <w:b/>
          <w:bCs/>
          <w:szCs w:val="24"/>
        </w:rPr>
        <w:t>4</w:t>
      </w:r>
      <w:r>
        <w:rPr>
          <w:rFonts w:cs="Times New Roman"/>
          <w:szCs w:val="24"/>
        </w:rPr>
        <w:t>), 16.8 mg of quassidine C (</w:t>
      </w:r>
      <w:r w:rsidR="006D7CF1" w:rsidRPr="006D7CF1">
        <w:rPr>
          <w:rFonts w:cs="Times New Roman"/>
          <w:b/>
          <w:bCs/>
          <w:szCs w:val="24"/>
        </w:rPr>
        <w:t>3.</w:t>
      </w:r>
      <w:r w:rsidRPr="006F069D">
        <w:rPr>
          <w:rFonts w:cs="Times New Roman"/>
          <w:b/>
          <w:bCs/>
          <w:szCs w:val="24"/>
        </w:rPr>
        <w:t>5</w:t>
      </w:r>
      <w:r>
        <w:rPr>
          <w:rFonts w:cs="Times New Roman"/>
          <w:szCs w:val="24"/>
        </w:rPr>
        <w:t>), 6.3 mg of quassidine D (</w:t>
      </w:r>
      <w:r w:rsidR="006D7CF1" w:rsidRPr="006D7CF1">
        <w:rPr>
          <w:rFonts w:cs="Times New Roman"/>
          <w:b/>
          <w:bCs/>
          <w:szCs w:val="24"/>
        </w:rPr>
        <w:t>3.</w:t>
      </w:r>
      <w:r w:rsidRPr="006F069D">
        <w:rPr>
          <w:rFonts w:cs="Times New Roman"/>
          <w:b/>
          <w:bCs/>
          <w:szCs w:val="24"/>
        </w:rPr>
        <w:t>6</w:t>
      </w:r>
      <w:r>
        <w:rPr>
          <w:rFonts w:cs="Times New Roman"/>
          <w:szCs w:val="24"/>
        </w:rPr>
        <w:t>), and 4.5 mg of quassidine A (</w:t>
      </w:r>
      <w:r w:rsidR="006D7CF1" w:rsidRPr="006D7CF1">
        <w:rPr>
          <w:rFonts w:cs="Times New Roman"/>
          <w:b/>
          <w:bCs/>
          <w:szCs w:val="24"/>
        </w:rPr>
        <w:t>3.</w:t>
      </w:r>
      <w:r w:rsidRPr="006F069D">
        <w:rPr>
          <w:rFonts w:cs="Times New Roman"/>
          <w:b/>
          <w:bCs/>
          <w:szCs w:val="24"/>
        </w:rPr>
        <w:t>17</w:t>
      </w:r>
      <w:r>
        <w:rPr>
          <w:rFonts w:cs="Times New Roman"/>
          <w:szCs w:val="24"/>
        </w:rPr>
        <w:t>).</w:t>
      </w:r>
      <w:r>
        <w:rPr>
          <w:rFonts w:cs="Times New Roman"/>
          <w:szCs w:val="24"/>
        </w:rPr>
        <w:fldChar w:fldCharType="begin"/>
      </w:r>
      <w:r>
        <w:rPr>
          <w:rFonts w:cs="Times New Roman"/>
          <w:szCs w:val="24"/>
        </w:rPr>
        <w:instrText xml:space="preserve"> ADDIN ZOTERO_ITEM CSL_CITATION {"citationID":"eeaFHoeN","properties":{"formattedCitation":"\\super 35\\nosupersub{}","plainCitation":"35","noteIndex":0},"citationItems":[{"id":347,"uris":["http://zotero.org/users/6503767/items/PNWG4FBH"],"itemData":{"id":347,"type":"article-journal","abstract":"Four new bis-β-carboline alkaloids, quassidines A−D (1−4), together with a known alkaloid, picrasidine C (5), were isolated from the stems of Picrasma quassioides. Quassidine A (1) is the first reported bis-β-carboline alkaloid possessing a novel cyclobutane moiety. The structures of the new compounds were determined on the basis of their 1D and 2D NMR and X-ray diffraction data. A possible biogenetic pathway for these alkaloids was proposed, and all compounds were evaluated for anti-inflammatory activity. Only quassidine A (1) showed weak activity.","container-title":"Journal of Natural Products","DOI":"10.1021/np900538r","ISSN":"0163-3864","issue":"2","journalAbbreviation":"J. Nat. Prod.","note":"publisher: American Chemical Society","page":"167-171","source":"ACS Publications","title":"Quassidines A−D, Bis-β-carboline Alkaloids from the Stems of Picrasma quassioides","volume":"73","author":[{"family":"Jiao","given":"Wei-Hua"},{"family":"Gao","given":"Hao"},{"family":"Li","given":"Chen-Yang"},{"family":"Zhao","given":"Feng"},{"family":"Jiang","given":"Ren-Wang"},{"family":"Wang","given":"Ying"},{"family":"Zhou","given":"Guang-Xiong"},{"family":"Yao","given":"Xin-Sheng"}],"issued":{"date-parts":[["2010",2,26]]}}}],"schema":"https://github.com/citation-style-language/schema/raw/master/csl-citation.json"} </w:instrText>
      </w:r>
      <w:r>
        <w:rPr>
          <w:rFonts w:cs="Times New Roman"/>
          <w:szCs w:val="24"/>
        </w:rPr>
        <w:fldChar w:fldCharType="separate"/>
      </w:r>
      <w:r w:rsidRPr="007E6D6C">
        <w:rPr>
          <w:rFonts w:cs="Times New Roman"/>
          <w:szCs w:val="24"/>
          <w:vertAlign w:val="superscript"/>
        </w:rPr>
        <w:t>35</w:t>
      </w:r>
      <w:r>
        <w:rPr>
          <w:rFonts w:cs="Times New Roman"/>
          <w:szCs w:val="24"/>
        </w:rPr>
        <w:fldChar w:fldCharType="end"/>
      </w:r>
      <w:r>
        <w:rPr>
          <w:rFonts w:cs="Times New Roman"/>
          <w:szCs w:val="24"/>
        </w:rPr>
        <w:t xml:space="preserve"> These compounds and their structures will be further discussed in </w:t>
      </w:r>
      <w:r w:rsidR="00B61AB6" w:rsidRPr="00B61AB6">
        <w:rPr>
          <w:rFonts w:cs="Times New Roman"/>
          <w:b/>
          <w:bCs/>
          <w:szCs w:val="24"/>
        </w:rPr>
        <w:t>S</w:t>
      </w:r>
      <w:r w:rsidRPr="00B61AB6">
        <w:rPr>
          <w:rFonts w:cs="Times New Roman"/>
          <w:b/>
          <w:bCs/>
          <w:szCs w:val="24"/>
        </w:rPr>
        <w:t>ection 1.2.4</w:t>
      </w:r>
      <w:r>
        <w:rPr>
          <w:rFonts w:cs="Times New Roman"/>
          <w:szCs w:val="24"/>
        </w:rPr>
        <w:t xml:space="preserve"> of this chapter (</w:t>
      </w:r>
      <w:r w:rsidR="00B61AB6" w:rsidRPr="00B61AB6">
        <w:rPr>
          <w:rFonts w:cs="Times New Roman"/>
          <w:b/>
          <w:bCs/>
          <w:szCs w:val="24"/>
        </w:rPr>
        <w:fldChar w:fldCharType="begin"/>
      </w:r>
      <w:r w:rsidR="00B61AB6" w:rsidRPr="00B61AB6">
        <w:rPr>
          <w:rFonts w:cs="Times New Roman"/>
          <w:b/>
          <w:bCs/>
          <w:szCs w:val="24"/>
        </w:rPr>
        <w:instrText xml:space="preserve"> REF _Ref100742700 \h  \* MERGEFORMAT </w:instrText>
      </w:r>
      <w:r w:rsidR="00B61AB6" w:rsidRPr="00B61AB6">
        <w:rPr>
          <w:rFonts w:cs="Times New Roman"/>
          <w:b/>
          <w:bCs/>
          <w:szCs w:val="24"/>
        </w:rPr>
      </w:r>
      <w:r w:rsidR="00B61AB6" w:rsidRPr="00B61AB6">
        <w:rPr>
          <w:rFonts w:cs="Times New Roman"/>
          <w:b/>
          <w:bCs/>
          <w:szCs w:val="24"/>
        </w:rPr>
        <w:fldChar w:fldCharType="separate"/>
      </w:r>
      <w:r w:rsidR="00AA5AAC" w:rsidRPr="00AA5AAC">
        <w:rPr>
          <w:b/>
          <w:bCs/>
        </w:rPr>
        <w:t>Figure 1.10</w:t>
      </w:r>
      <w:r w:rsidR="00B61AB6" w:rsidRPr="00B61AB6">
        <w:rPr>
          <w:rFonts w:cs="Times New Roman"/>
          <w:b/>
          <w:bCs/>
          <w:szCs w:val="24"/>
        </w:rPr>
        <w:fldChar w:fldCharType="end"/>
      </w:r>
      <w:r>
        <w:rPr>
          <w:rFonts w:cs="Times New Roman"/>
          <w:szCs w:val="24"/>
        </w:rPr>
        <w:t xml:space="preserve">), but the complex process of converting 100 kg of plant material into mere milligrams of pharmacologically relevant compounds exemplifies an important challenge when developing natural product-derived medicines. </w:t>
      </w:r>
    </w:p>
    <w:p w14:paraId="4D832D86" w14:textId="77777777" w:rsidR="000F7094" w:rsidRDefault="000F7094" w:rsidP="000F7094">
      <w:pPr>
        <w:spacing w:after="0"/>
      </w:pPr>
      <w:r>
        <w:rPr>
          <w:noProof/>
        </w:rPr>
        <mc:AlternateContent>
          <mc:Choice Requires="wps">
            <w:drawing>
              <wp:inline distT="0" distB="0" distL="0" distR="0" wp14:anchorId="47C3A32C" wp14:editId="4E050534">
                <wp:extent cx="5942965" cy="4118776"/>
                <wp:effectExtent l="0" t="0" r="19685" b="15240"/>
                <wp:docPr id="31" name="Text Box 2" descr="Depiction of isolation process of bis-β-carbolines conducted by Yao et 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4118776"/>
                        </a:xfrm>
                        <a:prstGeom prst="rect">
                          <a:avLst/>
                        </a:prstGeom>
                        <a:solidFill>
                          <a:srgbClr val="FFFFFF"/>
                        </a:solidFill>
                        <a:ln w="9525">
                          <a:solidFill>
                            <a:srgbClr val="000000"/>
                          </a:solidFill>
                          <a:miter lim="800000"/>
                          <a:headEnd/>
                          <a:tailEnd/>
                        </a:ln>
                      </wps:spPr>
                      <wps:txbx>
                        <w:txbxContent>
                          <w:p w14:paraId="4638A4F4" w14:textId="3197536F" w:rsidR="000F7094" w:rsidRDefault="006D7CF1" w:rsidP="000F7094">
                            <w:pPr>
                              <w:keepNext/>
                              <w:spacing w:after="0"/>
                              <w:jc w:val="center"/>
                            </w:pPr>
                            <w:r>
                              <w:rPr>
                                <w:noProof/>
                              </w:rPr>
                              <w:drawing>
                                <wp:inline distT="0" distB="0" distL="0" distR="0" wp14:anchorId="1568A74A" wp14:editId="323DE8A5">
                                  <wp:extent cx="5751195" cy="3622040"/>
                                  <wp:effectExtent l="0" t="0" r="0" b="0"/>
                                  <wp:docPr id="3" name="Picture 3" descr="Depiction of isolation process of bis-β-carbolines conducted by Yao et 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iction of isolation process of bis-β-carbolines conducted by Yao et al."/>
                                          <pic:cNvPicPr/>
                                        </pic:nvPicPr>
                                        <pic:blipFill>
                                          <a:blip r:embed="rId78">
                                            <a:extLst>
                                              <a:ext uri="{28A0092B-C50C-407E-A947-70E740481C1C}">
                                                <a14:useLocalDpi xmlns:a14="http://schemas.microsoft.com/office/drawing/2010/main" val="0"/>
                                              </a:ext>
                                            </a:extLst>
                                          </a:blip>
                                          <a:stretch>
                                            <a:fillRect/>
                                          </a:stretch>
                                        </pic:blipFill>
                                        <pic:spPr>
                                          <a:xfrm>
                                            <a:off x="0" y="0"/>
                                            <a:ext cx="5751195" cy="3622040"/>
                                          </a:xfrm>
                                          <a:prstGeom prst="rect">
                                            <a:avLst/>
                                          </a:prstGeom>
                                        </pic:spPr>
                                      </pic:pic>
                                    </a:graphicData>
                                  </a:graphic>
                                </wp:inline>
                              </w:drawing>
                            </w:r>
                          </w:p>
                          <w:p w14:paraId="061CF8F0" w14:textId="66C7F961" w:rsidR="000F7094" w:rsidRDefault="000F7094" w:rsidP="00DF51F5">
                            <w:pPr>
                              <w:pStyle w:val="Caption"/>
                            </w:pPr>
                            <w:bookmarkStart w:id="50" w:name="_Ref100742582"/>
                            <w:bookmarkStart w:id="51" w:name="_Toc100243235"/>
                            <w:bookmarkStart w:id="52" w:name="_Toc100748288"/>
                            <w:r>
                              <w:t>Figure 1.</w:t>
                            </w:r>
                            <w:fldSimple w:instr=" SEQ Figure \* ARABIC ">
                              <w:r w:rsidR="00AA5AAC">
                                <w:rPr>
                                  <w:noProof/>
                                </w:rPr>
                                <w:t>7</w:t>
                              </w:r>
                            </w:fldSimple>
                            <w:bookmarkEnd w:id="50"/>
                            <w:r>
                              <w:t>. Depiction of isolation process of bis-</w:t>
                            </w:r>
                            <w:r>
                              <w:rPr>
                                <w:rFonts w:cs="Times New Roman"/>
                              </w:rPr>
                              <w:t>β</w:t>
                            </w:r>
                            <w:r>
                              <w:t>-carbolines conducted by Yao et al.</w:t>
                            </w:r>
                            <w:bookmarkEnd w:id="51"/>
                            <w:bookmarkEnd w:id="52"/>
                          </w:p>
                        </w:txbxContent>
                      </wps:txbx>
                      <wps:bodyPr rot="0" vert="horz" wrap="square" lIns="91440" tIns="45720" rIns="91440" bIns="45720" anchor="t" anchorCtr="0">
                        <a:noAutofit/>
                      </wps:bodyPr>
                    </wps:wsp>
                  </a:graphicData>
                </a:graphic>
              </wp:inline>
            </w:drawing>
          </mc:Choice>
          <mc:Fallback>
            <w:pict>
              <v:shape w14:anchorId="47C3A32C" id="_x0000_s1032" type="#_x0000_t202" alt="Depiction of isolation process of bis-β-carbolines conducted by Yao et al." style="width:467.95pt;height:3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">
                <v:textbox>
                  <w:txbxContent>
                    <w:p w14:paraId="4638A4F4" w14:textId="3197536F" w:rsidR="000F7094" w:rsidRDefault="006D7CF1" w:rsidP="000F7094">
                      <w:pPr>
                        <w:keepNext/>
                        <w:spacing w:after="0"/>
                        <w:jc w:val="center"/>
                      </w:pPr>
                      <w:r>
                        <w:rPr>
                          <w:noProof/>
                        </w:rPr>
                        <w:drawing>
                          <wp:inline distT="0" distB="0" distL="0" distR="0" wp14:anchorId="1568A74A" wp14:editId="323DE8A5">
                            <wp:extent cx="5751195" cy="3622040"/>
                            <wp:effectExtent l="0" t="0" r="0" b="0"/>
                            <wp:docPr id="3" name="Picture 3" descr="Depiction of isolation process of bis-β-carbolines conducted by Yao et 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iction of isolation process of bis-β-carbolines conducted by Yao et al."/>
                                    <pic:cNvPicPr/>
                                  </pic:nvPicPr>
                                  <pic:blipFill>
                                    <a:blip r:embed="rId78">
                                      <a:extLst>
                                        <a:ext uri="{28A0092B-C50C-407E-A947-70E740481C1C}">
                                          <a14:useLocalDpi xmlns:a14="http://schemas.microsoft.com/office/drawing/2010/main" val="0"/>
                                        </a:ext>
                                      </a:extLst>
                                    </a:blip>
                                    <a:stretch>
                                      <a:fillRect/>
                                    </a:stretch>
                                  </pic:blipFill>
                                  <pic:spPr>
                                    <a:xfrm>
                                      <a:off x="0" y="0"/>
                                      <a:ext cx="5751195" cy="3622040"/>
                                    </a:xfrm>
                                    <a:prstGeom prst="rect">
                                      <a:avLst/>
                                    </a:prstGeom>
                                  </pic:spPr>
                                </pic:pic>
                              </a:graphicData>
                            </a:graphic>
                          </wp:inline>
                        </w:drawing>
                      </w:r>
                    </w:p>
                    <w:p w14:paraId="061CF8F0" w14:textId="66C7F961" w:rsidR="000F7094" w:rsidRDefault="000F7094" w:rsidP="00DF51F5">
                      <w:pPr>
                        <w:pStyle w:val="Caption"/>
                      </w:pPr>
                      <w:bookmarkStart w:id="53" w:name="_Ref100742582"/>
                      <w:bookmarkStart w:id="54" w:name="_Toc100243235"/>
                      <w:bookmarkStart w:id="55" w:name="_Toc100748288"/>
                      <w:r>
                        <w:t>Figure 1.</w:t>
                      </w:r>
                      <w:fldSimple w:instr=" SEQ Figure \* ARABIC ">
                        <w:r w:rsidR="00AA5AAC">
                          <w:rPr>
                            <w:noProof/>
                          </w:rPr>
                          <w:t>7</w:t>
                        </w:r>
                      </w:fldSimple>
                      <w:bookmarkEnd w:id="53"/>
                      <w:r>
                        <w:t>. Depiction of isolation process of bis-</w:t>
                      </w:r>
                      <w:r>
                        <w:rPr>
                          <w:rFonts w:cs="Times New Roman"/>
                        </w:rPr>
                        <w:t>β</w:t>
                      </w:r>
                      <w:r>
                        <w:t>-carbolines conducted by Yao et al.</w:t>
                      </w:r>
                      <w:bookmarkEnd w:id="54"/>
                      <w:bookmarkEnd w:id="55"/>
                    </w:p>
                  </w:txbxContent>
                </v:textbox>
                <w10:anchorlock/>
              </v:shape>
            </w:pict>
          </mc:Fallback>
        </mc:AlternateContent>
      </w:r>
    </w:p>
    <w:p w14:paraId="3C765408" w14:textId="6CF5F8D2" w:rsidR="000F7094" w:rsidRDefault="000F7094" w:rsidP="000F7094">
      <w:r>
        <w:tab/>
        <w:t xml:space="preserve">When natural product isolation is not sustainable or scalable, opportunity arises for the development of routes to provide synthetic access to natural products. The prototypical example </w:t>
      </w:r>
      <w:r>
        <w:lastRenderedPageBreak/>
        <w:t>of this is paclitaxel (Taxol), a transformational anticancer drug. Extraction from natural sources required material from thousands of trees to obtain sufficient quantities for clinical use. This consumption of the Yew tree is largely responsible for the ~30% decline in Pacific Yew populations over the last three generations, ultimately leading to the addition of the Pacific Yew tree to the “Near Threatened” species list.</w:t>
      </w:r>
      <w:r>
        <w:fldChar w:fldCharType="begin"/>
      </w:r>
      <w:r>
        <w:instrText xml:space="preserve"> ADDIN ZOTERO_ITEM CSL_CITATION {"citationID":"ejGHeRxF","properties":{"formattedCitation":"\\super 36\\nosupersub{}","plainCitation":"36","noteIndex":0},"citationItems":[{"id":596,"uris":["http://zotero.org/users/6503767/items/X4Y5Q4HY"],"itemData":{"id":596,"type":"article-journal","abstract":"Plants and fungi have provided, or inspired, key pharmaceuticals for global health challenges, including cancer, heart disease, dementia, and malaria, and are valued as traditional medicines worldwide. Global demand for medicinal plants and fungi has threatened certain species, contributing to biodiversity loss and depletion of natural resources that are important for the health of humanity. We consider the evolving role of plants and fungi in global healthcare as new challenges to human health and to biodiversity arise. We present current and emerging scientific approaches, to uncover and preserve nature-based health solutions for the future, through harmonization with biodiversity conservation strategies.","container-title":"PLANTS, PEOPLE, PLANET","DOI":"10.1002/ppp3.10138","ISSN":"2572-2611","issue":"5","language":"en","note":"_eprint: https://onlinelibrary.wiley.com/doi/pdf/10.1002/ppp3.10138","page":"463-481","source":"Wiley Online Library","title":"Molecules from nature: Reconciling biodiversity conservation and global healthcare imperatives for sustainable use of medicinal plants and fungi","title-short":"Molecules from nature","volume":"2","author":[{"family":"Howes","given":"Melanie-Jayne R."},{"family":"Quave","given":"Cassandra L."},{"family":"Collemare","given":"Jérôme"},{"family":"Tatsis","given":"Evangelos C."},{"family":"Twilley","given":"Danielle"},{"family":"Lulekal","given":"Ermias"},{"family":"Farlow","given":"Andrew"},{"family":"Li","given":"Liping"},{"family":"Cazar","given":"María-Elena"},{"family":"Leaman","given":"Danna J."},{"family":"Prescott","given":"Thomas A. K."},{"family":"Milliken","given":"William"},{"family":"Martin","given":"Cathie"},{"family":"De Canha","given":"Marco Nuno"},{"family":"Lall","given":"Namrita"},{"family":"Qin","given":"Haining"},{"family":"Walker","given":"Barnaby E."},{"family":"Vásquez-Londoño","given":"Carlos"},{"family":"Allkin","given":"Bob"},{"family":"Rivers","given":"Malin"},{"family":"Simmonds","given":"Monique S. J."},{"family":"Bell","given":"Elizabeth"},{"family":"Battison","given":"Alex"},{"family":"Felix","given":"Juri"},{"family":"Forest","given":"Felix"},{"family":"Leon","given":"Christine"},{"family":"Williams","given":"China"},{"family":"Nic Lughadha","given":"Eimear"}],"issued":{"date-parts":[["2020"]]}}}],"schema":"https://github.com/citation-style-language/schema/raw/master/csl-citation.json"} </w:instrText>
      </w:r>
      <w:r>
        <w:fldChar w:fldCharType="separate"/>
      </w:r>
      <w:r w:rsidRPr="00837917">
        <w:rPr>
          <w:rFonts w:cs="Times New Roman"/>
          <w:szCs w:val="24"/>
          <w:vertAlign w:val="superscript"/>
        </w:rPr>
        <w:t>36</w:t>
      </w:r>
      <w:r>
        <w:fldChar w:fldCharType="end"/>
      </w:r>
      <w:r>
        <w:t xml:space="preserve"> This ecological impact and the general scarcity of Taxol prompted a formidable challenge to synthetic chemists. The first total synthesis of Taxol was completed in 1994,</w:t>
      </w:r>
      <w:r>
        <w:fldChar w:fldCharType="begin"/>
      </w:r>
      <w:r>
        <w:instrText xml:space="preserve"> ADDIN ZOTERO_ITEM CSL_CITATION {"citationID":"PnCK81V2","properties":{"formattedCitation":"\\super 37\\nosupersub{}","plainCitation":"37","noteIndex":0},"citationItems":[{"id":599,"uris":["http://zotero.org/users/6503767/items/J4HYC52H"],"itemData":{"id":599,"type":"article-journal","abstract":"TAXOL1–4, a substance originally isolated from the Pacific yew tree (Taxus brevifolia) more than two decades ago, has recently been approved for the clinical treatment of cancer patients. Hailed as having provided one of the most significant advances in cancer therapy5, this molecule exerts its anticancer activity by inhibiting mitosis through enhancement of the polymerization of tubulin and consequent stabilization of microtubules6. The scarcity of taxol and the ecological impact of harvesting it have prompted extensive searches for alternative sources including semisynthesis, cellular culture production and chemical synthesis2,3. The latter has been attempted for almost two decades, but these attempts have been thwarted by the magnitude of the synthetic challenge. Here we report the total synthesis of taxol by a convergent strategy, which opens a chemical pathway for the production of both the natural product itself and a variety of designed taxoids.","container-title":"Nature","DOI":"10.1038/367630a0","ISSN":"1476-4687","issue":"6464","language":"en","note":"number: 6464\npublisher: Nature Publishing Group","page":"630-634","source":"www-nature-com.ezproxy.lib.ou.edu","title":"Total synthesis of taxol","volume":"367","author":[{"family":"Nicolaou","given":"K. C."},{"family":"Yang","given":"Z."},{"family":"Liu","given":"J. J."},{"family":"Ueno","given":"H."},{"family":"Nantermet","given":"P. G."},{"family":"Guy","given":"R. K."},{"family":"Claiborne","given":"C. F."},{"family":"Renaud","given":"J."},{"family":"Couladouros","given":"E. A."},{"family":"Paulvannan","given":"K."},{"family":"Sorensen","given":"E. J."}],"issued":{"date-parts":[["1994",2]]}}}],"schema":"https://github.com/citation-style-language/schema/raw/master/csl-citation.json"} </w:instrText>
      </w:r>
      <w:r>
        <w:fldChar w:fldCharType="separate"/>
      </w:r>
      <w:r w:rsidRPr="00AA3D95">
        <w:rPr>
          <w:rFonts w:cs="Times New Roman"/>
          <w:szCs w:val="24"/>
          <w:vertAlign w:val="superscript"/>
        </w:rPr>
        <w:t>37</w:t>
      </w:r>
      <w:r>
        <w:fldChar w:fldCharType="end"/>
      </w:r>
      <w:r>
        <w:t xml:space="preserve"> but several other synthetic strategies have followed.</w:t>
      </w:r>
      <w:r>
        <w:fldChar w:fldCharType="begin"/>
      </w:r>
      <w:r>
        <w:instrText xml:space="preserve"> ADDIN ZOTERO_ITEM CSL_CITATION {"citationID":"t3tULAo9","properties":{"formattedCitation":"\\super 38\\uc0\\u8211{}40\\nosupersub{}","plainCitation":"38–40","noteIndex":0},"citationItems":[{"id":602,"uris":["http://zotero.org/users/6503767/items/CA4QPXDQ"],"itemData":{"id":602,"type":"article-journal","abstract":"An intramolecular Heck reaction (90 → 91) serves as the key step in the total synthesis of the titled compounds. The synthetic route is based on utilizing the Wieland−Miescher ketone (5) as a matrix to provide the C and D rings of the targets and to provide functionality implements for joining this sector to an A ring precursor (6). Catalytically induced enantiotopic control and early emplacement of the oxetane are other features of the route.","container-title":"Journal of the American Chemical Society","DOI":"10.1021/ja952692a","ISSN":"0002-7863","issue":"12","journalAbbreviation":"J. Am. Chem. Soc.","note":"publisher: American Chemical Society","page":"2843-2859","source":"ACS Publications","title":"Total Synthesis of Baccatin III and Taxol","volume":"118","author":[{"family":"Danishefsky","given":"Samuel J."},{"family":"Masters","given":"John J."},{"family":"Young","given":"Wendy B."},{"family":"Link","given":"J. T."},{"family":"Snyder","given":"Lawrence B."},{"family":"Magee","given":"Thomas V."},{"family":"Jung","given":"David K."},{"family":"Isaacs","given":"Richard C. A."},{"family":"Bornmann","given":"William G."},{"family":"Alaimo","given":"Cheryl A."},{"family":"Coburn","given":"Craig A."},{"family":"Di Grandi","given":"Martin J."}],"issued":{"date-parts":[["1996",1,1]]}}},{"id":603,"uris":["http://zotero.org/users/6503767/items/JH6YPGJN"],"itemData":{"id":603,"type":"article-journal","abstract":"Taxol (a brand name for paclitaxel) is widely regarded as among the most famed natural isolates ever discovered, and has been the subject of innumerable studies in both basic and applied science. Its documented success as an anticancer agent, coupled with early concerns over supply, stimulated a furious worldwide effort from chemists to provide a solution for its preparation through total synthesis. Those pioneering studies proved the feasibility of retrosynthetically guided access to synthetic Taxol, albeit in minute quantities and with enormous effort. In practice, all medicinal chemistry efforts and eventual commercialization have relied upon natural (plant material) or biosynthetically derived (synthetic biology) supplies. Here we show how a complementary divergent synthetic approach that is holistically patterned off of biosynthetic machinery for terpene synthesis can be used to arrive at Taxol.","container-title":"Journal of the American Chemical Society","DOI":"10.1021/jacs.0c03592","ISSN":"0002-7863","issue":"23","journalAbbreviation":"J. Am. Chem. Soc.","note":"publisher: American Chemical Society","page":"10526-10533","source":"ACS Publications","title":"Two-Phase Synthesis of Taxol","volume":"142","author":[{"family":"Kanda","given":"Yuzuru"},{"family":"Nakamura","given":"Hugh"},{"family":"Umemiya","given":"Shigenobu"},{"family":"Puthukanoori","given":"Ravi Kumar"},{"family":"Murthy Appala","given":"Venkata Ramana"},{"family":"Gaddamanugu","given":"Gopi Krishna"},{"family":"Paraselli","given":"Bheema Rao"},{"family":"Baran","given":"Phil S."}],"issued":{"date-parts":[["2020",6,10]]}}},{"id":606,"uris":["http://zotero.org/users/6503767/items/QYA23DEL"],"itemData":{"id":606,"type":"article-journal","abstract":"The past decade has been a golden age for the total synthesis of natural products, marked by the conquest of some extraordinarily challenging target compounds – many of which are of significant pharmacological value. K. C. Nicolaou of The Scripps Research Institute and the University of California, San Diego, has led the field. He is driven by the passion to design elegant and efficient synthetic strategies that capture Nature at her most complex and diverse.","container-title":"Chemical Communications","DOI":"10.1039/B212248K","ISSN":"1364-548X","issue":"6","journalAbbreviation":"Chem. Commun.","language":"en","note":"publisher: The Royal Society of Chemistry","page":"661-664","source":"pubs-rsc-org.ezproxy.lib.ou.edu","title":"Creating complexity – the beauty and logic of synthesis","author":[{"family":"Hall","given":"Nina"}],"issued":{"date-parts":[["2003",1,1]]}}}],"schema":"https://github.com/citation-style-language/schema/raw/master/csl-citation.json"} </w:instrText>
      </w:r>
      <w:r>
        <w:fldChar w:fldCharType="separate"/>
      </w:r>
      <w:r w:rsidRPr="004E7596">
        <w:rPr>
          <w:rFonts w:cs="Times New Roman"/>
          <w:szCs w:val="24"/>
          <w:vertAlign w:val="superscript"/>
        </w:rPr>
        <w:t>38–40</w:t>
      </w:r>
      <w:r>
        <w:fldChar w:fldCharType="end"/>
      </w:r>
      <w:r>
        <w:t xml:space="preserve"> Complex total syntheses, not only provides an alternative source of important molecules, but it also opens diversification opportunities not often accessible through semi-synthesis efforts and gives rise to new synthetic methodologies that can impact the broader scientific community. Thus, total synthesis is a valuable tool capable of providing scientific impact well beyond the boundaries of the initial goal of obtaining the target molecule. </w:t>
      </w:r>
    </w:p>
    <w:p w14:paraId="22829565" w14:textId="62DEA8DF" w:rsidR="000F7094" w:rsidRDefault="000F7094" w:rsidP="000F7094">
      <w:pPr>
        <w:pStyle w:val="Subsection"/>
      </w:pPr>
      <w:bookmarkStart w:id="56" w:name="_Toc100241877"/>
      <w:bookmarkStart w:id="57" w:name="_Toc102586241"/>
      <w:r>
        <w:t>1.2.2 The synthesis of β-carbolines and related alkaloids</w:t>
      </w:r>
      <w:bookmarkEnd w:id="56"/>
      <w:r w:rsidR="00980563">
        <w:t>.</w:t>
      </w:r>
      <w:bookmarkEnd w:id="57"/>
    </w:p>
    <w:p w14:paraId="06A9F90B" w14:textId="77777777" w:rsidR="000F7094" w:rsidRPr="001B5487" w:rsidRDefault="000F7094" w:rsidP="0042307F">
      <w:pPr>
        <w:rPr>
          <w:rFonts w:cs="Times New Roman"/>
          <w:szCs w:val="24"/>
        </w:rPr>
      </w:pPr>
      <w:r>
        <w:tab/>
        <w:t xml:space="preserve">As mentioned in the previous section, </w:t>
      </w:r>
      <w:r w:rsidRPr="0030377D">
        <w:t xml:space="preserve">β-carboline-containing alkaloids </w:t>
      </w:r>
      <w:r>
        <w:t>exhibit</w:t>
      </w:r>
      <w:r w:rsidRPr="0030377D">
        <w:t xml:space="preserve"> a widespread range of pharmacological activities</w:t>
      </w:r>
      <w:r>
        <w:t xml:space="preserve">. The </w:t>
      </w:r>
      <w:r w:rsidRPr="0030377D">
        <w:t>β-carboline</w:t>
      </w:r>
      <w:r>
        <w:t xml:space="preserve"> heterocycle is also a</w:t>
      </w:r>
      <w:r>
        <w:rPr>
          <w:rFonts w:cs="Times New Roman"/>
          <w:szCs w:val="24"/>
        </w:rPr>
        <w:t xml:space="preserve"> v</w:t>
      </w:r>
      <w:r w:rsidRPr="006C542A">
        <w:rPr>
          <w:rFonts w:cs="Times New Roman"/>
          <w:szCs w:val="24"/>
        </w:rPr>
        <w:t>ery important synthetic intermediate for a variety of pharmaceutically relevant natural products and drug molecules</w:t>
      </w:r>
      <w:r w:rsidRPr="0030377D">
        <w:t>.</w:t>
      </w:r>
      <w:r>
        <w:fldChar w:fldCharType="begin"/>
      </w:r>
      <w:r>
        <w:instrText xml:space="preserve"> ADDIN ZOTERO_ITEM CSL_CITATION {"citationID":"6J4mR4ZP","properties":{"formattedCitation":"\\super 41\\nosupersub{}","plainCitation":"41","noteIndex":0},"citationItems":[{"id":609,"uris":["http://zotero.org/users/6503767/items/Z84JT925"],"itemData":{"id":609,"type":"article-journal","container-title":"European Journal of Organic Chemistry","DOI":"10.1002/ejoc.201100931","ISSN":"1434-193X, 1099-0690","issue":"36","journalAbbreviation":"Eur. J. Org. Chem.","language":"en","page":"7243-7253","source":"DOI.org (Crossref)","title":"Chemistry of β‐Carbolines as Synthetic Intermediates","volume":"2011","author":[{"family":"Domínguez","given":"Gema"},{"family":"Pérez‐Castells","given":"Javier"}],"issued":{"date-parts":[["2011",12]]}}}],"schema":"https://github.com/citation-style-language/schema/raw/master/csl-citation.json"} </w:instrText>
      </w:r>
      <w:r>
        <w:fldChar w:fldCharType="separate"/>
      </w:r>
      <w:r w:rsidRPr="007551A7">
        <w:rPr>
          <w:rFonts w:cs="Times New Roman"/>
          <w:szCs w:val="24"/>
          <w:vertAlign w:val="superscript"/>
        </w:rPr>
        <w:t>41</w:t>
      </w:r>
      <w:r>
        <w:fldChar w:fldCharType="end"/>
      </w:r>
      <w:r w:rsidRPr="0030377D">
        <w:t xml:space="preserve"> </w:t>
      </w:r>
      <w:r>
        <w:rPr>
          <w:rFonts w:cs="Times New Roman"/>
          <w:szCs w:val="24"/>
        </w:rPr>
        <w:t xml:space="preserve">The structure of </w:t>
      </w:r>
      <w:r w:rsidRPr="006C542A">
        <w:rPr>
          <w:rFonts w:cs="Times New Roman"/>
          <w:szCs w:val="24"/>
        </w:rPr>
        <w:t>β-carboline</w:t>
      </w:r>
      <w:r>
        <w:rPr>
          <w:rFonts w:cs="Times New Roman"/>
          <w:szCs w:val="24"/>
        </w:rPr>
        <w:t xml:space="preserve"> consists of an indole skeleton fused to a pyridine ring. While the synthesis of β-carboline can be completed via metal-catalyzed</w:t>
      </w:r>
      <w:r>
        <w:rPr>
          <w:rFonts w:cs="Times New Roman"/>
          <w:szCs w:val="24"/>
        </w:rPr>
        <w:fldChar w:fldCharType="begin"/>
      </w:r>
      <w:r>
        <w:rPr>
          <w:rFonts w:cs="Times New Roman"/>
          <w:szCs w:val="24"/>
        </w:rPr>
        <w:instrText xml:space="preserve"> ADDIN ZOTERO_ITEM CSL_CITATION {"citationID":"MIHkHSQ0","properties":{"formattedCitation":"\\super 42\\nosupersub{}","plainCitation":"42","noteIndex":0},"citationItems":[{"id":610,"uris":["http://zotero.org/users/6503767/items/BJE3CC9V"],"itemData":{"id":610,"type":"article-journal","container-title":"Chemistry of Heterocyclic Compounds","DOI":"10.1007/s10593-017-1997-9","ISSN":"0009-3122, 1573-8353","issue":"12","journalAbbreviation":"Chem Heterocycl Comp","language":"en","page":"996-998","source":"DOI.org (Crossref)","title":"Synthesis of β-carbolines (microreview)","volume":"52","author":[{"family":"Milen","given":"Mátyás"},{"family":"Ábrányi-Balogh","given":"Péter"}],"issued":{"date-parts":[["2016",12]]}}}],"schema":"https://github.com/citation-style-language/schema/raw/master/csl-citation.json"} </w:instrText>
      </w:r>
      <w:r>
        <w:rPr>
          <w:rFonts w:cs="Times New Roman"/>
          <w:szCs w:val="24"/>
        </w:rPr>
        <w:fldChar w:fldCharType="separate"/>
      </w:r>
      <w:r w:rsidRPr="007551A7">
        <w:rPr>
          <w:rFonts w:cs="Times New Roman"/>
          <w:szCs w:val="24"/>
          <w:vertAlign w:val="superscript"/>
        </w:rPr>
        <w:t>42</w:t>
      </w:r>
      <w:r>
        <w:rPr>
          <w:rFonts w:cs="Times New Roman"/>
          <w:szCs w:val="24"/>
        </w:rPr>
        <w:fldChar w:fldCharType="end"/>
      </w:r>
      <w:r>
        <w:rPr>
          <w:rFonts w:cs="Times New Roman"/>
          <w:szCs w:val="24"/>
        </w:rPr>
        <w:t xml:space="preserve"> or biosynthetic</w:t>
      </w:r>
      <w:r>
        <w:rPr>
          <w:rFonts w:cs="Times New Roman"/>
          <w:szCs w:val="24"/>
        </w:rPr>
        <w:fldChar w:fldCharType="begin"/>
      </w:r>
      <w:r>
        <w:rPr>
          <w:rFonts w:cs="Times New Roman"/>
          <w:szCs w:val="24"/>
        </w:rPr>
        <w:instrText xml:space="preserve"> ADDIN ZOTERO_ITEM CSL_CITATION {"citationID":"EvIOUV6y","properties":{"formattedCitation":"\\super 43\\nosupersub{}","plainCitation":"43","noteIndex":0},"citationItems":[{"id":612,"uris":["http://zotero.org/users/6503767/items/HXYMH3B4"],"itemData":{"id":612,"type":"article-journal","container-title":"Angewandte Chemie International Edition","DOI":"10.1002/anie.201008071","ISSN":"14337851","issue":"37","journalAbbreviation":"Angew. Chem. Int. Ed.","language":"en","page":"8538-8564","source":"DOI.org (Crossref)","title":"The Pictet-Spengler Reaction in Nature and in Organic Chemistry","volume":"50","author":[{"family":"Stöckigt","given":"Joachim"},{"family":"Antonchick","given":"Andrey P."},{"family":"Wu","given":"Fangrui"},{"family":"Waldmann","given":"Herbert"}],"issued":{"date-parts":[["2011",9,5]]}}}],"schema":"https://github.com/citation-style-language/schema/raw/master/csl-citation.json"} </w:instrText>
      </w:r>
      <w:r>
        <w:rPr>
          <w:rFonts w:cs="Times New Roman"/>
          <w:szCs w:val="24"/>
        </w:rPr>
        <w:fldChar w:fldCharType="separate"/>
      </w:r>
      <w:r w:rsidRPr="00F419F3">
        <w:rPr>
          <w:rFonts w:cs="Times New Roman"/>
          <w:szCs w:val="24"/>
          <w:vertAlign w:val="superscript"/>
        </w:rPr>
        <w:t>43</w:t>
      </w:r>
      <w:r>
        <w:rPr>
          <w:rFonts w:cs="Times New Roman"/>
          <w:szCs w:val="24"/>
        </w:rPr>
        <w:fldChar w:fldCharType="end"/>
      </w:r>
      <w:r>
        <w:rPr>
          <w:rFonts w:cs="Times New Roman"/>
          <w:szCs w:val="24"/>
        </w:rPr>
        <w:t xml:space="preserve"> methods, the most straightforward and widely applicable reaction for the synthesis of β-carbolines is the Pictet-Spengler cyclization reaction. </w:t>
      </w:r>
    </w:p>
    <w:p w14:paraId="41C3DB0F" w14:textId="62F0AC39" w:rsidR="000F7094" w:rsidRDefault="000F7094" w:rsidP="0042307F">
      <w:pPr>
        <w:pStyle w:val="StyleJustifiedFirstline05After0ptLinespacingDo"/>
        <w:spacing w:after="240"/>
      </w:pPr>
      <w:r w:rsidRPr="006C542A">
        <w:t>Discovered in 1911</w:t>
      </w:r>
      <w:r>
        <w:t xml:space="preserve"> by Ame Pictet and Theodor Spengler</w:t>
      </w:r>
      <w:r w:rsidRPr="006C542A">
        <w:t>, the P</w:t>
      </w:r>
      <w:r>
        <w:t>ictet-</w:t>
      </w:r>
      <w:r w:rsidRPr="006C542A">
        <w:t>S</w:t>
      </w:r>
      <w:r>
        <w:t>pengler reaction (PSR)</w:t>
      </w:r>
      <w:r w:rsidRPr="006C542A">
        <w:t xml:space="preserve"> </w:t>
      </w:r>
      <w:r>
        <w:t>is a condensation reaction between a β-</w:t>
      </w:r>
      <w:proofErr w:type="spellStart"/>
      <w:r>
        <w:t>arylethylamine</w:t>
      </w:r>
      <w:proofErr w:type="spellEnd"/>
      <w:r>
        <w:t xml:space="preserve"> and a carbonyl compound (aldehyde or ketone) followed by ring closure.</w:t>
      </w:r>
      <w:r>
        <w:fldChar w:fldCharType="begin"/>
      </w:r>
      <w:r>
        <w:instrText xml:space="preserve"> ADDIN ZOTERO_ITEM CSL_CITATION {"citationID":"5sdNTM3g","properties":{"formattedCitation":"\\super 44\\nosupersub{}","plainCitation":"44","noteIndex":0},"citationItems":[{"id":308,"uris":["http://zotero.org/users/6503767/items/37IHSGC4"],"itemData":{"id":308,"type":"article-journal","container-title":"Berichte der deutschen chemischen Gesellschaft","DOI":"10.1002/cber.19110440309","ISSN":"1099-0682","issue":"3","language":"en","note":"_eprint: https://onlinelibrary.wiley.com/doi/pdf/10.1002/cber.19110440309","page":"2030-2036","source":"Wiley Online Library","title":"Über die Bildung von Isochinolin-derivaten durch Einwirkung von Methylal auf Phenyl-äthylamin, Phenyl-alanin und Tyrosin","volume":"44","author":[{"family":"Pictet","given":"Amé"},{"family":"Spengler","given":"Theod."}],"issued":{"date-parts":[["1911"]]}}}],"schema":"https://github.com/citation-style-language/schema/raw/master/csl-citation.json"} </w:instrText>
      </w:r>
      <w:r>
        <w:fldChar w:fldCharType="separate"/>
      </w:r>
      <w:r w:rsidRPr="0032659D">
        <w:rPr>
          <w:szCs w:val="24"/>
          <w:vertAlign w:val="superscript"/>
        </w:rPr>
        <w:t>44</w:t>
      </w:r>
      <w:r>
        <w:fldChar w:fldCharType="end"/>
      </w:r>
      <w:r>
        <w:t xml:space="preserve"> The PSR </w:t>
      </w:r>
      <w:r w:rsidRPr="006C542A">
        <w:t xml:space="preserve">was originally used to transform phenethylamine </w:t>
      </w:r>
      <w:r w:rsidRPr="006C542A">
        <w:lastRenderedPageBreak/>
        <w:t xml:space="preserve">to </w:t>
      </w:r>
      <w:proofErr w:type="spellStart"/>
      <w:r w:rsidRPr="006C542A">
        <w:t>tetrahydroisoquinolines</w:t>
      </w:r>
      <w:proofErr w:type="spellEnd"/>
      <w:r w:rsidRPr="006C542A">
        <w:t xml:space="preserve"> (</w:t>
      </w:r>
      <w:r w:rsidR="00B61AB6" w:rsidRPr="00B61AB6">
        <w:rPr>
          <w:b/>
          <w:bCs/>
        </w:rPr>
        <w:fldChar w:fldCharType="begin"/>
      </w:r>
      <w:r w:rsidR="00B61AB6" w:rsidRPr="00B61AB6">
        <w:rPr>
          <w:b/>
          <w:bCs/>
        </w:rPr>
        <w:instrText xml:space="preserve"> REF _Ref100742739 \h  \* MERGEFORMAT </w:instrText>
      </w:r>
      <w:r w:rsidR="00B61AB6" w:rsidRPr="00B61AB6">
        <w:rPr>
          <w:b/>
          <w:bCs/>
        </w:rPr>
      </w:r>
      <w:r w:rsidR="00B61AB6" w:rsidRPr="00B61AB6">
        <w:rPr>
          <w:b/>
          <w:bCs/>
        </w:rPr>
        <w:fldChar w:fldCharType="separate"/>
      </w:r>
      <w:r w:rsidR="00AA5AAC" w:rsidRPr="00AA5AAC">
        <w:rPr>
          <w:b/>
          <w:bCs/>
        </w:rPr>
        <w:t>Scheme 1.1</w:t>
      </w:r>
      <w:r w:rsidR="00B61AB6" w:rsidRPr="00B61AB6">
        <w:rPr>
          <w:b/>
          <w:bCs/>
        </w:rPr>
        <w:fldChar w:fldCharType="end"/>
      </w:r>
      <w:r w:rsidRPr="0083097F">
        <w:rPr>
          <w:b/>
          <w:bCs/>
        </w:rPr>
        <w:t>A</w:t>
      </w:r>
      <w:r>
        <w:t>)</w:t>
      </w:r>
      <w:r w:rsidRPr="006C542A">
        <w:t>, but it is more well-known</w:t>
      </w:r>
      <w:r>
        <w:t xml:space="preserve"> and widely used</w:t>
      </w:r>
      <w:r w:rsidRPr="006C542A">
        <w:t xml:space="preserve"> today for the formation of tetrahydro-β-carbolines (THBC) from tryptamine starting materials</w:t>
      </w:r>
      <w:r>
        <w:t xml:space="preserve"> (</w:t>
      </w:r>
      <w:r w:rsidR="00B61AB6" w:rsidRPr="00B61AB6">
        <w:rPr>
          <w:b/>
          <w:bCs/>
        </w:rPr>
        <w:fldChar w:fldCharType="begin"/>
      </w:r>
      <w:r w:rsidR="00B61AB6" w:rsidRPr="00B61AB6">
        <w:rPr>
          <w:b/>
          <w:bCs/>
        </w:rPr>
        <w:instrText xml:space="preserve"> REF _Ref100742739 \h  \* MERGEFORMAT </w:instrText>
      </w:r>
      <w:r w:rsidR="00B61AB6" w:rsidRPr="00B61AB6">
        <w:rPr>
          <w:b/>
          <w:bCs/>
        </w:rPr>
      </w:r>
      <w:r w:rsidR="00B61AB6" w:rsidRPr="00B61AB6">
        <w:rPr>
          <w:b/>
          <w:bCs/>
        </w:rPr>
        <w:fldChar w:fldCharType="separate"/>
      </w:r>
      <w:r w:rsidR="00AA5AAC" w:rsidRPr="00AA5AAC">
        <w:rPr>
          <w:b/>
          <w:bCs/>
        </w:rPr>
        <w:t>Scheme 1.1</w:t>
      </w:r>
      <w:r w:rsidR="00B61AB6" w:rsidRPr="00B61AB6">
        <w:rPr>
          <w:b/>
          <w:bCs/>
        </w:rPr>
        <w:fldChar w:fldCharType="end"/>
      </w:r>
      <w:r>
        <w:rPr>
          <w:b/>
          <w:bCs/>
        </w:rPr>
        <w:t>B</w:t>
      </w:r>
      <w:r>
        <w:t>)</w:t>
      </w:r>
      <w:r w:rsidRPr="006C542A">
        <w:t>.</w:t>
      </w:r>
      <w:r w:rsidRPr="006C542A">
        <w:fldChar w:fldCharType="begin"/>
      </w:r>
      <w:r>
        <w:instrText xml:space="preserve"> ADDIN ZOTERO_ITEM CSL_CITATION {"citationID":"JDZVg0rP","properties":{"formattedCitation":"\\super 45\\nosupersub{}","plainCitation":"45","noteIndex":0},"citationItems":[{"id":76,"uris":["http://zotero.org/users/6503767/items/XJYVEUQ3"],"itemData":{"id":76,"type":"article-journal","abstract":"Pictet-Spengler reactions are extensively utilized in the synthesis of various indole alkaloids. However, their mechanisms have been a controversial research topic. The role of spiroindolenine, the generally proposed key intermediate in catalytic asymmetric Pictet-Spengler reactions, remains elusive. Herein, combined density functional theory calculations and direct molecular dynamics simulations reveal that the role of this intermediate is divergent. The spiroindolenine acts as either a productive or a non-productive intermediate depending on the shape of the potential energy surface. In the former case, dynamic effects play an important role in the rearrangement of spiroindolenine, which can occur without passing through the intervening transition states along the reaction coordinates. In the latter case, the formation of spiroindolenine is only an offcycle equilibrium. These theoretical predictions were veriﬁed experimentally. Furthermore, these insights were applied to seven reported catalytic asymmetric Pictet-Spengler reactions, leading to uniﬁed mechanistic understandings of this synthetically enabling reaction.","container-title":"Chem","DOI":"10.1016/j.chempr.2018.06.006","ISSN":"24519294","issue":"8","journalAbbreviation":"Chem","language":"en","page":"1952-1966","source":"DOI.org (Crossref)","title":"Unified Mechanistic Understandings of Pictet-Spengler Reactions","volume":"4","author":[{"family":"Zheng","given":"Chao"},{"family":"Xia","given":"Zi-Lei"},{"family":"You","given":"Shu-Li"}],"issued":{"date-parts":[["2018",8]]}}}],"schema":"https://github.com/citation-style-language/schema/raw/master/csl-citation.json"} </w:instrText>
      </w:r>
      <w:r w:rsidRPr="006C542A">
        <w:fldChar w:fldCharType="separate"/>
      </w:r>
      <w:r w:rsidRPr="0032659D">
        <w:rPr>
          <w:szCs w:val="24"/>
          <w:vertAlign w:val="superscript"/>
        </w:rPr>
        <w:t>45</w:t>
      </w:r>
      <w:r w:rsidRPr="006C542A">
        <w:fldChar w:fldCharType="end"/>
      </w:r>
      <w:r w:rsidRPr="006C542A">
        <w:t xml:space="preserve"> </w:t>
      </w:r>
      <w:proofErr w:type="spellStart"/>
      <w:r>
        <w:t>T</w:t>
      </w:r>
      <w:r w:rsidRPr="006C542A">
        <w:t>etrahydroisoquinolines</w:t>
      </w:r>
      <w:proofErr w:type="spellEnd"/>
      <w:r w:rsidRPr="006C542A">
        <w:t xml:space="preserve"> </w:t>
      </w:r>
      <w:r>
        <w:t>(</w:t>
      </w:r>
      <w:r w:rsidRPr="006C542A">
        <w:t>THIQ</w:t>
      </w:r>
      <w:r>
        <w:t>)</w:t>
      </w:r>
      <w:r w:rsidRPr="006C542A">
        <w:t xml:space="preserve"> and THBC</w:t>
      </w:r>
      <w:r>
        <w:t>s</w:t>
      </w:r>
      <w:r w:rsidRPr="006C542A">
        <w:t xml:space="preserve"> represent key elements of an immense range of structurally complex synthetic products, including thousands of naturally occurring indole and </w:t>
      </w:r>
      <w:proofErr w:type="spellStart"/>
      <w:r w:rsidRPr="006C542A">
        <w:t>isoquinoline</w:t>
      </w:r>
      <w:proofErr w:type="spellEnd"/>
      <w:r w:rsidRPr="006C542A">
        <w:t xml:space="preserve"> alkaloids. The multifunctional PSR has significant synthetic value</w:t>
      </w:r>
      <w:r>
        <w:t>,</w:t>
      </w:r>
      <w:r w:rsidRPr="006C542A">
        <w:t xml:space="preserve"> since the amine and aldehyde components can vary widely, allowing for the construction of structurally diverse THIQ and THBC ring systems. </w:t>
      </w:r>
    </w:p>
    <w:p w14:paraId="11B7B3E8" w14:textId="77777777" w:rsidR="000F7094" w:rsidRDefault="000F7094" w:rsidP="0042307F">
      <w:pPr>
        <w:pStyle w:val="StyleJustifiedFirstline05After0ptLinespacingDo"/>
        <w:spacing w:after="240"/>
      </w:pPr>
      <w:r w:rsidRPr="006C542A">
        <w:rPr>
          <w:noProof/>
        </w:rPr>
        <mc:AlternateContent>
          <mc:Choice Requires="wps">
            <w:drawing>
              <wp:inline distT="0" distB="0" distL="0" distR="0" wp14:anchorId="3A0B4BC8" wp14:editId="5E6700EF">
                <wp:extent cx="4632325" cy="3060700"/>
                <wp:effectExtent l="0" t="0" r="15875" b="25400"/>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2325" cy="3060700"/>
                        </a:xfrm>
                        <a:prstGeom prst="rect">
                          <a:avLst/>
                        </a:prstGeom>
                        <a:solidFill>
                          <a:srgbClr val="FFFFFF"/>
                        </a:solidFill>
                        <a:ln w="9525">
                          <a:solidFill>
                            <a:srgbClr val="000000"/>
                          </a:solidFill>
                          <a:miter lim="800000"/>
                          <a:headEnd/>
                          <a:tailEnd/>
                        </a:ln>
                      </wps:spPr>
                      <wps:txbx>
                        <w:txbxContent>
                          <w:p w14:paraId="55E01AC2" w14:textId="77777777" w:rsidR="000F7094" w:rsidRPr="006D5295" w:rsidRDefault="000F7094" w:rsidP="000F7094">
                            <w:pPr>
                              <w:spacing w:after="0" w:line="240" w:lineRule="auto"/>
                              <w:rPr>
                                <w:b/>
                                <w:bCs/>
                              </w:rPr>
                            </w:pPr>
                            <w:r w:rsidRPr="006D5295">
                              <w:rPr>
                                <w:b/>
                                <w:bCs/>
                              </w:rPr>
                              <w:t>A</w:t>
                            </w:r>
                          </w:p>
                          <w:p w14:paraId="116F6656" w14:textId="77777777" w:rsidR="000F7094" w:rsidRDefault="000F7094" w:rsidP="000F7094">
                            <w:pPr>
                              <w:pBdr>
                                <w:bottom w:val="single" w:sz="12" w:space="1" w:color="auto"/>
                              </w:pBdr>
                              <w:spacing w:after="0" w:line="240" w:lineRule="auto"/>
                              <w:jc w:val="center"/>
                            </w:pPr>
                            <w:r>
                              <w:rPr>
                                <w:rFonts w:asciiTheme="minorHAnsi" w:hAnsiTheme="minorHAnsi"/>
                                <w:sz w:val="22"/>
                              </w:rPr>
                              <w:object w:dxaOrig="6256" w:dyaOrig="1344" w14:anchorId="72C54CF5">
                                <v:shape id="_x0000_i1027" type="#_x0000_t75" style="width:313.25pt;height:66.85pt" o:ole="">
                                  <v:imagedata r:id="rId79" o:title=""/>
                                </v:shape>
                                <o:OLEObject Type="Embed" ProgID="ChemDraw.Document.6.0" ShapeID="_x0000_i1027" DrawAspect="Content" ObjectID="_1713353465" r:id="rId80"/>
                              </w:object>
                            </w:r>
                          </w:p>
                          <w:p w14:paraId="79B5AD42" w14:textId="77777777" w:rsidR="000F7094" w:rsidRPr="006D5295" w:rsidRDefault="000F7094" w:rsidP="000F7094">
                            <w:pPr>
                              <w:spacing w:after="0" w:line="240" w:lineRule="auto"/>
                              <w:rPr>
                                <w:b/>
                                <w:bCs/>
                              </w:rPr>
                            </w:pPr>
                            <w:r w:rsidRPr="006D5295">
                              <w:rPr>
                                <w:b/>
                                <w:bCs/>
                              </w:rPr>
                              <w:t>B</w:t>
                            </w:r>
                          </w:p>
                          <w:p w14:paraId="49C4A9C6" w14:textId="77777777" w:rsidR="000F7094" w:rsidRDefault="000F7094" w:rsidP="000F7094">
                            <w:pPr>
                              <w:keepNext/>
                              <w:spacing w:line="240" w:lineRule="auto"/>
                              <w:jc w:val="center"/>
                            </w:pPr>
                            <w:r>
                              <w:rPr>
                                <w:rFonts w:asciiTheme="minorHAnsi" w:hAnsiTheme="minorHAnsi"/>
                                <w:sz w:val="22"/>
                              </w:rPr>
                              <w:object w:dxaOrig="4812" w:dyaOrig="1438" w14:anchorId="1626498B">
                                <v:shape id="_x0000_i1028" type="#_x0000_t75" style="width:240.3pt;height:1in" o:ole="">
                                  <v:imagedata r:id="rId81" o:title=""/>
                                </v:shape>
                                <o:OLEObject Type="Embed" ProgID="ChemDraw.Document.6.0" ShapeID="_x0000_i1028" DrawAspect="Content" ObjectID="_1713353466" r:id="rId82"/>
                              </w:object>
                            </w:r>
                          </w:p>
                          <w:p w14:paraId="18B1E0E2" w14:textId="68111C23" w:rsidR="000F7094" w:rsidRDefault="000F7094" w:rsidP="00DF51F5">
                            <w:pPr>
                              <w:pStyle w:val="Caption"/>
                            </w:pPr>
                            <w:bookmarkStart w:id="58" w:name="_Ref100742739"/>
                            <w:r>
                              <w:t>Scheme 1.</w:t>
                            </w:r>
                            <w:fldSimple w:instr=" SEQ Scheme \* ARABIC ">
                              <w:r w:rsidR="00AA5AAC">
                                <w:rPr>
                                  <w:noProof/>
                                </w:rPr>
                                <w:t>1</w:t>
                              </w:r>
                            </w:fldSimple>
                            <w:bookmarkEnd w:id="58"/>
                            <w:r>
                              <w:t xml:space="preserve">. Generalized Pictet-Spengler cyclization reactions. </w:t>
                            </w:r>
                          </w:p>
                          <w:p w14:paraId="7B0CEA4E" w14:textId="77777777" w:rsidR="000F7094" w:rsidRDefault="000F7094" w:rsidP="00DF51F5">
                            <w:pPr>
                              <w:pStyle w:val="Text-Caption"/>
                            </w:pPr>
                            <w:r>
                              <w:t xml:space="preserve">Shown are the synthetic routes toward (A) </w:t>
                            </w:r>
                            <w:proofErr w:type="spellStart"/>
                            <w:r>
                              <w:t>tetrahydroisoquinolines</w:t>
                            </w:r>
                            <w:proofErr w:type="spellEnd"/>
                            <w:r>
                              <w:t xml:space="preserve"> (THIQ) and (B) </w:t>
                            </w:r>
                            <w:r w:rsidRPr="00F6154A">
                              <w:rPr>
                                <w:rFonts w:cstheme="minorHAnsi"/>
                              </w:rPr>
                              <w:t>tetrahydro-β-carbolines (THBC)</w:t>
                            </w:r>
                            <w:r>
                              <w:rPr>
                                <w:rFonts w:cstheme="minorHAnsi"/>
                              </w:rPr>
                              <w:t xml:space="preserve">. </w:t>
                            </w:r>
                          </w:p>
                        </w:txbxContent>
                      </wps:txbx>
                      <wps:bodyPr rot="0" vert="horz" wrap="square" lIns="91440" tIns="45720" rIns="91440" bIns="45720" anchor="t" anchorCtr="0">
                        <a:noAutofit/>
                      </wps:bodyPr>
                    </wps:wsp>
                  </a:graphicData>
                </a:graphic>
              </wp:inline>
            </w:drawing>
          </mc:Choice>
          <mc:Fallback>
            <w:pict>
              <v:shape w14:anchorId="3A0B4BC8" id="_x0000_s1033" type="#_x0000_t202" style="width:364.75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">
                <v:textbox>
                  <w:txbxContent>
                    <w:p w14:paraId="55E01AC2" w14:textId="77777777" w:rsidR="000F7094" w:rsidRPr="006D5295" w:rsidRDefault="000F7094" w:rsidP="000F7094">
                      <w:pPr>
                        <w:spacing w:after="0" w:line="240" w:lineRule="auto"/>
                        <w:rPr>
                          <w:b/>
                          <w:bCs/>
                        </w:rPr>
                      </w:pPr>
                      <w:r w:rsidRPr="006D5295">
                        <w:rPr>
                          <w:b/>
                          <w:bCs/>
                        </w:rPr>
                        <w:t>A</w:t>
                      </w:r>
                    </w:p>
                    <w:p w14:paraId="116F6656" w14:textId="77777777" w:rsidR="000F7094" w:rsidRDefault="000F7094" w:rsidP="000F7094">
                      <w:pPr>
                        <w:pBdr>
                          <w:bottom w:val="single" w:sz="12" w:space="1" w:color="auto"/>
                        </w:pBdr>
                        <w:spacing w:after="0" w:line="240" w:lineRule="auto"/>
                        <w:jc w:val="center"/>
                      </w:pPr>
                      <w:r>
                        <w:rPr>
                          <w:rFonts w:asciiTheme="minorHAnsi" w:hAnsiTheme="minorHAnsi"/>
                          <w:sz w:val="22"/>
                        </w:rPr>
                        <w:object w:dxaOrig="6256" w:dyaOrig="1344" w14:anchorId="72C54CF5">
                          <v:shape id="_x0000_i1027" type="#_x0000_t75" style="width:313.25pt;height:66.85pt" o:ole="">
                            <v:imagedata r:id="rId79" o:title=""/>
                          </v:shape>
                          <o:OLEObject Type="Embed" ProgID="ChemDraw.Document.6.0" ShapeID="_x0000_i1027" DrawAspect="Content" ObjectID="_1713353465" r:id="rId83"/>
                        </w:object>
                      </w:r>
                    </w:p>
                    <w:p w14:paraId="79B5AD42" w14:textId="77777777" w:rsidR="000F7094" w:rsidRPr="006D5295" w:rsidRDefault="000F7094" w:rsidP="000F7094">
                      <w:pPr>
                        <w:spacing w:after="0" w:line="240" w:lineRule="auto"/>
                        <w:rPr>
                          <w:b/>
                          <w:bCs/>
                        </w:rPr>
                      </w:pPr>
                      <w:r w:rsidRPr="006D5295">
                        <w:rPr>
                          <w:b/>
                          <w:bCs/>
                        </w:rPr>
                        <w:t>B</w:t>
                      </w:r>
                    </w:p>
                    <w:p w14:paraId="49C4A9C6" w14:textId="77777777" w:rsidR="000F7094" w:rsidRDefault="000F7094" w:rsidP="000F7094">
                      <w:pPr>
                        <w:keepNext/>
                        <w:spacing w:line="240" w:lineRule="auto"/>
                        <w:jc w:val="center"/>
                      </w:pPr>
                      <w:r>
                        <w:rPr>
                          <w:rFonts w:asciiTheme="minorHAnsi" w:hAnsiTheme="minorHAnsi"/>
                          <w:sz w:val="22"/>
                        </w:rPr>
                        <w:object w:dxaOrig="4812" w:dyaOrig="1438" w14:anchorId="1626498B">
                          <v:shape id="_x0000_i1028" type="#_x0000_t75" style="width:240.3pt;height:1in" o:ole="">
                            <v:imagedata r:id="rId81" o:title=""/>
                          </v:shape>
                          <o:OLEObject Type="Embed" ProgID="ChemDraw.Document.6.0" ShapeID="_x0000_i1028" DrawAspect="Content" ObjectID="_1713353466" r:id="rId84"/>
                        </w:object>
                      </w:r>
                    </w:p>
                    <w:p w14:paraId="18B1E0E2" w14:textId="68111C23" w:rsidR="000F7094" w:rsidRDefault="000F7094" w:rsidP="00DF51F5">
                      <w:pPr>
                        <w:pStyle w:val="Caption"/>
                      </w:pPr>
                      <w:bookmarkStart w:id="59" w:name="_Ref100742739"/>
                      <w:r>
                        <w:t>Scheme 1.</w:t>
                      </w:r>
                      <w:fldSimple w:instr=" SEQ Scheme \* ARABIC ">
                        <w:r w:rsidR="00AA5AAC">
                          <w:rPr>
                            <w:noProof/>
                          </w:rPr>
                          <w:t>1</w:t>
                        </w:r>
                      </w:fldSimple>
                      <w:bookmarkEnd w:id="59"/>
                      <w:r>
                        <w:t xml:space="preserve">. Generalized Pictet-Spengler cyclization reactions. </w:t>
                      </w:r>
                    </w:p>
                    <w:p w14:paraId="7B0CEA4E" w14:textId="77777777" w:rsidR="000F7094" w:rsidRDefault="000F7094" w:rsidP="00DF51F5">
                      <w:pPr>
                        <w:pStyle w:val="Text-Caption"/>
                      </w:pPr>
                      <w:r>
                        <w:t xml:space="preserve">Shown are the synthetic routes toward (A) </w:t>
                      </w:r>
                      <w:proofErr w:type="spellStart"/>
                      <w:r>
                        <w:t>tetrahydroisoquinolines</w:t>
                      </w:r>
                      <w:proofErr w:type="spellEnd"/>
                      <w:r>
                        <w:t xml:space="preserve"> (THIQ) and (B) </w:t>
                      </w:r>
                      <w:r w:rsidRPr="00F6154A">
                        <w:rPr>
                          <w:rFonts w:cstheme="minorHAnsi"/>
                        </w:rPr>
                        <w:t>tetrahydro-β-carbolines (THBC)</w:t>
                      </w:r>
                      <w:r>
                        <w:rPr>
                          <w:rFonts w:cstheme="minorHAnsi"/>
                        </w:rPr>
                        <w:t xml:space="preserve">. </w:t>
                      </w:r>
                    </w:p>
                  </w:txbxContent>
                </v:textbox>
                <w10:anchorlock/>
              </v:shape>
            </w:pict>
          </mc:Fallback>
        </mc:AlternateContent>
      </w:r>
    </w:p>
    <w:p w14:paraId="4F7D7C82" w14:textId="50E84F5D" w:rsidR="000F7094" w:rsidRDefault="000F7094" w:rsidP="0042307F">
      <w:pPr>
        <w:pStyle w:val="StyleJustifiedFirstline05After0ptLinespacingDo"/>
        <w:spacing w:after="240"/>
      </w:pPr>
      <w:r>
        <w:t>The general mechanism for the formation of THBC from tryptamine and a generic aldehyde (R-CHO) is shown in</w:t>
      </w:r>
      <w:r w:rsidR="00B61AB6">
        <w:rPr>
          <w:b/>
          <w:bCs/>
        </w:rPr>
        <w:t xml:space="preserve"> </w:t>
      </w:r>
      <w:r w:rsidR="00B61AB6" w:rsidRPr="00B61AB6">
        <w:rPr>
          <w:b/>
          <w:bCs/>
        </w:rPr>
        <w:fldChar w:fldCharType="begin"/>
      </w:r>
      <w:r w:rsidR="00B61AB6" w:rsidRPr="00B61AB6">
        <w:rPr>
          <w:b/>
          <w:bCs/>
        </w:rPr>
        <w:instrText xml:space="preserve"> REF _Ref100742786 \h  \* MERGEFORMAT </w:instrText>
      </w:r>
      <w:r w:rsidR="00B61AB6" w:rsidRPr="00B61AB6">
        <w:rPr>
          <w:b/>
          <w:bCs/>
        </w:rPr>
      </w:r>
      <w:r w:rsidR="00B61AB6" w:rsidRPr="00B61AB6">
        <w:rPr>
          <w:b/>
          <w:bCs/>
        </w:rPr>
        <w:fldChar w:fldCharType="separate"/>
      </w:r>
      <w:r w:rsidR="00AA5AAC" w:rsidRPr="00AA5AAC">
        <w:rPr>
          <w:b/>
          <w:bCs/>
        </w:rPr>
        <w:t>Scheme 1.2</w:t>
      </w:r>
      <w:r w:rsidR="00B61AB6" w:rsidRPr="00B61AB6">
        <w:rPr>
          <w:b/>
          <w:bCs/>
        </w:rPr>
        <w:fldChar w:fldCharType="end"/>
      </w:r>
      <w:r>
        <w:t xml:space="preserve">. The mechanism begins with the formation of imine </w:t>
      </w:r>
      <w:r w:rsidRPr="00944762">
        <w:rPr>
          <w:b/>
          <w:bCs/>
        </w:rPr>
        <w:t>A</w:t>
      </w:r>
      <w:r>
        <w:rPr>
          <w:bCs/>
        </w:rPr>
        <w:t>,</w:t>
      </w:r>
      <w:r>
        <w:rPr>
          <w:b/>
          <w:bCs/>
        </w:rPr>
        <w:t xml:space="preserve"> </w:t>
      </w:r>
      <w:r>
        <w:rPr>
          <w:bCs/>
        </w:rPr>
        <w:t>following a condensation reaction</w:t>
      </w:r>
      <w:r>
        <w:t xml:space="preserve">. Protonation by the acid catalyst then provides iminium intermediate </w:t>
      </w:r>
      <w:r w:rsidRPr="00944762">
        <w:rPr>
          <w:b/>
          <w:bCs/>
        </w:rPr>
        <w:t>B</w:t>
      </w:r>
      <w:r w:rsidRPr="0029033B">
        <w:t>,</w:t>
      </w:r>
      <w:r>
        <w:t xml:space="preserve"> which exhibits stronger electrophilicity than its non-protonated counterpart. Cyclization follows where nucleophilic attack from the indole 3-position onto the iminium carbon atom results in spirocyclic intermediate </w:t>
      </w:r>
      <w:r w:rsidRPr="00443D4A">
        <w:rPr>
          <w:b/>
          <w:bCs/>
        </w:rPr>
        <w:t>C</w:t>
      </w:r>
      <w:r>
        <w:rPr>
          <w:bCs/>
        </w:rPr>
        <w:t>,</w:t>
      </w:r>
      <w:r>
        <w:t xml:space="preserve"> which readily undergoes ring expansion to form the </w:t>
      </w:r>
      <w:r>
        <w:lastRenderedPageBreak/>
        <w:t>piperidine fused tricyclic system (</w:t>
      </w:r>
      <w:r w:rsidRPr="00211BCC">
        <w:rPr>
          <w:b/>
          <w:bCs/>
        </w:rPr>
        <w:t>D</w:t>
      </w:r>
      <w:r>
        <w:t xml:space="preserve">). Re-aromatization of the indole ring provides the energetic “sink” to produce the final THBC product. </w:t>
      </w:r>
    </w:p>
    <w:p w14:paraId="1C1E6E08" w14:textId="77777777" w:rsidR="000F7094" w:rsidRDefault="000F7094" w:rsidP="0042307F">
      <w:pPr>
        <w:pStyle w:val="StyleJustifiedFirstline05After0ptLinespacingDo"/>
        <w:spacing w:after="240"/>
        <w:ind w:firstLine="0"/>
      </w:pPr>
      <w:r w:rsidRPr="006C542A">
        <w:rPr>
          <w:noProof/>
        </w:rPr>
        <mc:AlternateContent>
          <mc:Choice Requires="wps">
            <w:drawing>
              <wp:inline distT="0" distB="0" distL="0" distR="0" wp14:anchorId="309BC364" wp14:editId="62A3A2C0">
                <wp:extent cx="5943600" cy="2670625"/>
                <wp:effectExtent l="0" t="0" r="10160" b="15875"/>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670625"/>
                        </a:xfrm>
                        <a:prstGeom prst="rect">
                          <a:avLst/>
                        </a:prstGeom>
                        <a:solidFill>
                          <a:srgbClr val="FFFFFF"/>
                        </a:solidFill>
                        <a:ln w="9525">
                          <a:solidFill>
                            <a:srgbClr val="000000"/>
                          </a:solidFill>
                          <a:miter lim="800000"/>
                          <a:headEnd/>
                          <a:tailEnd/>
                        </a:ln>
                      </wps:spPr>
                      <wps:txbx>
                        <w:txbxContent>
                          <w:p w14:paraId="273E0FB2" w14:textId="77777777" w:rsidR="000F7094" w:rsidRDefault="000F7094" w:rsidP="000F7094">
                            <w:pPr>
                              <w:keepNext/>
                              <w:spacing w:after="0" w:line="240" w:lineRule="auto"/>
                            </w:pPr>
                            <w:r>
                              <w:rPr>
                                <w:rFonts w:asciiTheme="minorHAnsi" w:hAnsiTheme="minorHAnsi"/>
                                <w:sz w:val="22"/>
                              </w:rPr>
                              <w:object w:dxaOrig="9667" w:dyaOrig="3622" w14:anchorId="5A165EC2">
                                <v:shape id="_x0000_i1029" type="#_x0000_t75" style="width:455.85pt;height:171.6pt" o:ole="">
                                  <v:imagedata r:id="rId85" o:title=""/>
                                </v:shape>
                                <o:OLEObject Type="Embed" ProgID="ChemDraw.Document.6.0" ShapeID="_x0000_i1029" DrawAspect="Content" ObjectID="_1713353467" r:id="rId86"/>
                              </w:object>
                            </w:r>
                          </w:p>
                          <w:p w14:paraId="12ECE3A1" w14:textId="41BDD1D2" w:rsidR="000F7094" w:rsidRDefault="000F7094" w:rsidP="00DF51F5">
                            <w:pPr>
                              <w:pStyle w:val="Caption"/>
                            </w:pPr>
                            <w:bookmarkStart w:id="60" w:name="_Ref100742786"/>
                            <w:r>
                              <w:t>Scheme 1.</w:t>
                            </w:r>
                            <w:fldSimple w:instr=" SEQ Scheme \* ARABIC ">
                              <w:r w:rsidR="00AA5AAC">
                                <w:rPr>
                                  <w:noProof/>
                                </w:rPr>
                                <w:t>2</w:t>
                              </w:r>
                            </w:fldSimple>
                            <w:bookmarkEnd w:id="60"/>
                            <w:r>
                              <w:t xml:space="preserve">. Mechanism for the acid-catalyzed Pictet-Spengler reaction with tryptamine and an aldehyde (R-CHO). </w:t>
                            </w:r>
                          </w:p>
                        </w:txbxContent>
                      </wps:txbx>
                      <wps:bodyPr rot="0" vert="horz" wrap="none" lIns="91440" tIns="45720" rIns="91440" bIns="45720" anchor="t" anchorCtr="0">
                        <a:noAutofit/>
                      </wps:bodyPr>
                    </wps:wsp>
                  </a:graphicData>
                </a:graphic>
              </wp:inline>
            </w:drawing>
          </mc:Choice>
          <mc:Fallback>
            <w:pict>
              <v:shape w14:anchorId="309BC364" id="_x0000_s1034" type="#_x0000_t202" style="width:468pt;height:210.3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">
                <v:textbox>
                  <w:txbxContent>
                    <w:p w14:paraId="273E0FB2" w14:textId="77777777" w:rsidR="000F7094" w:rsidRDefault="000F7094" w:rsidP="000F7094">
                      <w:pPr>
                        <w:keepNext/>
                        <w:spacing w:after="0" w:line="240" w:lineRule="auto"/>
                      </w:pPr>
                      <w:r>
                        <w:rPr>
                          <w:rFonts w:asciiTheme="minorHAnsi" w:hAnsiTheme="minorHAnsi"/>
                          <w:sz w:val="22"/>
                        </w:rPr>
                        <w:object w:dxaOrig="9667" w:dyaOrig="3622" w14:anchorId="5A165EC2">
                          <v:shape id="_x0000_i1029" type="#_x0000_t75" style="width:455.85pt;height:171.6pt" o:ole="">
                            <v:imagedata r:id="rId85" o:title=""/>
                          </v:shape>
                          <o:OLEObject Type="Embed" ProgID="ChemDraw.Document.6.0" ShapeID="_x0000_i1029" DrawAspect="Content" ObjectID="_1713353467" r:id="rId87"/>
                        </w:object>
                      </w:r>
                    </w:p>
                    <w:p w14:paraId="12ECE3A1" w14:textId="41BDD1D2" w:rsidR="000F7094" w:rsidRDefault="000F7094" w:rsidP="00DF51F5">
                      <w:pPr>
                        <w:pStyle w:val="Caption"/>
                      </w:pPr>
                      <w:bookmarkStart w:id="61" w:name="_Ref100742786"/>
                      <w:r>
                        <w:t>Scheme 1.</w:t>
                      </w:r>
                      <w:fldSimple w:instr=" SEQ Scheme \* ARABIC ">
                        <w:r w:rsidR="00AA5AAC">
                          <w:rPr>
                            <w:noProof/>
                          </w:rPr>
                          <w:t>2</w:t>
                        </w:r>
                      </w:fldSimple>
                      <w:bookmarkEnd w:id="61"/>
                      <w:r>
                        <w:t xml:space="preserve">. Mechanism for the acid-catalyzed Pictet-Spengler reaction with tryptamine and an aldehyde (R-CHO). </w:t>
                      </w:r>
                    </w:p>
                  </w:txbxContent>
                </v:textbox>
                <w10:anchorlock/>
              </v:shape>
            </w:pict>
          </mc:Fallback>
        </mc:AlternateContent>
      </w:r>
    </w:p>
    <w:p w14:paraId="566FE479" w14:textId="4EF75E37" w:rsidR="000F7094" w:rsidRDefault="000F7094" w:rsidP="0042307F">
      <w:pPr>
        <w:pStyle w:val="StyleJustifiedFirstline05After0ptLinespacingDo"/>
        <w:spacing w:after="240"/>
      </w:pPr>
      <w:r>
        <w:t>This mechanism has been extensively studied, especially in the context of condensations with highly reactive indoles such as tryptamine.</w:t>
      </w:r>
      <w:r>
        <w:fldChar w:fldCharType="begin"/>
      </w:r>
      <w:r>
        <w:instrText xml:space="preserve"> ADDIN ZOTERO_ITEM CSL_CITATION {"citationID":"HlkmqhPt","properties":{"formattedCitation":"\\super 46\\nosupersub{}","plainCitation":"46","noteIndex":0},"citationItems":[{"id":477,"uris":["http://zotero.org/users/6503767/items/F683IXQS"],"itemData":{"id":477,"type":"chapter","abstract":"The Pictet-Spengler reaction, in its simplest form, consists in the condensation of a beta-arylethylamine with a carbonyl compound to yield a tetrahydroisoquinolone and is a special example of the Mannich reaction. The condensation of phenethylamine with methylal in concentrated hydrochloric acid to form 1,2,3,4-tetrahydroisoquinoline was achieved in 1911 by Pictet and Spengler. Their reaction has been applied to the synthesis of other ring systems. The theory that proteins are the parent substances of alkaloids was tested by Pictet, who heated casein with methylal and hydrochloric acid, obtaining a mixture of pyridine and isoquinoline bases. Most of the products were not definitely identified.","container-title":"Organic Reactions","ISBN":"978-0-471-26418-7","language":"en","note":"section: 3\n_eprint: https://onlinelibrary.wiley.com/doi/pdf/10.1002/0471264180.or006.03\nDOI: 10.1002/0471264180.or006.03","page":"151-190","publisher":"John Wiley &amp; Sons, Ltd","source":"Wiley Online Library","title":"The Pictet-Spengler Synthesis of Tetrahydroisoquinolines and Related Compounds","URL":"http://onlinelibrary.wiley.com/doi/abs/10.1002/0471264180.or006.03","author":[{"family":"Whaley","given":"Wilson M."},{"family":"Govindachari","given":"Tuticorin R."}],"accessed":{"date-parts":[["2022",2,17]]},"issued":{"date-parts":[["2011"]]}}}],"schema":"https://github.com/citation-style-language/schema/raw/master/csl-citation.json"} </w:instrText>
      </w:r>
      <w:r>
        <w:fldChar w:fldCharType="separate"/>
      </w:r>
      <w:r w:rsidRPr="0032659D">
        <w:rPr>
          <w:szCs w:val="24"/>
          <w:vertAlign w:val="superscript"/>
        </w:rPr>
        <w:t>46</w:t>
      </w:r>
      <w:r>
        <w:fldChar w:fldCharType="end"/>
      </w:r>
      <w:r>
        <w:t xml:space="preserve"> Cook et al. reviewed the PSR of benzaldehyde and tryptamine and found the yields for THBC formation to be higher in aprotic media as opposed to aqueous media.</w:t>
      </w:r>
      <w:r>
        <w:fldChar w:fldCharType="begin"/>
      </w:r>
      <w:r>
        <w:instrText xml:space="preserve"> ADDIN ZOTERO_ITEM CSL_CITATION {"citationID":"fr0XSXCr","properties":{"formattedCitation":"\\super 47\\nosupersub{}","plainCitation":"47","noteIndex":0},"citationItems":[{"id":496,"uris":["http://zotero.org/users/6503767/items/42QXWQPD"],"itemData":{"id":496,"type":"article-journal","container-title":"Chemical Reviews","DOI":"10.1021/cr00038a004","ISSN":"0009-2665","issue":"6","journalAbbreviation":"Chem. Rev.","note":"publisher: American Chemical Society","page":"1797-1842","source":"ACS Publications","title":"The Pictet-Spengler condensation: a new direction for an old reaction","title-short":"The Pictet-Spengler condensation","volume":"95","author":[{"family":"Cox","given":"Eric D."},{"family":"Cook","given":"James M."}],"issued":{"date-parts":[["1995",9,1]]}}}],"schema":"https://github.com/citation-style-language/schema/raw/master/csl-citation.json"} </w:instrText>
      </w:r>
      <w:r>
        <w:fldChar w:fldCharType="separate"/>
      </w:r>
      <w:r w:rsidRPr="0032659D">
        <w:rPr>
          <w:szCs w:val="24"/>
          <w:vertAlign w:val="superscript"/>
        </w:rPr>
        <w:t>47</w:t>
      </w:r>
      <w:r>
        <w:fldChar w:fldCharType="end"/>
      </w:r>
      <w:r>
        <w:t xml:space="preserve"> The electrophilicity of the imine double bond was the limiting factor, which determined whether cyclization would proceed. </w:t>
      </w:r>
      <w:proofErr w:type="spellStart"/>
      <w:r>
        <w:t>Shudo</w:t>
      </w:r>
      <w:proofErr w:type="spellEnd"/>
      <w:r>
        <w:t xml:space="preserve"> et al. identified a linear relationship between the rate of cyclization and the acidity of the reaction media by carrying out kinetic studies of the PSR with phenethylamines and various benzaldehydes in the presence of trifluoroacetic acid (TFA), trifluoromethanesulfonic acid (TFSA), or a mixture of the two.</w:t>
      </w:r>
      <w:r>
        <w:fldChar w:fldCharType="begin"/>
      </w:r>
      <w:r>
        <w:instrText xml:space="preserve"> ADDIN ZOTERO_ITEM CSL_CITATION {"citationID":"sD95aBHg","properties":{"formattedCitation":"\\super 48\\nosupersub{}","plainCitation":"48","noteIndex":0},"citationItems":[{"id":85,"uris":["http://zotero.org/users/6503767/items/U4LPIJFM"],"itemData":{"id":85,"type":"article-journal","container-title":"The Journal of Organic Chemistry","DOI":"10.1021/jo982019e","ISSN":"0022-3263, 1520-6904","issue":"2","journalAbbreviation":"J. Org. Chem.","language":"en","page":"611-617","source":"DOI.org (Crossref)","title":"Prototype Pictet−Spengler Reactions Catalyzed by Superacids. Involvement of Dicationic Superelectrophiles","volume":"64","author":[{"family":"Yokoyama","given":"Akihiro"},{"family":"Ohwada","given":"Tomohiko"},{"family":"Shudo","given":"Koichi"}],"issued":{"date-parts":[["1999",1]]}}}],"schema":"https://github.com/citation-style-language/schema/raw/master/csl-citation.json"} </w:instrText>
      </w:r>
      <w:r>
        <w:fldChar w:fldCharType="separate"/>
      </w:r>
      <w:r w:rsidRPr="0032659D">
        <w:rPr>
          <w:szCs w:val="24"/>
          <w:vertAlign w:val="superscript"/>
        </w:rPr>
        <w:t>48</w:t>
      </w:r>
      <w:r>
        <w:fldChar w:fldCharType="end"/>
      </w:r>
      <w:r>
        <w:t xml:space="preserve"> It was found that the imine is not electrophilic enough for ring closure, but the iminium ion is capable of undergoing the cyclization reaction. Combined, the results of these two studies suggest that prototypical PSR conditions involve a strong acid such as trifluoroacetic acid (TFA) in aprotic media. However, the PSR can occur under a wide variety of reaction conditions, including but not limited to 1) Lewis </w:t>
      </w:r>
      <w:r>
        <w:lastRenderedPageBreak/>
        <w:t>acid-mediated enantioselective PSRs,</w:t>
      </w:r>
      <w:r>
        <w:fldChar w:fldCharType="begin"/>
      </w:r>
      <w:r>
        <w:instrText xml:space="preserve"> ADDIN ZOTERO_ITEM CSL_CITATION {"citationID":"yyodH96Y","properties":{"formattedCitation":"\\super 49\\nosupersub{}","plainCitation":"49","noteIndex":0},"citationItems":[{"id":527,"uris":["http://zotero.org/users/6503767/items/KFX5DH5X"],"itemData":{"id":527,"type":"article-journal","abstract":"The first example of a reagent-controlled enantioselective Pictet−Spengler reaction is demonstrated. Using diisopinocampheylchloroborane as a chiral Lewis acid catalyst, the Pictet−Spengler reaction of Nb-hydroxytryptamine with aldehydes gave the corresponding 2-hydroxytetrahydro-β-carbolines in up to 90% ee. The enantioselective Pictet−Spengler reaction catalyzed by chiral binaphthol-derived Brønsted acid-assisted Lewis acids, with up to 91% ee, is also demonstrated.","container-title":"The Journal of Organic Chemistry","DOI":"10.1021/jo980810h","ISSN":"0022-3263","issue":"18","journalAbbreviation":"J. Org. Chem.","note":"publisher: American Chemical Society","page":"6348-6354","source":"ACS Publications","title":"Chiral Lewis Acid-Mediated Enantioselective Pictet−Spengler Reaction of Nb-Hydroxytryptamine with Aldehydes","volume":"63","author":[{"family":"Yamada","given":"Hideki"},{"family":"Kawate","given":"Tomohiko"},{"family":"Matsumizu","given":"Miyako"},{"family":"Nishida","given":"Atsushi"},{"family":"Yamaguchi","given":"Kentaro"},{"family":"Nakagawa","given":"Masako"}],"issued":{"date-parts":[["1998",9,1]]}}}],"schema":"https://github.com/citation-style-language/schema/raw/master/csl-citation.json"} </w:instrText>
      </w:r>
      <w:r>
        <w:fldChar w:fldCharType="separate"/>
      </w:r>
      <w:r w:rsidRPr="0032659D">
        <w:rPr>
          <w:szCs w:val="24"/>
          <w:vertAlign w:val="superscript"/>
        </w:rPr>
        <w:t>49</w:t>
      </w:r>
      <w:r>
        <w:fldChar w:fldCharType="end"/>
      </w:r>
      <w:r>
        <w:t xml:space="preserve"> 2) base-mediated PSRs,</w:t>
      </w:r>
      <w:r>
        <w:fldChar w:fldCharType="begin"/>
      </w:r>
      <w:r>
        <w:instrText xml:space="preserve"> ADDIN ZOTERO_ITEM CSL_CITATION {"citationID":"dZkUoZXN","properties":{"formattedCitation":"\\super 50\\nosupersub{}","plainCitation":"50","noteIndex":0},"citationItems":[{"id":433,"uris":["http://zotero.org/users/6503767/items/H4VIKPDH"],"itemData":{"id":433,"type":"article-journal","container-title":"Indian Journal of Chemistry","DOI":"10.1002/chin.200714162","ISSN":"09317597, 15222667","issue":"14","journalAbbreviation":"Indian. J. Org. Chem.","language":"en","page":"2710-2715","source":"DOI.org (Crossref)","title":"Diastereoselective Synthesis of 1,3-Disubstituted 1,2,3,4-Tetrahydro-β-carbolines Using Pictet-Spengler Reaction in Non-acidic Aprotic Media","volume":"38","author":[{"family":"Sharma","given":"S. D."},{"family":"Bhaduri","given":"Susmita"},{"family":"Kaur","given":"Gurpreet"}],"issued":{"date-parts":[["2007",4,3]]}}}],"schema":"https://github.com/citation-style-language/schema/raw/master/csl-citation.json"} </w:instrText>
      </w:r>
      <w:r>
        <w:fldChar w:fldCharType="separate"/>
      </w:r>
      <w:r w:rsidRPr="0032659D">
        <w:rPr>
          <w:szCs w:val="24"/>
          <w:vertAlign w:val="superscript"/>
        </w:rPr>
        <w:t>50</w:t>
      </w:r>
      <w:r>
        <w:fldChar w:fldCharType="end"/>
      </w:r>
      <w:r>
        <w:t xml:space="preserve"> 3) substitution of tryptophan for tryptamine,</w:t>
      </w:r>
      <w:r>
        <w:fldChar w:fldCharType="begin"/>
      </w:r>
      <w:r>
        <w:instrText xml:space="preserve"> ADDIN ZOTERO_ITEM CSL_CITATION {"citationID":"MMlkA2lX","properties":{"formattedCitation":"\\super 51\\nosupersub{}","plainCitation":"51","noteIndex":0},"citationItems":[{"id":519,"uris":["http://zotero.org/users/6503767/items/8TKEC99I"],"itemData":{"id":519,"type":"article-journal","container-title":"Angewandte Chemie (International Ed. in English)","DOI":"10.1002/anie.200801566","ISSN":"1521-3773","issue":"32","journalAbbreviation":"Angew Chem Int Ed Engl","language":"eng","note":"PMID: 18604796","page":"5973-5977","source":"PubMed","title":"Discovery of a new class of inhibitors of Mycobacterium tuberculosis protein tyrosine phosphatase B by biology-oriented synthesis","volume":"47","author":[{"family":"Nören-Müller","given":"Andrea"},{"family":"Wilk","given":"Wolfram"},{"family":"Saxena","given":"Krishna"},{"family":"Schwalbe","given":"Harald"},{"family":"Kaiser","given":"Markus"},{"family":"Waldmann","given":"Herbert"}],"issued":{"date-parts":[["2008"]]}}}],"schema":"https://github.com/citation-style-language/schema/raw/master/csl-citation.json"} </w:instrText>
      </w:r>
      <w:r>
        <w:fldChar w:fldCharType="separate"/>
      </w:r>
      <w:r w:rsidRPr="0032659D">
        <w:rPr>
          <w:szCs w:val="24"/>
          <w:vertAlign w:val="superscript"/>
        </w:rPr>
        <w:t>51</w:t>
      </w:r>
      <w:r>
        <w:fldChar w:fldCharType="end"/>
      </w:r>
      <w:r>
        <w:t xml:space="preserve"> 4) PSRs of </w:t>
      </w:r>
      <w:proofErr w:type="spellStart"/>
      <w:r>
        <w:t>ketimines</w:t>
      </w:r>
      <w:proofErr w:type="spellEnd"/>
      <w:r>
        <w:t xml:space="preserve"> derived from alkyl ketones,</w:t>
      </w:r>
      <w:r>
        <w:fldChar w:fldCharType="begin"/>
      </w:r>
      <w:r>
        <w:instrText xml:space="preserve"> ADDIN ZOTERO_ITEM CSL_CITATION {"citationID":"foMJO0q9","properties":{"formattedCitation":"\\super 52\\nosupersub{}","plainCitation":"52","noteIndex":0},"citationItems":[{"id":528,"uris":["http://zotero.org/users/6503767/items/WI7XCDWH"],"itemData":{"id":528,"type":"article-journal","abstract":"N-Arylamide wurden als effiziente steuernde und aktivierende Gruppen für Lewis-saure Chlorosilane im ersten einfachen und allgemeinen Verfahren für die hoch enantioselektive Pictet-Spengler-Reaktion mit Ketiminen aus α-Ketoamiden eingesetzt. Als Produkte werden quartäre α-Aminosäure-Derivate erhalten (siehe Schema).","container-title":"Angewandte Chemie","DOI":"10.1002/ange.200806110","ISSN":"1521-3757","issue":"13","language":"de","note":"_eprint: https://onlinelibrary.wiley.com/doi/pdf/10.1002/ange.200806110","page":"2439-2442","source":"Wiley Online Library","title":"Highly Enantioselective Pictet–Spengler Reactions with α-Ketoamide-Derived Ketimines: Access to an Unusual Class of Quaternary α-Amino Amides","title-short":"Highly Enantioselective Pictet–Spengler Reactions with α-Ketoamide-Derived Ketimines","volume":"121","author":[{"family":"Bou-Hamdan","given":"Farhan R."},{"family":"Leighton","given":"James L."}],"issued":{"date-parts":[["2009"]]}}}],"schema":"https://github.com/citation-style-language/schema/raw/master/csl-citation.json"} </w:instrText>
      </w:r>
      <w:r>
        <w:fldChar w:fldCharType="separate"/>
      </w:r>
      <w:r w:rsidRPr="0032659D">
        <w:rPr>
          <w:szCs w:val="24"/>
          <w:vertAlign w:val="superscript"/>
        </w:rPr>
        <w:t>52</w:t>
      </w:r>
      <w:r>
        <w:fldChar w:fldCharType="end"/>
      </w:r>
      <w:r>
        <w:t xml:space="preserve"> and 5) enzyme-catalyzed biosynthetic PSRs.</w:t>
      </w:r>
      <w:r>
        <w:fldChar w:fldCharType="begin"/>
      </w:r>
      <w:r>
        <w:instrText xml:space="preserve"> ADDIN ZOTERO_ITEM CSL_CITATION {"citationID":"2IjmHrWC","properties":{"formattedCitation":"\\super 53\\nosupersub{}","plainCitation":"53","noteIndex":0},"citationItems":[{"id":524,"uris":["http://zotero.org/users/6503767/items/C3296LVD"],"itemData":{"id":524,"type":"article-journal","container-title":"Tetrahedron Letters","DOI":"10.1016/S0040-4039(01)94613-1","ISSN":"0040-4039","issue":"18","journalAbbreviation":"Tetrahedron Letters","language":"en","page":"1593-1596","source":"ScienceDirect","title":"Strictosidine, the common precursor for monoterpenoid indole alkaloids with 3 α and 3 β configuration","volume":"19","author":[{"family":"Rueffer","given":"Martina"},{"family":"Nagakura","given":"Naotaka"},{"family":"Zenk","given":"Meinhart H."}],"issued":{"date-parts":[["1978",1,1]]}}}],"schema":"https://github.com/citation-style-language/schema/raw/master/csl-citation.json"} </w:instrText>
      </w:r>
      <w:r>
        <w:fldChar w:fldCharType="separate"/>
      </w:r>
      <w:r w:rsidRPr="0032659D">
        <w:rPr>
          <w:szCs w:val="24"/>
          <w:vertAlign w:val="superscript"/>
        </w:rPr>
        <w:t>53</w:t>
      </w:r>
      <w:r>
        <w:fldChar w:fldCharType="end"/>
      </w:r>
      <w:r>
        <w:t xml:space="preserve"> </w:t>
      </w:r>
    </w:p>
    <w:p w14:paraId="6CB2755B" w14:textId="77777777" w:rsidR="007C7D83" w:rsidRDefault="007C7D83" w:rsidP="007C7D83">
      <w:pPr>
        <w:pStyle w:val="StyleJustifiedFirstline05After0ptLinespacingDo"/>
        <w:ind w:firstLine="0"/>
      </w:pPr>
      <w:r>
        <w:rPr>
          <w:noProof/>
        </w:rPr>
        <mc:AlternateContent>
          <mc:Choice Requires="wps">
            <w:drawing>
              <wp:inline distT="0" distB="0" distL="0" distR="0" wp14:anchorId="0A893665" wp14:editId="1413BDD4">
                <wp:extent cx="5943600" cy="3291205"/>
                <wp:effectExtent l="0" t="0" r="19050" b="23495"/>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91205"/>
                        </a:xfrm>
                        <a:prstGeom prst="rect">
                          <a:avLst/>
                        </a:prstGeom>
                        <a:solidFill>
                          <a:srgbClr val="FFFFFF"/>
                        </a:solidFill>
                        <a:ln w="9525">
                          <a:solidFill>
                            <a:srgbClr val="000000"/>
                          </a:solidFill>
                          <a:miter lim="800000"/>
                          <a:headEnd/>
                          <a:tailEnd/>
                        </a:ln>
                      </wps:spPr>
                      <wps:txbx>
                        <w:txbxContent>
                          <w:p w14:paraId="515A07F2" w14:textId="77777777" w:rsidR="007C7D83" w:rsidRDefault="007C7D83" w:rsidP="007C7D83">
                            <w:pPr>
                              <w:keepNext/>
                              <w:jc w:val="center"/>
                            </w:pPr>
                            <w:r>
                              <w:object w:dxaOrig="7262" w:dyaOrig="2998" w14:anchorId="6D0AC5FA">
                                <v:shape id="_x0000_i1030" type="#_x0000_t75" style="width:364.7pt;height:149.6pt" o:ole="">
                                  <v:imagedata r:id="rId88" o:title=""/>
                                </v:shape>
                                <o:OLEObject Type="Embed" ProgID="ChemDraw.Document.6.0" ShapeID="_x0000_i1030" DrawAspect="Content" ObjectID="_1713353468" r:id="rId89"/>
                              </w:object>
                            </w:r>
                          </w:p>
                          <w:p w14:paraId="05EFC022" w14:textId="67B6AF0F" w:rsidR="007C7D83" w:rsidRDefault="007C7D83" w:rsidP="00DF51F5">
                            <w:pPr>
                              <w:pStyle w:val="Caption"/>
                            </w:pPr>
                            <w:bookmarkStart w:id="62" w:name="_Ref100742825"/>
                            <w:r>
                              <w:t>Scheme 1.</w:t>
                            </w:r>
                            <w:fldSimple w:instr=" SEQ Scheme \* ARABIC ">
                              <w:r w:rsidR="00AA5AAC">
                                <w:rPr>
                                  <w:noProof/>
                                </w:rPr>
                                <w:t>3</w:t>
                              </w:r>
                            </w:fldSimple>
                            <w:bookmarkEnd w:id="62"/>
                            <w:r>
                              <w:t xml:space="preserve">. The PSR in Sarpong’s 2012 synthesis of yohimbine alkaloids. </w:t>
                            </w:r>
                          </w:p>
                          <w:p w14:paraId="59AA9D6F" w14:textId="77777777" w:rsidR="007C7D83" w:rsidRPr="00F04822" w:rsidRDefault="007C7D83" w:rsidP="007C7D83">
                            <w:pPr>
                              <w:spacing w:line="240" w:lineRule="auto"/>
                            </w:pPr>
                            <w:r>
                              <w:t xml:space="preserve">Reagents and conditions for each method: (A) 10% 1 N HCl/THF, rt; (B) </w:t>
                            </w:r>
                            <w:proofErr w:type="spellStart"/>
                            <w:r>
                              <w:t>MeCN</w:t>
                            </w:r>
                            <w:proofErr w:type="spellEnd"/>
                            <w:r>
                              <w:t xml:space="preserve">, 160 </w:t>
                            </w:r>
                            <w:r>
                              <w:rPr>
                                <w:rFonts w:cs="Times New Roman"/>
                              </w:rPr>
                              <w:t>̊</w:t>
                            </w:r>
                            <w:r>
                              <w:t>C, microwave. Diastereomeric ratios (</w:t>
                            </w:r>
                            <w:proofErr w:type="gramStart"/>
                            <w:r w:rsidRPr="009B720B">
                              <w:rPr>
                                <w:b/>
                                <w:bCs/>
                              </w:rPr>
                              <w:t>F</w:t>
                            </w:r>
                            <w:r>
                              <w:t>:</w:t>
                            </w:r>
                            <w:r w:rsidRPr="009B720B">
                              <w:rPr>
                                <w:b/>
                                <w:bCs/>
                              </w:rPr>
                              <w:t>G</w:t>
                            </w:r>
                            <w:proofErr w:type="gramEnd"/>
                            <w:r>
                              <w:t>) for R = H are 1:0 and 1:3 for methods A and B, respectively. Diastereomeric ratios (</w:t>
                            </w:r>
                            <w:proofErr w:type="gramStart"/>
                            <w:r w:rsidRPr="009B720B">
                              <w:rPr>
                                <w:b/>
                                <w:bCs/>
                              </w:rPr>
                              <w:t>F</w:t>
                            </w:r>
                            <w:r>
                              <w:t>:</w:t>
                            </w:r>
                            <w:r w:rsidRPr="009B720B">
                              <w:rPr>
                                <w:b/>
                                <w:bCs/>
                              </w:rPr>
                              <w:t>G</w:t>
                            </w:r>
                            <w:proofErr w:type="gramEnd"/>
                            <w:r>
                              <w:t xml:space="preserve">) for R = OMe are 1:0 and 1:1.8 for methods A and B, respectively. </w:t>
                            </w:r>
                          </w:p>
                          <w:p w14:paraId="0166974D" w14:textId="77777777" w:rsidR="007C7D83" w:rsidRDefault="007C7D83" w:rsidP="007C7D83">
                            <w:pPr>
                              <w:jc w:val="center"/>
                            </w:pPr>
                          </w:p>
                        </w:txbxContent>
                      </wps:txbx>
                      <wps:bodyPr rot="0" vert="horz" wrap="square" lIns="91440" tIns="45720" rIns="91440" bIns="45720" anchor="t" anchorCtr="0">
                        <a:noAutofit/>
                      </wps:bodyPr>
                    </wps:wsp>
                  </a:graphicData>
                </a:graphic>
              </wp:inline>
            </w:drawing>
          </mc:Choice>
          <mc:Fallback>
            <w:pict>
              <v:shape w14:anchorId="0A893665" id="_x0000_s1035" type="#_x0000_t202" style="width:468pt;height:25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">
                <v:textbox>
                  <w:txbxContent>
                    <w:p w14:paraId="515A07F2" w14:textId="77777777" w:rsidR="007C7D83" w:rsidRDefault="007C7D83" w:rsidP="007C7D83">
                      <w:pPr>
                        <w:keepNext/>
                        <w:jc w:val="center"/>
                      </w:pPr>
                      <w:r>
                        <w:object w:dxaOrig="7262" w:dyaOrig="2998" w14:anchorId="6D0AC5FA">
                          <v:shape id="_x0000_i1030" type="#_x0000_t75" style="width:364.7pt;height:149.6pt" o:ole="">
                            <v:imagedata r:id="rId88" o:title=""/>
                          </v:shape>
                          <o:OLEObject Type="Embed" ProgID="ChemDraw.Document.6.0" ShapeID="_x0000_i1030" DrawAspect="Content" ObjectID="_1713353468" r:id="rId90"/>
                        </w:object>
                      </w:r>
                    </w:p>
                    <w:p w14:paraId="05EFC022" w14:textId="67B6AF0F" w:rsidR="007C7D83" w:rsidRDefault="007C7D83" w:rsidP="00DF51F5">
                      <w:pPr>
                        <w:pStyle w:val="Caption"/>
                      </w:pPr>
                      <w:bookmarkStart w:id="63" w:name="_Ref100742825"/>
                      <w:r>
                        <w:t>Scheme 1.</w:t>
                      </w:r>
                      <w:fldSimple w:instr=" SEQ Scheme \* ARABIC ">
                        <w:r w:rsidR="00AA5AAC">
                          <w:rPr>
                            <w:noProof/>
                          </w:rPr>
                          <w:t>3</w:t>
                        </w:r>
                      </w:fldSimple>
                      <w:bookmarkEnd w:id="63"/>
                      <w:r>
                        <w:t xml:space="preserve">. The PSR in Sarpong’s 2012 synthesis of yohimbine alkaloids. </w:t>
                      </w:r>
                    </w:p>
                    <w:p w14:paraId="59AA9D6F" w14:textId="77777777" w:rsidR="007C7D83" w:rsidRPr="00F04822" w:rsidRDefault="007C7D83" w:rsidP="007C7D83">
                      <w:pPr>
                        <w:spacing w:line="240" w:lineRule="auto"/>
                      </w:pPr>
                      <w:r>
                        <w:t xml:space="preserve">Reagents and conditions for each method: (A) 10% 1 N HCl/THF, rt; (B) </w:t>
                      </w:r>
                      <w:proofErr w:type="spellStart"/>
                      <w:r>
                        <w:t>MeCN</w:t>
                      </w:r>
                      <w:proofErr w:type="spellEnd"/>
                      <w:r>
                        <w:t xml:space="preserve">, 160 </w:t>
                      </w:r>
                      <w:r>
                        <w:rPr>
                          <w:rFonts w:cs="Times New Roman"/>
                        </w:rPr>
                        <w:t>̊</w:t>
                      </w:r>
                      <w:r>
                        <w:t>C, microwave. Diastereomeric ratios (</w:t>
                      </w:r>
                      <w:proofErr w:type="gramStart"/>
                      <w:r w:rsidRPr="009B720B">
                        <w:rPr>
                          <w:b/>
                          <w:bCs/>
                        </w:rPr>
                        <w:t>F</w:t>
                      </w:r>
                      <w:r>
                        <w:t>:</w:t>
                      </w:r>
                      <w:r w:rsidRPr="009B720B">
                        <w:rPr>
                          <w:b/>
                          <w:bCs/>
                        </w:rPr>
                        <w:t>G</w:t>
                      </w:r>
                      <w:proofErr w:type="gramEnd"/>
                      <w:r>
                        <w:t>) for R = H are 1:0 and 1:3 for methods A and B, respectively. Diastereomeric ratios (</w:t>
                      </w:r>
                      <w:proofErr w:type="gramStart"/>
                      <w:r w:rsidRPr="009B720B">
                        <w:rPr>
                          <w:b/>
                          <w:bCs/>
                        </w:rPr>
                        <w:t>F</w:t>
                      </w:r>
                      <w:r>
                        <w:t>:</w:t>
                      </w:r>
                      <w:r w:rsidRPr="009B720B">
                        <w:rPr>
                          <w:b/>
                          <w:bCs/>
                        </w:rPr>
                        <w:t>G</w:t>
                      </w:r>
                      <w:proofErr w:type="gramEnd"/>
                      <w:r>
                        <w:t xml:space="preserve">) for R = OMe are 1:0 and 1:1.8 for methods A and B, respectively. </w:t>
                      </w:r>
                    </w:p>
                    <w:p w14:paraId="0166974D" w14:textId="77777777" w:rsidR="007C7D83" w:rsidRDefault="007C7D83" w:rsidP="007C7D83">
                      <w:pPr>
                        <w:jc w:val="center"/>
                      </w:pPr>
                    </w:p>
                  </w:txbxContent>
                </v:textbox>
                <w10:anchorlock/>
              </v:shape>
            </w:pict>
          </mc:Fallback>
        </mc:AlternateContent>
      </w:r>
    </w:p>
    <w:p w14:paraId="037A3EA7" w14:textId="434AC4E3" w:rsidR="000F7094" w:rsidRDefault="000F7094" w:rsidP="0042307F">
      <w:pPr>
        <w:pStyle w:val="StyleJustifiedFirstline05After0ptLinespacingDo"/>
        <w:spacing w:after="240"/>
      </w:pPr>
      <w:r>
        <w:t>The multifaceted PSR has been relied upon for the synthesis of numerous β-carboline-containing natural products and biologically relevant molecules, and its adaptability allows for its utilization in future total synthesis projects, as well. The total synthesis of yohimbine alkaloids by Sarpong et al. is an exemplary application of PSR versatility. In their synthetic studies,</w:t>
      </w:r>
      <w:r>
        <w:fldChar w:fldCharType="begin"/>
      </w:r>
      <w:r w:rsidR="009E79C2">
        <w:instrText xml:space="preserve"> ADDIN ZOTERO_ITEM CSL_CITATION {"citationID":"yEh2PDnF","properties":{"formattedCitation":"\\super 54\\nosupersub{}","plainCitation":"54","noteIndex":0},"citationItems":[{"id":68,"uris":["http://zotero.org/users/6503767/items/8VSZ2W2A"],"itemData":{"id":68,"type":"article-journal","container-title":"Nature Chemistry","DOI":"10.1038/nchem.1528","ISSN":"1755-4330, 1755-4349","issue":"2","journalAbbreviation":"Nature Chem","language":"en","page":"126-131","source":"DOI.org (Crossref)","title":"A divergent approach to the synthesis of the yohimbinoid alkaloids venenatine and alstovenine","volume":"5","author":[{"family":"Lebold","given":"Terry P."},{"family":"Wood","given":"Jessica L."},{"family":"Deitch","given":"Josh"},{"family":"Lodewyk","given":"Michael W."},{"family":"Tantillo","given":"Dean J."},{"family":"Sarpong","given":"Richmond"}],"issued":{"date-parts":[["2013",2]]}}}],"schema":"https://github.com/citation-style-language/schema/raw/master/csl-citation.json"} </w:instrText>
      </w:r>
      <w:r>
        <w:fldChar w:fldCharType="separate"/>
      </w:r>
      <w:r w:rsidR="009E79C2" w:rsidRPr="009E79C2">
        <w:rPr>
          <w:szCs w:val="24"/>
          <w:vertAlign w:val="superscript"/>
        </w:rPr>
        <w:t>54</w:t>
      </w:r>
      <w:r>
        <w:fldChar w:fldCharType="end"/>
      </w:r>
      <w:r>
        <w:t xml:space="preserve"> indole-containing aminonitrile </w:t>
      </w:r>
      <w:r w:rsidRPr="00101529">
        <w:rPr>
          <w:b/>
          <w:bCs/>
        </w:rPr>
        <w:t>E</w:t>
      </w:r>
      <w:r>
        <w:t xml:space="preserve"> was subjected to PSR conditions, with special attention paid to the role that arene nucleophilicity plays in the stereoselectivity of </w:t>
      </w:r>
      <w:proofErr w:type="spellStart"/>
      <w:r>
        <w:t>pentacycle</w:t>
      </w:r>
      <w:proofErr w:type="spellEnd"/>
      <w:r>
        <w:t xml:space="preserve"> formation (</w:t>
      </w:r>
      <w:r w:rsidR="00B61AB6" w:rsidRPr="00B61AB6">
        <w:rPr>
          <w:b/>
          <w:bCs/>
        </w:rPr>
        <w:fldChar w:fldCharType="begin"/>
      </w:r>
      <w:r w:rsidR="00B61AB6" w:rsidRPr="00B61AB6">
        <w:rPr>
          <w:b/>
          <w:bCs/>
        </w:rPr>
        <w:instrText xml:space="preserve"> REF _Ref100742825 \h  \* MERGEFORMAT </w:instrText>
      </w:r>
      <w:r w:rsidR="00B61AB6" w:rsidRPr="00B61AB6">
        <w:rPr>
          <w:b/>
          <w:bCs/>
        </w:rPr>
      </w:r>
      <w:r w:rsidR="00B61AB6" w:rsidRPr="00B61AB6">
        <w:rPr>
          <w:b/>
          <w:bCs/>
        </w:rPr>
        <w:fldChar w:fldCharType="separate"/>
      </w:r>
      <w:r w:rsidR="00AA5AAC" w:rsidRPr="00AA5AAC">
        <w:rPr>
          <w:b/>
          <w:bCs/>
        </w:rPr>
        <w:t>Scheme 1.3</w:t>
      </w:r>
      <w:r w:rsidR="00B61AB6" w:rsidRPr="00B61AB6">
        <w:rPr>
          <w:b/>
          <w:bCs/>
        </w:rPr>
        <w:fldChar w:fldCharType="end"/>
      </w:r>
      <w:r>
        <w:t xml:space="preserve">). Treatment of </w:t>
      </w:r>
      <w:r w:rsidRPr="00101529">
        <w:rPr>
          <w:b/>
          <w:bCs/>
        </w:rPr>
        <w:t>E</w:t>
      </w:r>
      <w:r>
        <w:t xml:space="preserve"> (R = H) with hydrochloric acid (10% 1 N HCl in tetrahydrofuran at 23 ̊C, method A) resulted in the exclusive formation of β-diastereomer </w:t>
      </w:r>
      <w:r w:rsidRPr="009B720B">
        <w:rPr>
          <w:b/>
          <w:bCs/>
        </w:rPr>
        <w:t>F</w:t>
      </w:r>
      <w:r>
        <w:t>, while the thermal PSR (heating E to 160 ̊C in acetonitrile, method B) afforded a mixture of diastereomers (</w:t>
      </w:r>
      <w:r w:rsidR="00B61AB6" w:rsidRPr="00B61AB6">
        <w:rPr>
          <w:b/>
          <w:bCs/>
        </w:rPr>
        <w:fldChar w:fldCharType="begin"/>
      </w:r>
      <w:r w:rsidR="00B61AB6" w:rsidRPr="00B61AB6">
        <w:rPr>
          <w:b/>
          <w:bCs/>
        </w:rPr>
        <w:instrText xml:space="preserve"> REF _Ref100742825 \h  \* MERGEFORMAT </w:instrText>
      </w:r>
      <w:r w:rsidR="00B61AB6" w:rsidRPr="00B61AB6">
        <w:rPr>
          <w:b/>
          <w:bCs/>
        </w:rPr>
      </w:r>
      <w:r w:rsidR="00B61AB6" w:rsidRPr="00B61AB6">
        <w:rPr>
          <w:b/>
          <w:bCs/>
        </w:rPr>
        <w:fldChar w:fldCharType="separate"/>
      </w:r>
      <w:r w:rsidR="00AA5AAC" w:rsidRPr="00AA5AAC">
        <w:rPr>
          <w:b/>
          <w:bCs/>
        </w:rPr>
        <w:t>Scheme 1.3</w:t>
      </w:r>
      <w:r w:rsidR="00B61AB6" w:rsidRPr="00B61AB6">
        <w:rPr>
          <w:b/>
          <w:bCs/>
        </w:rPr>
        <w:fldChar w:fldCharType="end"/>
      </w:r>
      <w:r>
        <w:t>). Notably, method A consistently selected for a single diastereomer (</w:t>
      </w:r>
      <w:r w:rsidRPr="009B720B">
        <w:rPr>
          <w:b/>
          <w:bCs/>
        </w:rPr>
        <w:t>F</w:t>
      </w:r>
      <w:r w:rsidRPr="00FE7EC4">
        <w:t>)</w:t>
      </w:r>
      <w:r>
        <w:t>, even when employing 4- or 6-</w:t>
      </w:r>
      <w:r>
        <w:lastRenderedPageBreak/>
        <w:t xml:space="preserve">methoxyindole analogs of </w:t>
      </w:r>
      <w:r w:rsidRPr="009B720B">
        <w:rPr>
          <w:b/>
          <w:bCs/>
        </w:rPr>
        <w:t>E</w:t>
      </w:r>
      <w:r>
        <w:t xml:space="preserve">. Method B, on the other hand, gave disparate </w:t>
      </w:r>
      <w:proofErr w:type="spellStart"/>
      <w:r>
        <w:t>diastereoselectivities</w:t>
      </w:r>
      <w:proofErr w:type="spellEnd"/>
      <w:r>
        <w:t xml:space="preserve"> influenced greatly by the nature of the indole fragment. This specific study is interesting because it demonstrates the versatility of the PSR from two different approaches: (1) variability in indole constituents alters arene nucleophilicity and (2) aminonitrile moieties provide an alternate imine precursor. It was previously reported by Stork et al. that the iminium intermediate forms when the cyanide from the aminonitrile moiety undergoes elimination upon refluxing in acetonitrile.</w:t>
      </w:r>
      <w:r>
        <w:fldChar w:fldCharType="begin"/>
      </w:r>
      <w:r w:rsidR="009E79C2">
        <w:instrText xml:space="preserve"> ADDIN ZOTERO_ITEM CSL_CITATION {"citationID":"sMbxcy0w","properties":{"formattedCitation":"\\super 55\\nosupersub{}","plainCitation":"55","noteIndex":0},"citationItems":[{"id":518,"uris":["http://zotero.org/users/6503767/items/KENG6GKB"],"itemData":{"id":518,"type":"article-journal","container-title":"Journal of the American Chemical Society","DOI":"10.1021/ja055744x","ISSN":"0002-7863, 1520-5126","issue":"46","journalAbbreviation":"J. Am. Chem. Soc.","language":"en","page":"16255-16262","source":"DOI.org (Crossref)","title":"Regiospecific and Stereoselective Syntheses of (±)-Reserpine and (−)-Reserpine","volume":"127","author":[{"family":"Stork","given":"Gilbert"},{"family":"Tang","given":"Peng Cho"},{"family":"Casey","given":"Michael"},{"family":"Goodman","given":"Burton"},{"family":"Toyota","given":"Masahiro"}],"issued":{"date-parts":[["2005",11,23]]}}}],"schema":"https://github.com/citation-style-language/schema/raw/master/csl-citation.json"} </w:instrText>
      </w:r>
      <w:r>
        <w:fldChar w:fldCharType="separate"/>
      </w:r>
      <w:r w:rsidR="009E79C2" w:rsidRPr="009E79C2">
        <w:rPr>
          <w:szCs w:val="24"/>
          <w:vertAlign w:val="superscript"/>
        </w:rPr>
        <w:t>55</w:t>
      </w:r>
      <w:r>
        <w:fldChar w:fldCharType="end"/>
      </w:r>
      <w:r>
        <w:t xml:space="preserve"> </w:t>
      </w:r>
    </w:p>
    <w:p w14:paraId="50B7D425" w14:textId="5BD75DDD" w:rsidR="007C7D83" w:rsidRDefault="000F7094" w:rsidP="007C7D83">
      <w:pPr>
        <w:pStyle w:val="StyleJustifiedFirstline05After0ptLinespacingDo"/>
      </w:pPr>
      <w:r>
        <w:t xml:space="preserve">Among the many advantages of PSRs, this acid-catalyzed reaction also has green chemistry implications because of its efficient atom economy and a byproduct of only one water molecule. </w:t>
      </w:r>
      <w:r w:rsidR="007C7D83">
        <w:t>The PSR is one of the most direct and efficient synthetic methods for the construction of important privileged pharmacophores such as THIQs, THBCs, and poly-</w:t>
      </w:r>
      <w:r w:rsidR="00197563">
        <w:t>heterocycl</w:t>
      </w:r>
      <w:r w:rsidR="007C7D83">
        <w:t>es embodying them.</w:t>
      </w:r>
      <w:r w:rsidR="007C7D83">
        <w:fldChar w:fldCharType="begin"/>
      </w:r>
      <w:r w:rsidR="009E79C2">
        <w:instrText xml:space="preserve"> ADDIN ZOTERO_ITEM CSL_CITATION {"citationID":"TaGU6B5z","properties":{"formattedCitation":"\\super 56\\nosupersub{}","plainCitation":"56","noteIndex":0},"citationItems":[{"id":502,"uris":["http://zotero.org/users/6503767/items/KZNUF2WS"],"itemData":{"id":502,"type":"article-journal","abstract":"Today, in spite of being older than a century (born in 1911), the Pictet-Spengler two component reaction (PS-2CR) is still one of the most popular reactions, not only for the synthesis of tetrahydroisoquinolines (THIQs), tetrahydro-β-carbolines (THBCs), or more complex structures containing these two privileged moieties, but also for the construction of novel scaffolds, available for structure-activity relationship (SAR) studies and/or for combinatorial libraries targeted at drug discovery. The prominence of the P-S cyclization is brought about by the inheritance from analogous enzyme-catalyzed reactions of the biogenetic pathways of natural products, mainly indole alkaloids, with a broad range of biological activities. This knowledge has been the starting point for the biomimetic synthesis or the bio-engineering production of pharmacologically important drugs. The long-lasting life of the P-S reaction depends on the discovery of its multiple facets, the modifications of its parameters and components, as well as the continuous renovation of solutions for the challenging stereochemical outcome of the transformation. This paper deals with an updated visit to the P-S reaction aiming to find the threads of the story without forgetting the numerous facets of the prism. It is organized as a theater piece, with a prologue and the main scene (namely, Act 1) where the readers can follow the parade of the two above-mentioned very recurring motifs (namely, THIQ and THBC) by moving from one step to another (a cyclization, an intramolecular attack, a stereoselective passage) to find the way out of the labyrinth of the P-S reaction.","container-title":"Current Pharmaceutical Design","DOI":"10.2174/1381612822666151231100247","ISSN":"1873-4286","issue":"12","journalAbbreviation":"Curr Pharm Des","language":"eng","note":"PMID: 26719050","page":"1808-1850","source":"PubMed","title":"The Pictet-Spengler Reaction Still on Stage","volume":"22","author":[{"family":"Ingallina","given":"Cinzia"},{"family":"D'Acquarica","given":"Ilaria"},{"family":"Delle Monache","given":"Giuliano"},{"family":"Ghirga","given":"Francesca"},{"family":"Quaglio","given":"Deborah"},{"family":"Ghirga","given":"Patrizio"},{"family":"Berardozzi","given":"Simone"},{"family":"Markovic","given":"Violeta"},{"family":"Botta","given":"Bruno"}],"issued":{"date-parts":[["2016"]]}}}],"schema":"https://github.com/citation-style-language/schema/raw/master/csl-citation.json"} </w:instrText>
      </w:r>
      <w:r w:rsidR="007C7D83">
        <w:fldChar w:fldCharType="separate"/>
      </w:r>
      <w:r w:rsidR="009E79C2" w:rsidRPr="009E79C2">
        <w:rPr>
          <w:szCs w:val="24"/>
          <w:vertAlign w:val="superscript"/>
        </w:rPr>
        <w:t>56</w:t>
      </w:r>
      <w:r w:rsidR="007C7D83">
        <w:fldChar w:fldCharType="end"/>
      </w:r>
      <w:r w:rsidR="007C7D83">
        <w:t xml:space="preserve"> This reaction is also highly variable, however. The abundant versatility of the PSR makes it both an invaluable tool and a challenging puzzle for synthetic chemistry, as reaction conditions must be tuned and optimized to specific substrates.</w:t>
      </w:r>
      <w:r w:rsidR="00042F90">
        <w:t xml:space="preserve"> </w:t>
      </w:r>
      <w:r w:rsidR="007C7D83">
        <w:t>Highlighted examples of parameters and constituents that</w:t>
      </w:r>
      <w:r w:rsidR="00042F90">
        <w:t xml:space="preserve"> are amenable to modification</w:t>
      </w:r>
      <w:r w:rsidR="007C7D83">
        <w:t xml:space="preserve"> are as follows:</w:t>
      </w:r>
      <w:r w:rsidR="007C7D83">
        <w:fldChar w:fldCharType="begin"/>
      </w:r>
      <w:r w:rsidR="009E79C2">
        <w:instrText xml:space="preserve"> ADDIN ZOTERO_ITEM CSL_CITATION {"citationID":"ZD8Q6cDS","properties":{"formattedCitation":"\\super 57\\nosupersub{}","plainCitation":"57","noteIndex":0},"citationItems":[{"id":506,"uris":["http://zotero.org/users/6503767/items/Q4MS33VL"],"itemData":{"id":506,"type":"article-journal","abstract":"The Pictet-Spengler reaction (P-S) is one of the most direct, efficient, and variable synthetic method for the construction of privileged pharmacophores such as tetrahydro-isoquinolines (THIQs), tetrahydro-β-carbolines (THBCs), and polyheterocyclic frameworks. In the lustro (five-year period) following its centenary birthday, the P-S reaction did not exit the stage but it came up again on limelight with new features. This review focuses on the interesting results achieved in this period (2011–2015), analyzing the versatility of this reaction. Classic P-S was reported in the total synthesis of complex alkaloids, in combination with chiral catalysts as well as for the generation of libraries of compounds in medicinal chemistry. The P-S has been used also in tandem reactions, with the sequences including ring closing metathesis, isomerization, Michael addition, and Gold- or Brønsted acid-catalyzed N-acyliminium cyclization. Moreover, the combination of P-S reaction with Ugi multicomponent reaction has been exploited for the construction of highly complex polycyclic architectures in few steps and high yields. The P-S reaction has also been successfully employed in solid-phase synthesis, affording products with different structures, including peptidomimetics, synthetic heterocycles, and natural compounds. Finally, the enzymatic version of P-S has been reported for biosynthesis, biotransformations, and bioconjugations.","container-title":"Molecules","DOI":"10.3390/molecules25020414","ISSN":"1420-3049","issue":"2","journalAbbreviation":"Molecules","note":"PMID: 31963860\nPMCID: PMC7024544","page":"414","source":"PubMed Central","title":"The Pictet-Spengler Reaction Updates Its Habits","volume":"25","author":[{"family":"Calcaterra","given":"Andrea"},{"family":"Mangiardi","given":"Laura"},{"family":"Delle Monache","given":"Giuliano"},{"family":"Quaglio","given":"Deborah"},{"family":"Balducci","given":"Silvia"},{"family":"Berardozzi","given":"Simone"},{"family":"Iazzetti","given":"Antonia"},{"family":"Franzini","given":"Roberta"},{"family":"Botta","given":"Bruno"},{"family":"Ghirga","given":"Francesca"}],"issued":{"date-parts":[["2020",1,19]]}}}],"schema":"https://github.com/citation-style-language/schema/raw/master/csl-citation.json"} </w:instrText>
      </w:r>
      <w:r w:rsidR="007C7D83">
        <w:fldChar w:fldCharType="separate"/>
      </w:r>
      <w:r w:rsidR="009E79C2" w:rsidRPr="009E79C2">
        <w:rPr>
          <w:szCs w:val="24"/>
          <w:vertAlign w:val="superscript"/>
        </w:rPr>
        <w:t>57</w:t>
      </w:r>
      <w:r w:rsidR="007C7D83">
        <w:fldChar w:fldCharType="end"/>
      </w:r>
      <w:r w:rsidR="007C7D83">
        <w:t xml:space="preserve"> </w:t>
      </w:r>
    </w:p>
    <w:p w14:paraId="37526BF0" w14:textId="5ECCD9AF" w:rsidR="007C7D83" w:rsidRDefault="007C7D83" w:rsidP="007C7D83">
      <w:pPr>
        <w:pStyle w:val="StyleJustifiedFirstline05After0ptLinespacingDo"/>
        <w:numPr>
          <w:ilvl w:val="0"/>
          <w:numId w:val="2"/>
        </w:numPr>
      </w:pPr>
      <w:r>
        <w:t>Increased nucleophilicity of the amine-containing reagent, or increased electrophilicity of the carbonyl component can affect PSR reaction rates.</w:t>
      </w:r>
      <w:r>
        <w:fldChar w:fldCharType="begin"/>
      </w:r>
      <w:r w:rsidR="009E79C2">
        <w:instrText xml:space="preserve"> ADDIN ZOTERO_ITEM CSL_CITATION {"citationID":"hOgXtamH","properties":{"formattedCitation":"\\super 58\\nosupersub{}","plainCitation":"58","noteIndex":0},"citationItems":[{"id":508,"uris":["http://zotero.org/users/6503767/items/2LYAPLN7"],"itemData":{"id":508,"type":"article-journal","container-title":"Chemical Reviews","DOI":"10.1021/cr0306182","ISSN":"0009-2665","issue":"3","journalAbbreviation":"Chem Rev","language":"eng","note":"PMID: 15008627","page":"1431-1628","source":"PubMed","title":"Cyclizations of N-acyliminium ions","volume":"104","author":[{"family":"Maryanoff","given":"Bruce E."},{"family":"Zhang","given":"Han-Cheng"},{"family":"Cohen","given":"Judith H."},{"family":"Turchi","given":"Ignatius J."},{"family":"Maryanoff","given":"Cynthia A."}],"issued":{"date-parts":[["2004",3]]}}}],"schema":"https://github.com/citation-style-language/schema/raw/master/csl-citation.json"} </w:instrText>
      </w:r>
      <w:r>
        <w:fldChar w:fldCharType="separate"/>
      </w:r>
      <w:r w:rsidR="009E79C2" w:rsidRPr="009E79C2">
        <w:rPr>
          <w:szCs w:val="24"/>
          <w:vertAlign w:val="superscript"/>
        </w:rPr>
        <w:t>58</w:t>
      </w:r>
      <w:r>
        <w:fldChar w:fldCharType="end"/>
      </w:r>
      <w:r>
        <w:t xml:space="preserve"> </w:t>
      </w:r>
    </w:p>
    <w:p w14:paraId="7003B545" w14:textId="1B2DB347" w:rsidR="007C7D83" w:rsidRDefault="007C7D83" w:rsidP="007C7D83">
      <w:pPr>
        <w:pStyle w:val="StyleJustifiedFirstline05After0ptLinespacingDo"/>
        <w:numPr>
          <w:ilvl w:val="0"/>
          <w:numId w:val="2"/>
        </w:numPr>
      </w:pPr>
      <w:r>
        <w:t>Solvent choice, temperature, amount of acid, and reaction time influence the final results of the PSR.</w:t>
      </w:r>
      <w:r>
        <w:fldChar w:fldCharType="begin"/>
      </w:r>
      <w:r w:rsidR="009E79C2">
        <w:instrText xml:space="preserve"> ADDIN ZOTERO_ITEM CSL_CITATION {"citationID":"GDaatomZ","properties":{"formattedCitation":"\\super 59\\nosupersub{}","plainCitation":"59","noteIndex":0},"citationItems":[{"id":504,"uris":["http://zotero.org/users/6503767/items/R9ZDIA5Z"],"itemData":{"id":504,"type":"article-journal","abstract":"The Pictet–Spengler reaction with N-protected α-amino aldehydes was found to be very sensitive to reaction conditions. The outcome of the reaction can be controlled mainly by choice of solvent. Tetrahydro-β-carbolines were obtained in apolar solvents, while in polar media octahydro-bipyrroloindoles were the main compounds. Temperature, amount of acid and reaction time also influenced the final results of the PS reaction. Depending on conditions, products with opposite configuration of stereogenic centre, descended from amino aldehydes, were formed as byproducts.","container-title":"Tetrahedron","DOI":"10.1016/j.tet.2011.01.018","ISSN":"0040-4020","issue":"10","journalAbbreviation":"Tetrahedron","language":"en","page":"1955-1959","source":"ScienceDirect","title":"Influence of reaction conditions on products of the Pictet–Spengler condensation","volume":"67","author":[{"family":"Pulka","given":"Karolina"},{"family":"Misicka","given":"Aleksandra"}],"issued":{"date-parts":[["2011",3,11]]}}}],"schema":"https://github.com/citation-style-language/schema/raw/master/csl-citation.json"} </w:instrText>
      </w:r>
      <w:r>
        <w:fldChar w:fldCharType="separate"/>
      </w:r>
      <w:r w:rsidR="009E79C2" w:rsidRPr="009E79C2">
        <w:rPr>
          <w:szCs w:val="24"/>
          <w:vertAlign w:val="superscript"/>
        </w:rPr>
        <w:t>59</w:t>
      </w:r>
      <w:r>
        <w:fldChar w:fldCharType="end"/>
      </w:r>
    </w:p>
    <w:p w14:paraId="594E0529" w14:textId="6F877C44" w:rsidR="007C7D83" w:rsidRDefault="007C7D83" w:rsidP="007C7D83">
      <w:pPr>
        <w:pStyle w:val="StyleJustifiedFirstline05After0ptLinespacingDo"/>
        <w:numPr>
          <w:ilvl w:val="0"/>
          <w:numId w:val="2"/>
        </w:numPr>
      </w:pPr>
      <w:r>
        <w:t>Stereoselectivity can be influenced by chiral carbonyl derivatives</w:t>
      </w:r>
      <w:r>
        <w:fldChar w:fldCharType="begin"/>
      </w:r>
      <w:r w:rsidR="009E79C2">
        <w:instrText xml:space="preserve"> ADDIN ZOTERO_ITEM CSL_CITATION {"citationID":"VA4R82Nf","properties":{"formattedCitation":"\\super 60\\nosupersub{}","plainCitation":"60","noteIndex":0},"citationItems":[{"id":512,"uris":["http://zotero.org/users/6503767/items/H9HAY87W"],"itemData":{"id":512,"type":"article-journal","abstract":"The stereoselective Pictet-Spengler synthesis is one of the currently most important synthetic methodologies for the preparation of polysubstituted optically active tetrahydroisoquinolines and tetrahydro-β-carboline derivatives functionalized on C-1. The intermolecular Pictet-Spengler condensation with chiral carbonyl derivatives constitutes an interesting and useful approach towards this goal, as summarized in this review. Strategies covered, which were developed during the last 15 years, include the intermolecular Pictet-Spengler reaction with the use of carbonyl derivatives tethered to removable chiral auxiliaries and the cyclocondensation of βarylethylamines with chiral carbonyl components. Brief mention is also made to the occurrence of asymmetric β-carbolines in foodstuffs.","container-title":"Arkivoc","DOI":"10.3998/ark.5550190.0006.c09","ISSN":"1551-7012","issue":"12","language":"en","page":"98-153","source":"DOI.org (Crossref)","title":"The intermolecular Pictet-Spengler condensation with chiral carbonyl derivatives in the stereoselective syntheses of optically-active isoquinoline and indole alkaloids","volume":"2005","author":[{"family":"Larghi","given":"Enrique L."},{"family":"Amongero","given":"Marcela"},{"family":"Bracca","given":"Andrea B. J."},{"family":"Kaufman","given":"Teodoro S."}],"editor":[{"family":"Schantl","given":"Joachim"}],"issued":{"date-parts":[["2005",10,19]]}}}],"schema":"https://github.com/citation-style-language/schema/raw/master/csl-citation.json"} </w:instrText>
      </w:r>
      <w:r>
        <w:fldChar w:fldCharType="separate"/>
      </w:r>
      <w:r w:rsidR="009E79C2" w:rsidRPr="009E79C2">
        <w:rPr>
          <w:szCs w:val="24"/>
          <w:vertAlign w:val="superscript"/>
        </w:rPr>
        <w:t>60</w:t>
      </w:r>
      <w:r>
        <w:fldChar w:fldCharType="end"/>
      </w:r>
      <w:r>
        <w:t xml:space="preserve"> or chiral auxiliaries.</w:t>
      </w:r>
      <w:r>
        <w:fldChar w:fldCharType="begin"/>
      </w:r>
      <w:r w:rsidR="009E79C2">
        <w:instrText xml:space="preserve"> ADDIN ZOTERO_ITEM CSL_CITATION {"citationID":"yswvD19k","properties":{"formattedCitation":"\\super 61,62\\nosupersub{}","plainCitation":"61,62","noteIndex":0},"citationItems":[{"id":513,"uris":["http://zotero.org/users/6503767/items/DLVHG7ZD"],"itemData":{"id":513,"type":"article-journal","abstract":"Both aromatic and aliphatic Schiff bases 1 can be cyclized asymmetrically in the presence of titanium alkoxides if N,N-phthaloyl-protected amino acids are employed as chiral auxiliaries. The desired heterocycles 3, which are suitable for alkaloid syntheses, are formed with diastereomer ratios of up to 99%. R  nPr, iPr; R1  Me, Et, iPr, Ph, Ar; R2  Me, iPr, tBu.","container-title":"Angewandte Chemie International Edition in English","DOI":"10.1002/anie.199524021","ISSN":"1521-3773","issue":"21","note":"_eprint: https://onlinelibrary.wiley.com/doi/pdf/10.1002/anie.199524021","page":"2402-2403","source":"Wiley Online Library","title":"Asymmetric Pictet–Spengler Reactions Employing N,N-Phthaloyl Amino Acids as Chiral Auxiliary Groups","volume":"34","author":[{"family":"Waldmann","given":"Herbert"},{"family":"Schmidt","given":"Gunther"},{"family":"Henke","given":"Henning"},{"family":"Burkard","given":"Michael"}],"issued":{"date-parts":[["1995"]]}}},{"id":514,"uris":["http://zotero.org/users/6503767/items/MXPNXNUD"],"itemData":{"id":514,"type":"article-journal","abstract":"Aromatic and aliphatic Schiff bases of tryptamine react with Fmoc- or phthaloyl-protected amino acid chlorides to form N-acyliminium intermediates, which, in the presence of titanium alkoxides at room temperature, undergo Pictet–Spengler reactions to give tetrahydro-β-carbolines with diastereomeric ratios of up to 99:1. The chiral auxiliary can be removed from the Pictet–Spengler adducts by means of a simple reduction. To rationalize the observed stereoselectivity a transition-state model is proposed in which the titanium atom coordinates both the carbonyl group of the N-acyliminium ion and the amino acid protecting group.","container-title":"Chemistry – A European Journal","DOI":"10.1002/chem.19960021215","ISSN":"1521-3765","issue":"12","language":"en","note":"_eprint: https://onlinelibrary.wiley.com/doi/pdf/10.1002/chem.19960021215","page":"1566-1571","source":"Wiley Online Library","title":"Asymmetric Control in the Pictet–Spengler Reaction by Means of N-Protected Amino Acids as Chiral Auxiliary Groups","volume":"2","author":[{"family":"Schmidt","given":"Gunther"},{"family":"Waldmann","given":"Herbert"},{"family":"Henke","given":"Henning"},{"family":"Burkard","given":"Michael"}],"issued":{"date-parts":[["1996"]]}}}],"schema":"https://github.com/citation-style-language/schema/raw/master/csl-citation.json"} </w:instrText>
      </w:r>
      <w:r>
        <w:fldChar w:fldCharType="separate"/>
      </w:r>
      <w:r w:rsidR="009E79C2" w:rsidRPr="009E79C2">
        <w:rPr>
          <w:szCs w:val="24"/>
          <w:vertAlign w:val="superscript"/>
        </w:rPr>
        <w:t>61,62</w:t>
      </w:r>
      <w:r>
        <w:fldChar w:fldCharType="end"/>
      </w:r>
      <w:r>
        <w:t xml:space="preserve"> </w:t>
      </w:r>
    </w:p>
    <w:p w14:paraId="4A57CF6D" w14:textId="419EB8F4" w:rsidR="00F66763" w:rsidRDefault="00042F90" w:rsidP="0042307F">
      <w:pPr>
        <w:spacing w:after="0"/>
        <w:ind w:firstLine="720"/>
      </w:pPr>
      <w:r>
        <w:t xml:space="preserve">The PSR might </w:t>
      </w:r>
      <w:r w:rsidR="00197563">
        <w:t xml:space="preserve">be </w:t>
      </w:r>
      <w:r>
        <w:t xml:space="preserve">extremely adaptable and useful, but elegance and efficiency </w:t>
      </w:r>
      <w:r w:rsidR="00197563">
        <w:t xml:space="preserve">must still be fine-tuned, especially for complex structural architectures. </w:t>
      </w:r>
      <w:bookmarkStart w:id="64" w:name="_Toc100241878"/>
    </w:p>
    <w:p w14:paraId="4C26D401" w14:textId="768FC7DE" w:rsidR="000F7094" w:rsidRPr="003E5113" w:rsidRDefault="000F7094" w:rsidP="0042307F">
      <w:pPr>
        <w:pStyle w:val="Subsection"/>
        <w:spacing w:after="240"/>
      </w:pPr>
      <w:bookmarkStart w:id="65" w:name="_Toc102586242"/>
      <w:r w:rsidRPr="003E5113">
        <w:lastRenderedPageBreak/>
        <w:t>1.</w:t>
      </w:r>
      <w:r>
        <w:t>2</w:t>
      </w:r>
      <w:r w:rsidRPr="003E5113">
        <w:t>.</w:t>
      </w:r>
      <w:r>
        <w:t>3</w:t>
      </w:r>
      <w:r w:rsidRPr="003E5113">
        <w:t xml:space="preserve"> </w:t>
      </w:r>
      <w:r>
        <w:t xml:space="preserve">Interests in picrasidine C as a </w:t>
      </w:r>
      <w:r w:rsidRPr="003E5113">
        <w:t>subtype</w:t>
      </w:r>
      <w:r>
        <w:t xml:space="preserve"> </w:t>
      </w:r>
      <w:r w:rsidRPr="003E5113">
        <w:t xml:space="preserve">selective PPARα agonist </w:t>
      </w:r>
      <w:r>
        <w:t>and its implications in diabetic retinopathy.</w:t>
      </w:r>
      <w:bookmarkEnd w:id="64"/>
      <w:bookmarkEnd w:id="65"/>
      <w:r>
        <w:t xml:space="preserve"> </w:t>
      </w:r>
    </w:p>
    <w:p w14:paraId="2A5AD1EC" w14:textId="050E1D33" w:rsidR="00F66763" w:rsidRDefault="000F7094" w:rsidP="0042307F">
      <w:pPr>
        <w:spacing w:after="240"/>
        <w:ind w:firstLine="720"/>
        <w:rPr>
          <w:rFonts w:cs="Times New Roman"/>
          <w:szCs w:val="24"/>
        </w:rPr>
      </w:pPr>
      <w:r w:rsidRPr="003E5113">
        <w:rPr>
          <w:rFonts w:cs="Times New Roman"/>
          <w:szCs w:val="24"/>
        </w:rPr>
        <w:t>Diabetic retinopathy (DR), a common complication of diabetes, is a leading cause of blindness in developed countries.</w:t>
      </w:r>
      <w:r>
        <w:rPr>
          <w:rFonts w:cs="Times New Roman"/>
          <w:szCs w:val="24"/>
        </w:rPr>
        <w:fldChar w:fldCharType="begin"/>
      </w:r>
      <w:r>
        <w:rPr>
          <w:rFonts w:cs="Times New Roman"/>
          <w:szCs w:val="24"/>
        </w:rPr>
        <w:instrText xml:space="preserve"> ADDIN ZOTERO_ITEM CSL_CITATION {"citationID":"FMIiXuTQ","properties":{"formattedCitation":"\\super 63\\nosupersub{}","plainCitation":"63","noteIndex":0},"citationItems":[{"id":643,"uris":["http://zotero.org/users/6503767/items/KJHRF9IQ"],"itemData":{"id":643,"type":"article-journal","container-title":"Annals of Internal Medicine","DOI":"10.7326/0003-4819-140-11-200406010-00035","ISSN":"0003-4819","issue":"11","journalAbbreviation":"Ann Intern Med","note":"publisher: American College of Physicians","page":"945-950","source":"acpjournals.org (Atypon)","title":"The Evolving Diabetes Burden in the United States","volume":"140","author":[{"family":"Engelgau","given":"Michael M."},{"family":"Geiss","given":"Linda S."},{"family":"Saaddine","given":"Jinan B."},{"family":"Boyle","given":"James P."},{"family":"Benjamin","given":"Stephanie M."},{"family":"Gregg","given":"Edward W."},{"family":"Tierney","given":"Edward F."},{"family":"Rios-Burrows","given":"Nilka"},{"family":"Mokdad","given":"Ali H."},{"family":"Ford","given":"Earl S."},{"family":"Imperatore","given":"Giuseppina"},{"family":"Venkat Narayan","given":"K. M."}],"issued":{"date-parts":[["2004",6]]}}}],"schema":"https://github.com/citation-style-language/schema/raw/master/csl-citation.json"} </w:instrText>
      </w:r>
      <w:r>
        <w:rPr>
          <w:rFonts w:cs="Times New Roman"/>
          <w:szCs w:val="24"/>
        </w:rPr>
        <w:fldChar w:fldCharType="separate"/>
      </w:r>
      <w:r w:rsidRPr="00A332D0">
        <w:rPr>
          <w:rFonts w:cs="Times New Roman"/>
          <w:szCs w:val="24"/>
          <w:vertAlign w:val="superscript"/>
        </w:rPr>
        <w:t>63</w:t>
      </w:r>
      <w:r>
        <w:rPr>
          <w:rFonts w:cs="Times New Roman"/>
          <w:szCs w:val="24"/>
        </w:rPr>
        <w:fldChar w:fldCharType="end"/>
      </w:r>
      <w:r w:rsidRPr="003E5113">
        <w:rPr>
          <w:rFonts w:cs="Times New Roman"/>
          <w:szCs w:val="24"/>
        </w:rPr>
        <w:t xml:space="preserve"> </w:t>
      </w:r>
      <w:r>
        <w:rPr>
          <w:rFonts w:cs="Times New Roman"/>
          <w:szCs w:val="24"/>
        </w:rPr>
        <w:t>It is projected that nearly all type 1 diabetes patients and 60% of type 2 diabetes patients will be diagnosed with some form of DR after 20 years of disease, as the prevalence of DR grows proportionally to the duration of diabetes.</w:t>
      </w:r>
      <w:r>
        <w:rPr>
          <w:rFonts w:cs="Times New Roman"/>
          <w:szCs w:val="24"/>
        </w:rPr>
        <w:fldChar w:fldCharType="begin"/>
      </w:r>
      <w:r>
        <w:rPr>
          <w:rFonts w:cs="Times New Roman"/>
          <w:szCs w:val="24"/>
        </w:rPr>
        <w:instrText xml:space="preserve"> ADDIN ZOTERO_ITEM CSL_CITATION {"citationID":"YFLVx96A","properties":{"formattedCitation":"\\super 64\\nosupersub{}","plainCitation":"64","noteIndex":0},"citationItems":[{"id":647,"uris":["http://zotero.org/users/6503767/items/EBFDFPWD"],"itemData":{"id":647,"type":"article-journal","abstract":"Prevention and control programmes are needed to stem the rising epidemic of diabetes and its complications. However, these will not occur unless governments and public health planners are aware of the potential problem. Using published prevalence rates for NIDDM in different populations, and the current and projected age distributions, worldwide prevalence of NIDDM was estimated for 1995 and 1997, and well as projections for 2000 and 2010. Prevalence rates used for projections were chosen to reflect changes in lifestyle with economic development. The global prevalence of IDDM was estimated using published incidence rates and population figures, incorporating the likely survival time from development of IDDM. Data on diabetes complications are also summarised but no attempt has been made to extrapolate to a global estimated. In 1997, an estimated 124 million people worldwide have diabetes, 97% of these having NIDDM. By the year 2010 the total number of people with diabetes is projected to reach 221 million. The regions with the greatest potential increases are Asia and Africa, where diabetes rates could rise to 2 or 3 times those experienced today. With improvements in the treatment of IDDM, the prevalence of this form of diabetes is likely to increase as more people survive for longer after diagnosis. Increases in complications will undoubtedly follow increasing prevalence of diabetes, but population-based studies using standardised methods of diagnosis are required before reliable estimates of the extent of the problem can be made. It is hoped that the information provided in this report, and others like it, will act as an incentive to initiate or improve local diabetes monitoring and prevention strategies.","container-title":"Diabetic Medicine: A Journal of the British Diabetic Association","ISSN":"0742-3071","journalAbbreviation":"Diabet Med","language":"eng","note":"PMID: 9450510","page":"S1-85","source":"PubMed","title":"The rising global burden of diabetes and its complications: estimates and projections to the year 2010","title-short":"The rising global burden of diabetes and its complications","volume":"14 Suppl 5","author":[{"family":"Amos","given":"A. F."},{"family":"McCarty","given":"D. J."},{"family":"Zimmet","given":"P."}],"issued":{"date-parts":[["1997"]]}}}],"schema":"https://github.com/citation-style-language/schema/raw/master/csl-citation.json"} </w:instrText>
      </w:r>
      <w:r>
        <w:rPr>
          <w:rFonts w:cs="Times New Roman"/>
          <w:szCs w:val="24"/>
        </w:rPr>
        <w:fldChar w:fldCharType="separate"/>
      </w:r>
      <w:r w:rsidRPr="006134AA">
        <w:rPr>
          <w:rFonts w:cs="Times New Roman"/>
          <w:szCs w:val="24"/>
          <w:vertAlign w:val="superscript"/>
        </w:rPr>
        <w:t>64</w:t>
      </w:r>
      <w:r>
        <w:rPr>
          <w:rFonts w:cs="Times New Roman"/>
          <w:szCs w:val="24"/>
        </w:rPr>
        <w:fldChar w:fldCharType="end"/>
      </w:r>
      <w:r>
        <w:rPr>
          <w:rFonts w:cs="Times New Roman"/>
          <w:szCs w:val="24"/>
        </w:rPr>
        <w:t xml:space="preserve"> DR is classified into two categories, namely </w:t>
      </w:r>
      <w:proofErr w:type="spellStart"/>
      <w:r>
        <w:rPr>
          <w:rFonts w:cs="Times New Roman"/>
          <w:szCs w:val="24"/>
        </w:rPr>
        <w:t>nonproliferative</w:t>
      </w:r>
      <w:proofErr w:type="spellEnd"/>
      <w:r>
        <w:rPr>
          <w:rFonts w:cs="Times New Roman"/>
          <w:szCs w:val="24"/>
        </w:rPr>
        <w:t xml:space="preserve"> diabetic retinopathy (NPDR) and proliferative diabetic retinopathy (PDR), characterized by absence or presence retinal neovascularization, respectively.</w:t>
      </w:r>
      <w:r>
        <w:rPr>
          <w:rFonts w:cs="Times New Roman"/>
          <w:szCs w:val="24"/>
        </w:rPr>
        <w:fldChar w:fldCharType="begin"/>
      </w:r>
      <w:r>
        <w:rPr>
          <w:rFonts w:cs="Times New Roman"/>
          <w:szCs w:val="24"/>
        </w:rPr>
        <w:instrText xml:space="preserve"> ADDIN ZOTERO_ITEM CSL_CITATION {"citationID":"8u4OWIwM","properties":{"formattedCitation":"\\super 65\\nosupersub{}","plainCitation":"65","noteIndex":0},"citationItems":[{"id":640,"uris":["http://zotero.org/users/6503767/items/SZQEDF78"],"itemData":{"id":640,"type":"article-journal","abstract":"Diabetes is now regarded as an epidemic, with the population of patients expected to rise to 380 million by 2025. Tragically, this will lead to approximately 4 million people around the world losing their sight from diabetic retinopathy, the leading cause of blindness in patients aged 20 to 74 years. The risk of development and progression of diabetic retinopathy is closely associated with the type and duration of diabetes, blood glucose, blood pressure, and possibly lipids. Although landmark cross-sectional studies have confirmed the strong relationship between chronic hyperglycaemia and the development and progression of diabetic retinopathy, the underlying mechanism of how hyperglycaemia causes retinal microvascular damage remains unclear. Continued research worldwide has focussed on understanding the pathogenic mechanisms with the ultimate goal to prevent DR. The aim of this paper is to introduce the multiple interconnecting biochemical pathways that have been proposed and tested as key contributors in the development of DR, namely, increased polyol pathway, activation of protein kinase C (PKC), increased expression of growth factors such as vascular endothelial growth factor (VEGF) and insulin-like growth factor-1 (IGF-1), haemodynamic changes, accelerated formation of advanced glycation endproducts (AGEs), oxidative stress, activation of the renin-angiotensin-aldosterone system (RAAS), and subclinical inflammation and capillary occlusion. New pharmacological therapies based on some of these underlying pathogenic mechanisms are also discussed.","container-title":"ISRN Ophthalmology","DOI":"10.1155/2013/343560","language":"en","note":"publisher: Hindawi","page":"e343560","source":"www.hindawi.com","title":"Pathophysiology of Diabetic Retinopathy","volume":"2013","author":[{"family":"Tarr","given":"Joanna M."},{"family":"Kaul","given":"Kirti"},{"family":"Chopra","given":"Mohit"},{"family":"Kohner","given":"Eva M."},{"family":"Chibber","given":"Rakesh"}],"issued":{"date-parts":[["2013",1,15]]}}}],"schema":"https://github.com/citation-style-language/schema/raw/master/csl-citation.json"} </w:instrText>
      </w:r>
      <w:r>
        <w:rPr>
          <w:rFonts w:cs="Times New Roman"/>
          <w:szCs w:val="24"/>
        </w:rPr>
        <w:fldChar w:fldCharType="separate"/>
      </w:r>
      <w:r w:rsidRPr="006134AA">
        <w:rPr>
          <w:rFonts w:cs="Times New Roman"/>
          <w:szCs w:val="24"/>
          <w:vertAlign w:val="superscript"/>
        </w:rPr>
        <w:t>65</w:t>
      </w:r>
      <w:r>
        <w:rPr>
          <w:rFonts w:cs="Times New Roman"/>
          <w:szCs w:val="24"/>
        </w:rPr>
        <w:fldChar w:fldCharType="end"/>
      </w:r>
      <w:r>
        <w:rPr>
          <w:rFonts w:cs="Times New Roman"/>
          <w:szCs w:val="24"/>
        </w:rPr>
        <w:t xml:space="preserve"> NPDR is further divided into mild, moderate and severe </w:t>
      </w:r>
      <w:r w:rsidRPr="003E5113">
        <w:rPr>
          <w:rFonts w:cs="Times New Roman"/>
          <w:szCs w:val="24"/>
        </w:rPr>
        <w:t>stages</w:t>
      </w:r>
      <w:r>
        <w:rPr>
          <w:rFonts w:cs="Times New Roman"/>
          <w:szCs w:val="24"/>
        </w:rPr>
        <w:t>, representative images of the retina at each stage are in</w:t>
      </w:r>
      <w:r w:rsidR="00B61AB6">
        <w:rPr>
          <w:rFonts w:cs="Times New Roman"/>
          <w:b/>
          <w:bCs/>
          <w:szCs w:val="24"/>
        </w:rPr>
        <w:t xml:space="preserve"> </w:t>
      </w:r>
      <w:r w:rsidR="00B61AB6" w:rsidRPr="00B61AB6">
        <w:rPr>
          <w:rFonts w:cs="Times New Roman"/>
          <w:b/>
          <w:bCs/>
          <w:szCs w:val="24"/>
        </w:rPr>
        <w:fldChar w:fldCharType="begin"/>
      </w:r>
      <w:r w:rsidR="00B61AB6" w:rsidRPr="00B61AB6">
        <w:rPr>
          <w:rFonts w:cs="Times New Roman"/>
          <w:b/>
          <w:bCs/>
          <w:szCs w:val="24"/>
        </w:rPr>
        <w:instrText xml:space="preserve"> REF _Ref100742880 \h  \* MERGEFORMAT </w:instrText>
      </w:r>
      <w:r w:rsidR="00B61AB6" w:rsidRPr="00B61AB6">
        <w:rPr>
          <w:rFonts w:cs="Times New Roman"/>
          <w:b/>
          <w:bCs/>
          <w:szCs w:val="24"/>
        </w:rPr>
      </w:r>
      <w:r w:rsidR="00B61AB6" w:rsidRPr="00B61AB6">
        <w:rPr>
          <w:rFonts w:cs="Times New Roman"/>
          <w:b/>
          <w:bCs/>
          <w:szCs w:val="24"/>
        </w:rPr>
        <w:fldChar w:fldCharType="separate"/>
      </w:r>
      <w:r w:rsidR="00AA5AAC" w:rsidRPr="00AA5AAC">
        <w:rPr>
          <w:b/>
          <w:bCs/>
        </w:rPr>
        <w:t>Figure 1.8</w:t>
      </w:r>
      <w:r w:rsidR="00B61AB6" w:rsidRPr="00B61AB6">
        <w:rPr>
          <w:rFonts w:cs="Times New Roman"/>
          <w:b/>
          <w:bCs/>
          <w:szCs w:val="24"/>
        </w:rPr>
        <w:fldChar w:fldCharType="end"/>
      </w:r>
      <w:r w:rsidRPr="003E5113">
        <w:rPr>
          <w:rFonts w:cs="Times New Roman"/>
          <w:szCs w:val="24"/>
        </w:rPr>
        <w:t>.</w:t>
      </w:r>
      <w:r w:rsidRPr="003E5113">
        <w:rPr>
          <w:rFonts w:cs="Times New Roman"/>
          <w:szCs w:val="24"/>
        </w:rPr>
        <w:fldChar w:fldCharType="begin"/>
      </w:r>
      <w:r>
        <w:rPr>
          <w:rFonts w:cs="Times New Roman"/>
          <w:szCs w:val="24"/>
        </w:rPr>
        <w:instrText xml:space="preserve"> ADDIN ZOTERO_ITEM CSL_CITATION {"citationID":"ZlZhAoig","properties":{"formattedCitation":"\\super 66\\nosupersub{}","plainCitation":"66","noteIndex":0},"citationItems":[{"id":98,"uris":["http://zotero.org/users/6503767/items/H7SPDCXE"],"itemData":{"id":98,"type":"article-journal","abstract":"Diabetic retinopathy is the most frequent cause of new cases of blindness among adults aged 20–74 years. During the first two decades of disease, nearly all patients with type 1 diabetes and &gt;60% of patients with type 2 diabetes have retinopathy. In the Wisconsin Epidemiologic Study of Diabetic Retinopathy (WESDR), 3.6% of younger-onset patients (type 1 diabetes) and 1.6% of older-onset patients (type 2 diabetes) were legally blind. In the younger-onset group, 86% of blindness was attributable to diabetic retinopathy. In the older-onset group, in which other eye diseases were common, one-third of the cases of legal blindness were due to diabetic retinopathy.\n\nDiabetic retinopathy progresses from mild nonproliferative abnormalities, characterized by increased vascular permeability, to moderate and severe nonproliferative diabetic retinopathy (NPDR), characterized by vascular closure, to proliferative diabetic retinopathy (PDR), characterized by the growth of new blood vessels on the retina and posterior surface of the vitreous. Macular edema, characterized by retinal thickening from leaky blood vessels, can develop at all stages of retinopathy. Pregnancy, puberty, blood glucose control, hypertension, and cataract surgery can accelerate these changes.\n\nVision-threatening retinopathy is rare in type 1 diabetic patients in the first 3–5 years of diabetes or before puberty. During the next two decades, nearly all type 1 diabetic patients develop retinopathy. Up to 21% of patients with type 2 diabetes have retinopathy at the time of first diagnosis of diabetes, and most develop some degree of retinopathy over time. Vision loss due to diabetic retinopathy results from several mechanisms. Central vision may be impaired by macular edema or capillary nonperfusion. New blood vessels of PDR and contraction of the accompanying fibrous tissue can distort the retina and lead to tractional retinal detachment, producing severe and often irreversible vision loss. In addition, the new blood vessels may bleed, adding the further …","container-title":"Diabetes Care","DOI":"10.2337/diacare.27.2007.S84","ISSN":"0149-5992, 1935-5548","issue":"suppl 1","language":"en","note":"publisher: American Diabetes Association\nsection: Position Statements\nPMID: 14693935","page":"s84-s87","source":"care.diabetesjournals.org","title":"Retinopathy in Diabetes","volume":"27","author":[{"family":"Fong","given":"Donald S."},{"family":"Aiello","given":"Lloyd"},{"family":"Gardner","given":"Thomas W."},{"family":"King","given":"George L."},{"family":"Blankenship","given":"George"},{"family":"Cavallerano","given":"Jerry D."},{"family":"Ferris","given":"Fredrick L."},{"family":"Klein","given":"Ronald"}],"issued":{"date-parts":[["2004",1,1]]}}}],"schema":"https://github.com/citation-style-language/schema/raw/master/csl-citation.json"} </w:instrText>
      </w:r>
      <w:r w:rsidRPr="003E5113">
        <w:rPr>
          <w:rFonts w:cs="Times New Roman"/>
          <w:szCs w:val="24"/>
        </w:rPr>
        <w:fldChar w:fldCharType="separate"/>
      </w:r>
      <w:r w:rsidRPr="006134AA">
        <w:rPr>
          <w:rFonts w:cs="Times New Roman"/>
          <w:szCs w:val="24"/>
          <w:vertAlign w:val="superscript"/>
        </w:rPr>
        <w:t>66</w:t>
      </w:r>
      <w:r w:rsidRPr="003E5113">
        <w:rPr>
          <w:rFonts w:cs="Times New Roman"/>
          <w:szCs w:val="24"/>
        </w:rPr>
        <w:fldChar w:fldCharType="end"/>
      </w:r>
      <w:r>
        <w:rPr>
          <w:rFonts w:cs="Times New Roman"/>
          <w:szCs w:val="24"/>
        </w:rPr>
        <w:t xml:space="preserve"> </w:t>
      </w:r>
    </w:p>
    <w:p w14:paraId="07E89C42" w14:textId="77198D9E" w:rsidR="00F66763" w:rsidRDefault="00F66763" w:rsidP="0042307F">
      <w:pPr>
        <w:rPr>
          <w:rFonts w:cs="Times New Roman"/>
          <w:szCs w:val="24"/>
        </w:rPr>
      </w:pPr>
      <w:r w:rsidRPr="003E5113">
        <w:rPr>
          <w:rFonts w:cs="Times New Roman"/>
          <w:b/>
          <w:bCs/>
          <w:noProof/>
          <w:szCs w:val="24"/>
        </w:rPr>
        <mc:AlternateContent>
          <mc:Choice Requires="wps">
            <w:drawing>
              <wp:inline distT="0" distB="0" distL="0" distR="0" wp14:anchorId="156FF6CF" wp14:editId="4490DEBA">
                <wp:extent cx="5943600" cy="2599690"/>
                <wp:effectExtent l="0" t="0" r="19050" b="10160"/>
                <wp:docPr id="35" name="Text Box 2" descr="Stages of Diabetic Retinopathy through retinal im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99690"/>
                        </a:xfrm>
                        <a:prstGeom prst="rect">
                          <a:avLst/>
                        </a:prstGeom>
                        <a:solidFill>
                          <a:srgbClr val="FFFFFF"/>
                        </a:solidFill>
                        <a:ln w="9525">
                          <a:solidFill>
                            <a:srgbClr val="000000"/>
                          </a:solidFill>
                          <a:miter lim="800000"/>
                          <a:headEnd/>
                          <a:tailEnd/>
                        </a:ln>
                      </wps:spPr>
                      <wps:txbx>
                        <w:txbxContent>
                          <w:p w14:paraId="482A5F1F" w14:textId="77777777" w:rsidR="00F66763" w:rsidRDefault="00F66763" w:rsidP="00F66763">
                            <w:pPr>
                              <w:pStyle w:val="NoSpacing"/>
                              <w:keepNext/>
                              <w:spacing w:after="240"/>
                            </w:pPr>
                            <w:r>
                              <w:rPr>
                                <w:noProof/>
                              </w:rPr>
                              <w:drawing>
                                <wp:inline distT="0" distB="0" distL="0" distR="0" wp14:anchorId="5E7930EA" wp14:editId="6DC00EED">
                                  <wp:extent cx="5803155" cy="2142490"/>
                                  <wp:effectExtent l="0" t="0" r="7620" b="0"/>
                                  <wp:docPr id="48" name="Picture 48" descr="Stages of Diabetic Retinopathy through retina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tages of Diabetic Retinopathy through retinal images."/>
                                          <pic:cNvPicPr/>
                                        </pic:nvPicPr>
                                        <pic:blipFill rotWithShape="1">
                                          <a:blip r:embed="rId91">
                                            <a:extLst>
                                              <a:ext uri="{28A0092B-C50C-407E-A947-70E740481C1C}">
                                                <a14:useLocalDpi xmlns:a14="http://schemas.microsoft.com/office/drawing/2010/main" val="0"/>
                                              </a:ext>
                                            </a:extLst>
                                          </a:blip>
                                          <a:srcRect l="1617"/>
                                          <a:stretch/>
                                        </pic:blipFill>
                                        <pic:spPr bwMode="auto">
                                          <a:xfrm>
                                            <a:off x="0" y="0"/>
                                            <a:ext cx="5811912" cy="2145723"/>
                                          </a:xfrm>
                                          <a:prstGeom prst="rect">
                                            <a:avLst/>
                                          </a:prstGeom>
                                          <a:ln>
                                            <a:noFill/>
                                          </a:ln>
                                          <a:extLst>
                                            <a:ext uri="{53640926-AAD7-44D8-BBD7-CCE9431645EC}">
                                              <a14:shadowObscured xmlns:a14="http://schemas.microsoft.com/office/drawing/2010/main"/>
                                            </a:ext>
                                          </a:extLst>
                                        </pic:spPr>
                                      </pic:pic>
                                    </a:graphicData>
                                  </a:graphic>
                                </wp:inline>
                              </w:drawing>
                            </w:r>
                          </w:p>
                          <w:p w14:paraId="1C9014C3" w14:textId="23EA3A1E" w:rsidR="00F66763" w:rsidRDefault="00F66763" w:rsidP="00DF51F5">
                            <w:pPr>
                              <w:pStyle w:val="Caption"/>
                            </w:pPr>
                            <w:bookmarkStart w:id="66" w:name="_Ref100742880"/>
                            <w:bookmarkStart w:id="67" w:name="_Toc100243236"/>
                            <w:bookmarkStart w:id="68" w:name="_Toc100748289"/>
                            <w:r>
                              <w:t>Figure 1.</w:t>
                            </w:r>
                            <w:r w:rsidR="002C1A5C">
                              <w:fldChar w:fldCharType="begin"/>
                            </w:r>
                            <w:r w:rsidR="002C1A5C">
                              <w:instrText xml:space="preserve"> SEQ Figure \* ARABIC </w:instrText>
                            </w:r>
                            <w:r w:rsidR="002C1A5C">
                              <w:fldChar w:fldCharType="separate"/>
                            </w:r>
                            <w:r w:rsidR="00AA5AAC">
                              <w:rPr>
                                <w:noProof/>
                              </w:rPr>
                              <w:t>8</w:t>
                            </w:r>
                            <w:r w:rsidR="002C1A5C">
                              <w:rPr>
                                <w:noProof/>
                              </w:rPr>
                              <w:fldChar w:fldCharType="end"/>
                            </w:r>
                            <w:bookmarkEnd w:id="66"/>
                            <w:r>
                              <w:t>. Stages of Diabetic Retinopathy through retinal images.</w:t>
                            </w:r>
                            <w:bookmarkEnd w:id="67"/>
                            <w:bookmarkEnd w:id="68"/>
                          </w:p>
                        </w:txbxContent>
                      </wps:txbx>
                      <wps:bodyPr rot="0" vert="horz" wrap="square" lIns="91440" tIns="45720" rIns="91440" bIns="45720" anchor="t" anchorCtr="0">
                        <a:noAutofit/>
                      </wps:bodyPr>
                    </wps:wsp>
                  </a:graphicData>
                </a:graphic>
              </wp:inline>
            </w:drawing>
          </mc:Choice>
          <mc:Fallback>
            <w:pict>
              <v:shape w14:anchorId="156FF6CF" id="_x0000_s1036" type="#_x0000_t202" alt="Stages of Diabetic Retinopathy through retinal images." style="width:468pt;height:20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">
                <v:textbox>
                  <w:txbxContent>
                    <w:p w14:paraId="482A5F1F" w14:textId="77777777" w:rsidR="00F66763" w:rsidRDefault="00F66763" w:rsidP="00F66763">
                      <w:pPr>
                        <w:pStyle w:val="NoSpacing"/>
                        <w:keepNext/>
                        <w:spacing w:after="240"/>
                      </w:pPr>
                      <w:r>
                        <w:rPr>
                          <w:noProof/>
                        </w:rPr>
                        <w:drawing>
                          <wp:inline distT="0" distB="0" distL="0" distR="0" wp14:anchorId="5E7930EA" wp14:editId="6DC00EED">
                            <wp:extent cx="5803155" cy="2142490"/>
                            <wp:effectExtent l="0" t="0" r="7620" b="0"/>
                            <wp:docPr id="48" name="Picture 48" descr="Stages of Diabetic Retinopathy through retinal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tages of Diabetic Retinopathy through retinal images."/>
                                    <pic:cNvPicPr/>
                                  </pic:nvPicPr>
                                  <pic:blipFill rotWithShape="1">
                                    <a:blip r:embed="rId91">
                                      <a:extLst>
                                        <a:ext uri="{28A0092B-C50C-407E-A947-70E740481C1C}">
                                          <a14:useLocalDpi xmlns:a14="http://schemas.microsoft.com/office/drawing/2010/main" val="0"/>
                                        </a:ext>
                                      </a:extLst>
                                    </a:blip>
                                    <a:srcRect l="1617"/>
                                    <a:stretch/>
                                  </pic:blipFill>
                                  <pic:spPr bwMode="auto">
                                    <a:xfrm>
                                      <a:off x="0" y="0"/>
                                      <a:ext cx="5811912" cy="2145723"/>
                                    </a:xfrm>
                                    <a:prstGeom prst="rect">
                                      <a:avLst/>
                                    </a:prstGeom>
                                    <a:ln>
                                      <a:noFill/>
                                    </a:ln>
                                    <a:extLst>
                                      <a:ext uri="{53640926-AAD7-44D8-BBD7-CCE9431645EC}">
                                        <a14:shadowObscured xmlns:a14="http://schemas.microsoft.com/office/drawing/2010/main"/>
                                      </a:ext>
                                    </a:extLst>
                                  </pic:spPr>
                                </pic:pic>
                              </a:graphicData>
                            </a:graphic>
                          </wp:inline>
                        </w:drawing>
                      </w:r>
                    </w:p>
                    <w:p w14:paraId="1C9014C3" w14:textId="23EA3A1E" w:rsidR="00F66763" w:rsidRDefault="00F66763" w:rsidP="00DF51F5">
                      <w:pPr>
                        <w:pStyle w:val="Caption"/>
                      </w:pPr>
                      <w:bookmarkStart w:id="69" w:name="_Ref100742880"/>
                      <w:bookmarkStart w:id="70" w:name="_Toc100243236"/>
                      <w:bookmarkStart w:id="71" w:name="_Toc100748289"/>
                      <w:r>
                        <w:t>Figure 1.</w:t>
                      </w:r>
                      <w:r w:rsidR="002C1A5C">
                        <w:fldChar w:fldCharType="begin"/>
                      </w:r>
                      <w:r w:rsidR="002C1A5C">
                        <w:instrText xml:space="preserve"> SEQ Figure \* ARABIC </w:instrText>
                      </w:r>
                      <w:r w:rsidR="002C1A5C">
                        <w:fldChar w:fldCharType="separate"/>
                      </w:r>
                      <w:r w:rsidR="00AA5AAC">
                        <w:rPr>
                          <w:noProof/>
                        </w:rPr>
                        <w:t>8</w:t>
                      </w:r>
                      <w:r w:rsidR="002C1A5C">
                        <w:rPr>
                          <w:noProof/>
                        </w:rPr>
                        <w:fldChar w:fldCharType="end"/>
                      </w:r>
                      <w:bookmarkEnd w:id="69"/>
                      <w:r>
                        <w:t>. Stages of Diabetic Retinopathy through retinal images.</w:t>
                      </w:r>
                      <w:bookmarkEnd w:id="70"/>
                      <w:bookmarkEnd w:id="71"/>
                    </w:p>
                  </w:txbxContent>
                </v:textbox>
                <w10:anchorlock/>
              </v:shape>
            </w:pict>
          </mc:Fallback>
        </mc:AlternateContent>
      </w:r>
    </w:p>
    <w:p w14:paraId="7DD0F06E" w14:textId="79341762" w:rsidR="000F7094" w:rsidRPr="003E5113" w:rsidRDefault="000F7094" w:rsidP="0042307F">
      <w:pPr>
        <w:ind w:firstLine="720"/>
        <w:rPr>
          <w:rFonts w:cs="Times New Roman"/>
          <w:szCs w:val="24"/>
        </w:rPr>
      </w:pPr>
      <w:r>
        <w:rPr>
          <w:rFonts w:cs="Times New Roman"/>
          <w:szCs w:val="24"/>
        </w:rPr>
        <w:t>With severe, sight-threatening DR, there are few commonly used intervention treatments currently available. The first is laser photocoagulation, which applies light energy to the retina with the aim of stopping the growth and development of new blood vessels.</w:t>
      </w:r>
      <w:r>
        <w:rPr>
          <w:rFonts w:cs="Times New Roman"/>
          <w:szCs w:val="24"/>
        </w:rPr>
        <w:fldChar w:fldCharType="begin"/>
      </w:r>
      <w:r>
        <w:rPr>
          <w:rFonts w:cs="Times New Roman"/>
          <w:szCs w:val="24"/>
        </w:rPr>
        <w:instrText xml:space="preserve"> ADDIN ZOTERO_ITEM CSL_CITATION {"citationID":"8zi6C1gg","properties":{"formattedCitation":"\\super 67\\nosupersub{}","plainCitation":"67","noteIndex":0},"citationItems":[{"id":644,"uris":["http://zotero.org/users/6503767/items/7PVMI2JP"],"itemData":{"id":644,"type":"article-journal","abstract":"BACKGROUND: Diabetic retinopathy is a complication of diabetes in which high blood sugar levels damage the blood vessels in the retina. Sometimes new blood vessels grow in the retina, and these can have harmful effects; this is known as proliferative diabetic retinopathy. Laser photocoagulation is an intervention that is commonly used to treat diabetic retinopathy, in which light energy is applied to the retina with the aim of stopping the growth and development of new blood vessels, and thereby preserving vision.\nOBJECTIVES: To assess the effects of laser photocoagulation for diabetic retinopathy compared to no treatment or deferred treatment.\nSEARCH METHODS: We searched CENTRAL (which contains the Cochrane Eyes and Vision Group Trials Register) (2014, Issue 5), Ovid MEDLINE, Ovid MEDLINE In-Process and Other Non-Indexed Citations, Ovid MEDLINE Daily, Ovid OLDMEDLINE (January 1946 to June 2014), EMBASE (January 1980 to June 2014), the metaRegister of Controlled Trials (mRCT) (www.controlled-trials.com), ClinicalTrials.gov (www.clinicaltrials.gov) and the World Health Organization (WHO) International Clinical Trials Registry Platform (ICTRP) (www.who.int/ictrp/search/en). We did not use any date or language restrictions in the electronic searches for trials. We last searched the electronic databases on 3 June 2014.\nSELECTION CRITERIA: We included randomised controlled trials (RCTs) where people (or eyes) with diabetic retinopathy were randomly allocated to laser photocoagulation or no treatment or deferred treatment. We excluded trials of lasers that are no longer in routine use. Our primary outcome was the proportion of people who lost 15 or more letters (3 lines) of best-corrected visual acuity (BCVA) as measured on a logMAR chart at 12 months. We also looked at longer-term follow-up of the primary outcome at two to five years. Secondary outcomes included mean best corrected distance visual acuity, severe visual loss, mean near visual acuity, progression of diabetic retinopathy, quality of life, pain, loss of driving licence, vitreous haemorrhage and retinal detachment.\nDATA COLLECTION AND ANALYSIS: We used standard methods as expected by the Cochrane Collaboration. Two review authors selected studies and extracted data.\nMAIN RESULTS: We identified a large number of trials of laser photocoagulation of diabetic retinopathy (n = 83) but only five of these studies were eligible for inclusion in the review, i.e. they compared laser photocoagulation with currently available lasers to no (or deferred) treatment. Three studies were conducted in the USA, one study in the UK and one study in Japan. A total of 4786 people (9503 eyes) were included in these studies. The majority of participants in four of these trials were people with proliferative diabetic retinopathy; one trial recruited mainly people with non-proliferative retinopathy. Four of the studies evaluated panretinal photocoagulation with argon laser and one study investigated selective photocoagulation of non-perfusion areas. Three studies compared laser treatment to no treatment and two studies compared laser treatment to deferred laser treatment. All studies were at risk of performance bias because the treatment and control were different and no study attempted to produce a sham treatment. Three studies were considered to be at risk of attrition bias.At 12 months there was little difference between eyes that received laser photocoagulation and those allocated to no treatment (or deferred treatment), in terms of loss of 15 or more letters of visual acuity (risk ratio (RR) 0.99, 95% confidence interval (CI) 0.89 to 1.11; 8926 eyes; 2 RCTs, low quality evidence). Longer term follow-up did not show a consistent pattern, but one study found a 20% reduction in risk of loss of 15 or more letters of visual acuity at five years with laser treatment. Treatment with laser reduced the risk of severe visual loss by over 50% at 12 months (RR 0.46, 95% CI 0.24 to 0.86; 9276 eyes; 4 RCTs, moderate quality evidence). There was a beneficial effect on progression of diabetic retinopathy with treated eyes experiencing a 50% reduction in risk of progression of diabetic retinopathy (RR 0.49, 95% CI 0.37 to 0.64; 8331 eyes; 4 RCTs, low quality evidence) and a similar reduction in risk of vitreous haemorrhage (RR 0.56, 95% CI 0.37 to 0.85; 224 eyes; 2 RCTs, low quality evidence).None of the studies reported near visual acuity or patient-relevant outcomes such as quality of life, pain, loss of driving licence or adverse effects such as retinal detachment.We did not plan any subgroup analyses, but there was a difference in baseline risk in participants with non-proliferative retinopathy compared to those with proliferative retinopathy. With the small number of included studies we could not do a formal subgroup analysis comparing effect in proliferative and non-proliferative retinopathy.\nAUTHORS' CONCLUSIONS: This review provides evidence that laser photocoagulation is beneficial in treating proliferative diabetic retinopathy. We judged the evidence to be moderate or low, depending on the outcome. This is partly related to reporting of trials conducted many years ago, after which panretinal photocoagulation has become the mainstay of treatment of proliferative diabetic retinopathy.Future Cochrane Reviews on variations in the laser treatment protocol are planned. Future research on laser photocoagulation should investigate the combination of laser photocoagulation with newer treatments such as anti-vascular endothelial growth factors (anti-VEGFs).","container-title":"The Cochrane Database of Systematic Reviews","DOI":"10.1002/14651858.CD011234.pub2","ISSN":"1469-493X","issue":"11","journalAbbreviation":"Cochrane Database Syst Rev","language":"eng","note":"PMID: 25420029\nPMCID: PMC6823265","page":"CD011234","source":"PubMed","title":"Laser photocoagulation for proliferative diabetic retinopathy","author":[{"family":"Evans","given":"Jennifer R."},{"family":"Michelessi","given":"Manuele"},{"family":"Virgili","given":"Gianni"}],"issued":{"date-parts":[["2014",11,24]]}}}],"schema":"https://github.com/citation-style-language/schema/raw/master/csl-citation.json"} </w:instrText>
      </w:r>
      <w:r>
        <w:rPr>
          <w:rFonts w:cs="Times New Roman"/>
          <w:szCs w:val="24"/>
        </w:rPr>
        <w:fldChar w:fldCharType="separate"/>
      </w:r>
      <w:r w:rsidRPr="006134AA">
        <w:rPr>
          <w:rFonts w:cs="Times New Roman"/>
          <w:szCs w:val="24"/>
          <w:vertAlign w:val="superscript"/>
        </w:rPr>
        <w:t>67</w:t>
      </w:r>
      <w:r>
        <w:rPr>
          <w:rFonts w:cs="Times New Roman"/>
          <w:szCs w:val="24"/>
        </w:rPr>
        <w:fldChar w:fldCharType="end"/>
      </w:r>
      <w:r>
        <w:rPr>
          <w:rFonts w:cs="Times New Roman"/>
          <w:szCs w:val="24"/>
        </w:rPr>
        <w:t xml:space="preserve"> The second is vitrectomy, a surgical procedure to remove some or all of the vitreous humor, the eye’s clear </w:t>
      </w:r>
      <w:r>
        <w:rPr>
          <w:rFonts w:cs="Times New Roman"/>
          <w:szCs w:val="24"/>
        </w:rPr>
        <w:lastRenderedPageBreak/>
        <w:t>internal jelly.</w:t>
      </w:r>
      <w:r>
        <w:rPr>
          <w:rFonts w:cs="Times New Roman"/>
          <w:szCs w:val="24"/>
        </w:rPr>
        <w:fldChar w:fldCharType="begin"/>
      </w:r>
      <w:r>
        <w:rPr>
          <w:rFonts w:cs="Times New Roman"/>
          <w:szCs w:val="24"/>
        </w:rPr>
        <w:instrText xml:space="preserve"> ADDIN ZOTERO_ITEM CSL_CITATION {"citationID":"Gp5qHL8M","properties":{"formattedCitation":"\\super 68\\nosupersub{}","plainCitation":"68","noteIndex":0},"citationItems":[{"id":649,"uris":["http://zotero.org/users/6503767/items/6WXV47TN"],"itemData":{"id":649,"type":"article-journal","abstract":"Purpose: To assess the anatomical and functional results after vitreoretinal surgery, in a large number of patients with complications due to diabetic retinopathy. Also, to compare the 23G vs. the 20G surgical procedures in these cases, regarding efficacy, facility, safety, and postoperative recovery., Methods: Interventional, retrospective, comparative study of cases operated for different complications of diabetic retinopathy between January 2000 and December 2014. All cases were operated under a local anesthesia by the same surgeon, by using standard 20G Vitrectomy (between January 2000 and October 2011) and ambulatory 23G vitrectomy (since November 2011). Cases had a complete ophthalmic evaluation and were followed- up for at least 12 months., Results: 1.267 eyes of 1.129 patients were operated between January 2000 and December 2014. 23G vitrectomy was performed in 578 eyes. The mean age in the study group was of 57.49 ± 14.17 years (ranging from 16 to 78 years old), with a male/ female ratio of 0.916. The surgery indications were represented by media opacities (609 cases – 48.06%), vitreoretinal tractions and detachments (583 cases – 46.01%), persistent macular edema (38 cases – 3%) and persistent neovascularization with rubeosis (37 cases – 2.93%). A final anatomical success was obtained in 1174 cases (92.65%). Preoperative best corrected visual acuity (BCVA) (less or equal to counting fingers in 936 eyes - 73.87%), improved postoperatively in 923 eyes (72.84%), stabilized in 201 eyes (15.86%), and decreased in 143 eyes (11.28%). At a final examination, 932 eyes (73.55%) had a BCVA equal or better to 0.1. Cases operated with the 23G vitrectomy had a shorter surgery and a quicker postoperative recovery. Overall, simpler cases like vitreous hemorrhage and epimacular membranes had a better anatomical and functional result as compared to long standing or macular involvement detachments. The main intra and postoperative complications, lower with the 23G vitrectomy, were represented by iatrogenic retinal breaks, recurrent hemorrhages, redetachment, and neovascular glaucoma., Conclusions: These results confirmed the efficacy and safety of vitreoretinal surgery in improving most complications of diabetic retinopathy on a large series. With modern, less invasive techniques, the chance of a better surgery and also a quicker patient recovery increased significantly.","container-title":"Romanian Journal of Ophthalmology","ISSN":"2457-4325","issue":"1","journalAbbreviation":"Rom J Ophthalmol","note":"PMID: 27220230\nPMCID: PMC5712917","page":"31-36","source":"PubMed Central","title":"Vitrectomy surgery of diabetic retinopathy complications","volume":"60","author":[{"family":"Constantin","given":"Brănişteanu Daniel"},{"family":"Andrei","given":"Bilha"},{"family":"Andreea","given":"Moraru"}],"issued":{"date-parts":[["2016"]]}}}],"schema":"https://github.com/citation-style-language/schema/raw/master/csl-citation.json"} </w:instrText>
      </w:r>
      <w:r>
        <w:rPr>
          <w:rFonts w:cs="Times New Roman"/>
          <w:szCs w:val="24"/>
        </w:rPr>
        <w:fldChar w:fldCharType="separate"/>
      </w:r>
      <w:r w:rsidRPr="00DB361B">
        <w:rPr>
          <w:rFonts w:cs="Times New Roman"/>
          <w:szCs w:val="24"/>
          <w:vertAlign w:val="superscript"/>
        </w:rPr>
        <w:t>68</w:t>
      </w:r>
      <w:r>
        <w:rPr>
          <w:rFonts w:cs="Times New Roman"/>
          <w:szCs w:val="24"/>
        </w:rPr>
        <w:fldChar w:fldCharType="end"/>
      </w:r>
      <w:r>
        <w:rPr>
          <w:rFonts w:cs="Times New Roman"/>
          <w:szCs w:val="24"/>
        </w:rPr>
        <w:t xml:space="preserve"> Finally, intravitreal injections of anti-vascular endothelial growth factor (VEGF) drugs </w:t>
      </w:r>
      <w:r w:rsidR="00DF3F7F">
        <w:rPr>
          <w:rFonts w:cs="Times New Roman"/>
          <w:szCs w:val="24"/>
        </w:rPr>
        <w:t xml:space="preserve">inhibit angiogenesis and vascular permeability, sometimes resulting in </w:t>
      </w:r>
      <w:r>
        <w:rPr>
          <w:rFonts w:cs="Times New Roman"/>
          <w:szCs w:val="24"/>
        </w:rPr>
        <w:t>reduce</w:t>
      </w:r>
      <w:r w:rsidR="00DF3F7F">
        <w:rPr>
          <w:rFonts w:cs="Times New Roman"/>
          <w:szCs w:val="24"/>
        </w:rPr>
        <w:t>d</w:t>
      </w:r>
      <w:r>
        <w:rPr>
          <w:rFonts w:cs="Times New Roman"/>
          <w:szCs w:val="24"/>
        </w:rPr>
        <w:t xml:space="preserve"> pressure build up in the eye from fluid retention to help improve vision.</w:t>
      </w:r>
      <w:r>
        <w:rPr>
          <w:rFonts w:cs="Times New Roman"/>
          <w:szCs w:val="24"/>
        </w:rPr>
        <w:fldChar w:fldCharType="begin"/>
      </w:r>
      <w:r>
        <w:rPr>
          <w:rFonts w:cs="Times New Roman"/>
          <w:szCs w:val="24"/>
        </w:rPr>
        <w:instrText xml:space="preserve"> ADDIN ZOTERO_ITEM CSL_CITATION {"citationID":"fgPhvoFG","properties":{"formattedCitation":"\\super 69\\nosupersub{}","plainCitation":"69","noteIndex":0},"citationItems":[{"id":654,"uris":["http://zotero.org/users/6503767/items/AKC6D88S"],"itemData":{"id":654,"type":"article-journal","container-title":"Cochrane Database of Systematic Reviews","DOI":"10.1002/14651858.CD007419.pub6","ISSN":"1465-1858","issue":"10","language":"en","note":"publisher: John Wiley &amp; Sons, Ltd","source":"www.cochranelibrary.com","title":"Anti‐vascular endothelial growth factor for diabetic macular oedema: a network meta‐analysis","title-short":"Anti‐vascular endothelial growth factor for diabetic macular oedema","URL":"https://www.cochranelibrary.com/cdsr/doi/10.1002/14651858.CD007419.pub6/full","author":[{"family":"Virgili","given":"Gianni"},{"family":"Parravano","given":"Mariacristina"},{"family":"Evans","given":"Jennifer R."},{"family":"Gordon","given":"Iris"},{"family":"Lucenteforte","given":"Ersilia"}],"accessed":{"date-parts":[["2022",3,4]]},"issued":{"date-parts":[["2018"]]}}}],"schema":"https://github.com/citation-style-language/schema/raw/master/csl-citation.json"} </w:instrText>
      </w:r>
      <w:r>
        <w:rPr>
          <w:rFonts w:cs="Times New Roman"/>
          <w:szCs w:val="24"/>
        </w:rPr>
        <w:fldChar w:fldCharType="separate"/>
      </w:r>
      <w:r w:rsidRPr="006B70AD">
        <w:rPr>
          <w:rFonts w:cs="Times New Roman"/>
          <w:szCs w:val="24"/>
          <w:vertAlign w:val="superscript"/>
        </w:rPr>
        <w:t>69</w:t>
      </w:r>
      <w:r>
        <w:rPr>
          <w:rFonts w:cs="Times New Roman"/>
          <w:szCs w:val="24"/>
        </w:rPr>
        <w:fldChar w:fldCharType="end"/>
      </w:r>
      <w:r>
        <w:rPr>
          <w:rFonts w:cs="Times New Roman"/>
          <w:szCs w:val="24"/>
        </w:rPr>
        <w:t xml:space="preserve"> These treatments are effective in reducing vision loss, but they only address signs and symptoms rather than providing a cure for DR.</w:t>
      </w:r>
      <w:r>
        <w:rPr>
          <w:rFonts w:cs="Times New Roman"/>
          <w:szCs w:val="24"/>
        </w:rPr>
        <w:fldChar w:fldCharType="begin"/>
      </w:r>
      <w:r>
        <w:rPr>
          <w:rFonts w:cs="Times New Roman"/>
          <w:szCs w:val="24"/>
        </w:rPr>
        <w:instrText xml:space="preserve"> ADDIN ZOTERO_ITEM CSL_CITATION {"citationID":"OAcdwplI","properties":{"formattedCitation":"\\super 70\\nosupersub{}","plainCitation":"70","noteIndex":0},"citationItems":[{"id":657,"uris":["http://zotero.org/users/6503767/items/GB6KWGUE"],"itemData":{"id":657,"type":"article-journal","abstract":"Purpose\nTo provide evidence-based recommendations for diabetic macular edema (DME) management based on updated information from publications on DME treatment modalities.\nDesign\nPerspective.\nMethods\nA literature search for “diabetic macular edema” or “diabetic maculopathy” was performed using the PubMed, Cochrane Library, and ClinicalTrials.gov databases to identify studies from January 1, 1985 to July 31, 2013. Meta-analyses, systematic reviews, and randomized controlled trials with at least 1 year of follow-up published in the past 5 years were preferred sources.\nResults\nAlthough laser photocoagulation has been the standard treatment for DME for nearly 3 decades, there is increasing evidence that superior outcomes can be achieved with anti–vascular endothelial growth factor (anti-VEGF) therapy. Data providing the most robust evidence from large phase II and phase III clinical trials for ranibizumab demonstrated visual improvement and favorable safety profile for up to 3 years. Average best-corrected visual acuity change from baseline ranged from 6.1-10.6 Early Treatment Diabetic Retinopathy Study (ETDRS) letters for ranibizumab, compared to 1.4-5.9 ETDRS letters with laser. The proportion of patients gaining ≥10 or ≥15 letters with ranibizumab was at least 2 times higher than that of patients treated with laser. Patients were also more likely to experience visual loss with laser than with ranibizumab treatment. Ranibizumab was generally well tolerated in all studies. Studies for bevacizumab, aflibercept, and pegaptanib in DME were limited but also in favor of anti-VEGF therapy over laser.\nConclusions\nAnti-VEGF therapy is superior to laser photocoagulation for treatment of moderate to severe visual impairment caused by DME.","container-title":"American Journal of Ophthalmology","DOI":"10.1016/j.ajo.2013.11.012","ISSN":"0002-9394","issue":"3","journalAbbreviation":"American Journal of Ophthalmology","language":"en","page":"505-513.e8","source":"ScienceDirect","title":"Management Paradigms for Diabetic Macular Edema","volume":"157","author":[{"family":"Mitchell","given":"Paul"},{"family":"Wong","given":"Tien Yin"}],"issued":{"date-parts":[["2014",3,1]]}}}],"schema":"https://github.com/citation-style-language/schema/raw/master/csl-citation.json"} </w:instrText>
      </w:r>
      <w:r>
        <w:rPr>
          <w:rFonts w:cs="Times New Roman"/>
          <w:szCs w:val="24"/>
        </w:rPr>
        <w:fldChar w:fldCharType="separate"/>
      </w:r>
      <w:r w:rsidRPr="000614DF">
        <w:rPr>
          <w:rFonts w:cs="Times New Roman"/>
          <w:szCs w:val="24"/>
          <w:vertAlign w:val="superscript"/>
        </w:rPr>
        <w:t>70</w:t>
      </w:r>
      <w:r>
        <w:rPr>
          <w:rFonts w:cs="Times New Roman"/>
          <w:szCs w:val="24"/>
        </w:rPr>
        <w:fldChar w:fldCharType="end"/>
      </w:r>
      <w:r>
        <w:rPr>
          <w:rFonts w:cs="Times New Roman"/>
          <w:szCs w:val="24"/>
        </w:rPr>
        <w:t xml:space="preserve"> </w:t>
      </w:r>
      <w:r w:rsidR="009E79C2">
        <w:rPr>
          <w:rFonts w:cs="Times New Roman"/>
          <w:szCs w:val="24"/>
        </w:rPr>
        <w:t xml:space="preserve">The long-term efficacy of anti-VEGF therapy has also been thoroughly questioned and evidence of a therapeutic “ceiling” for such treatments </w:t>
      </w:r>
      <w:r w:rsidR="00E52B4E">
        <w:rPr>
          <w:rFonts w:cs="Times New Roman"/>
          <w:szCs w:val="24"/>
        </w:rPr>
        <w:t>limit</w:t>
      </w:r>
      <w:r w:rsidR="009E79C2">
        <w:rPr>
          <w:rFonts w:cs="Times New Roman"/>
          <w:szCs w:val="24"/>
        </w:rPr>
        <w:t xml:space="preserve"> </w:t>
      </w:r>
      <w:r w:rsidR="00E52B4E">
        <w:rPr>
          <w:rFonts w:cs="Times New Roman"/>
          <w:szCs w:val="24"/>
        </w:rPr>
        <w:t xml:space="preserve">improvement of </w:t>
      </w:r>
      <w:r w:rsidR="009E79C2">
        <w:rPr>
          <w:rFonts w:cs="Times New Roman"/>
          <w:szCs w:val="24"/>
        </w:rPr>
        <w:t>visual acuity.</w:t>
      </w:r>
      <w:r w:rsidR="009E79C2">
        <w:rPr>
          <w:rFonts w:cs="Times New Roman"/>
          <w:szCs w:val="24"/>
        </w:rPr>
        <w:fldChar w:fldCharType="begin"/>
      </w:r>
      <w:r w:rsidR="009E79C2">
        <w:rPr>
          <w:rFonts w:cs="Times New Roman"/>
          <w:szCs w:val="24"/>
        </w:rPr>
        <w:instrText xml:space="preserve"> ADDIN ZOTERO_ITEM CSL_CITATION {"citationID":"tvCyZBl3","properties":{"formattedCitation":"\\super 71\\nosupersub{}","plainCitation":"71","noteIndex":0},"citationItems":[{"id":965,"uris":["http://zotero.org/users/6503767/items/WSCNLDLE"],"itemData":{"id":965,"type":"article-journal","abstract":"Background/Aim To assess visual acuity (VA) outcomes and antivascular endothelial growth factor (anti-VEGF) treatment intensity in diabetic macular oedema (DMO).\nMethods Retrospective analysis was performed in treatment-naïve patients with DMO from 2013 to 2018 using a database of aggregated de-identified electronic medical records (Vestrum Health).\nResults At 1 year, 28 658 patient eyes underwent a mean of 6.4 anti-VEGF injections, gaining a mean of +4.2 letters (95% confidence interval for mean gain: +4.0 to +4.5 letters, p&lt;0.001). When stratified by anti-VEGF medication and by years 2013–2018, no clinically meaningful differences in injection frequency or 1-year VA change resulted. At 1 year, 50% of eyes received ≤6 injections, while &lt;20% received 10–13 injections, representing monthly treatment. Mean letters gained at 1 year generally showed a linear relationship with mean number of anti-VEGF injections, beyond two injections. Eyes with good baseline VA (≥20/40) generally were at risk of VA loss at 1 year; those with moderately severe baseline impairment (20/70 to 20/200) who received ≥10 injections improved by a mean of +10.3 letters.\nConclusion In clinical practice, patients with DMO undergo fewer anti-VEGF injections and exhibit worse visual gains compared with patients in randomised clinical trials. Visual outcomes correlate with treatment intensity at 1 year, with ceiling effects related to baseline VA.","container-title":"British Journal of Ophthalmology","DOI":"10.1136/bjophthalmol-2020-315933","ISSN":"0007-1161, 1468-2079","issue":"2","language":"en","note":"publisher: BMJ Publishing Group Ltd\nsection: Clinical science\nPMID: 32265201","page":"216-221","source":"bjo.bmj.com","title":"Visual acuity outcomes and anti-VEGF therapy intensity in diabetic macular oedema: a real-world analysis of 28 658 patient eyes","title-short":"Visual acuity outcomes and anti-VEGF therapy intensity in diabetic macular oedema","volume":"105","author":[{"family":"Ciulla","given":"Thomas A."},{"family":"Pollack","given":"John S."},{"family":"Williams","given":"David F."}],"issued":{"date-parts":[["2021",2,1]]}}}],"schema":"https://github.com/citation-style-language/schema/raw/master/csl-citation.json"} </w:instrText>
      </w:r>
      <w:r w:rsidR="009E79C2">
        <w:rPr>
          <w:rFonts w:cs="Times New Roman"/>
          <w:szCs w:val="24"/>
        </w:rPr>
        <w:fldChar w:fldCharType="separate"/>
      </w:r>
      <w:r w:rsidR="009E79C2" w:rsidRPr="009E79C2">
        <w:rPr>
          <w:rFonts w:cs="Times New Roman"/>
          <w:szCs w:val="24"/>
          <w:vertAlign w:val="superscript"/>
        </w:rPr>
        <w:t>71</w:t>
      </w:r>
      <w:r w:rsidR="009E79C2">
        <w:rPr>
          <w:rFonts w:cs="Times New Roman"/>
          <w:szCs w:val="24"/>
        </w:rPr>
        <w:fldChar w:fldCharType="end"/>
      </w:r>
      <w:r w:rsidR="009E79C2">
        <w:rPr>
          <w:rFonts w:cs="Times New Roman"/>
          <w:szCs w:val="24"/>
        </w:rPr>
        <w:t xml:space="preserve"> </w:t>
      </w:r>
      <w:r>
        <w:rPr>
          <w:rFonts w:cs="Times New Roman"/>
          <w:szCs w:val="24"/>
        </w:rPr>
        <w:t>As such, with uncomfortable recovery times and possible surgical complications, there is an obvious and undeniable need for non-invasive DR treatments.</w:t>
      </w:r>
    </w:p>
    <w:p w14:paraId="6EBE40F7" w14:textId="531460F1" w:rsidR="000F7094" w:rsidRDefault="000F7094" w:rsidP="0042307F">
      <w:pPr>
        <w:ind w:firstLine="720"/>
        <w:rPr>
          <w:rFonts w:cs="Times New Roman"/>
          <w:szCs w:val="24"/>
        </w:rPr>
      </w:pPr>
      <w:r>
        <w:rPr>
          <w:rFonts w:cs="Times New Roman"/>
          <w:szCs w:val="24"/>
        </w:rPr>
        <w:t>One target gaining significant traction for the development of diabetes and DR chemotherapeutics is PPAR</w:t>
      </w:r>
      <w:r w:rsidRPr="003E5113">
        <w:rPr>
          <w:rFonts w:cs="Times New Roman"/>
          <w:szCs w:val="24"/>
        </w:rPr>
        <w:t>α</w:t>
      </w:r>
      <w:r>
        <w:rPr>
          <w:rFonts w:cs="Times New Roman"/>
          <w:szCs w:val="24"/>
        </w:rPr>
        <w:t>. The peroxisome</w:t>
      </w:r>
      <w:r w:rsidRPr="003E5113">
        <w:rPr>
          <w:rFonts w:cs="Times New Roman"/>
          <w:szCs w:val="24"/>
        </w:rPr>
        <w:t xml:space="preserve"> proliferator-activated receptor</w:t>
      </w:r>
      <w:r>
        <w:rPr>
          <w:rFonts w:cs="Times New Roman"/>
          <w:szCs w:val="24"/>
        </w:rPr>
        <w:t>s</w:t>
      </w:r>
      <w:r w:rsidRPr="003E5113">
        <w:rPr>
          <w:rFonts w:cs="Times New Roman"/>
          <w:szCs w:val="24"/>
        </w:rPr>
        <w:t xml:space="preserve"> (PPAR</w:t>
      </w:r>
      <w:r>
        <w:rPr>
          <w:rFonts w:cs="Times New Roman"/>
          <w:szCs w:val="24"/>
        </w:rPr>
        <w:t>s) are transcription factors that that play essential roles in the regulation of glucose, lipid, and cholesterol metabolism.</w:t>
      </w:r>
      <w:r>
        <w:rPr>
          <w:rFonts w:cs="Times New Roman"/>
          <w:szCs w:val="24"/>
        </w:rPr>
        <w:fldChar w:fldCharType="begin"/>
      </w:r>
      <w:r w:rsidR="009E79C2">
        <w:rPr>
          <w:rFonts w:cs="Times New Roman"/>
          <w:szCs w:val="24"/>
        </w:rPr>
        <w:instrText xml:space="preserve"> ADDIN ZOTERO_ITEM CSL_CITATION {"citationID":"inT7Dg9S","properties":{"formattedCitation":"\\super 72\\nosupersub{}","plainCitation":"72","noteIndex":0},"citationItems":[{"id":621,"uris":["http://zotero.org/users/6503767/items/QGSWSENJ"],"itemData":{"id":621,"type":"article-journal","abstract":"Fatty acid oxidation is an important energy source for the oocyte; however, little is known about how this metabolic pathway is regulated in cumulus-oocyte complexes. Analysis of genes involved in fatty acid oxidation showed that many are regulated by the luteinizing hormone surge during in vivo maturation, including acyl-CoA synthetases, carnitine transporters, acyl-CoA dehydrogenases and acetyl-CoA transferase, but that many are dysregulated when cumulus-oocyte complexes are matured under in vitro maturation conditions using follicle stimulating hormone and epidermal growth factor. Fatty acid oxidation, measured as production of 3H2O from [3H]palmitic acid, occurs in mouse cumulus-oocyte complexes in response to the luteinizing hormone surge but is significantly reduced in cumulus-oocyte complexes matured in vitro. Thus we sought to determine whether fatty acid oxidation in cumulus-oocyte complexes could be modulated during in vitro maturation by lipid metabolism regulators, namely peroxisome proliferator activated receptor (PPAR) agonists bezafibrate and rosiglitazone. Bezafibrate showed no effect with increasing dose, while rosiglitazone dose dependently inhibited fatty acid oxidation in cumulus-oocyte complexes during in vitro maturation. To determine the impact of rosiglitazone on oocyte developmental competence, cumulus-oocyte complexes were treated with rosiglitazone during in vitro maturation and gene expression, oocyte mitochondrial activity and embryo development following in vitro fertilization were assessed. Rosiglitazone restored Acsl1, Cpt1b and Acaa2 levels in cumulus-oocyte complexes and increased oocyte mitochondrial membrane potential yet resulted in significantly fewer embryos reaching the morula and hatching blastocyst stages. Thus fatty acid oxidation is increased in cumulus-oocyte complexes matured in vivo and deficient during in vitro maturation, a known model of poor oocyte quality. That rosiglitazone further decreased fatty acid oxidation during in vitro maturation and resulted in poor embryo development points to the developmental importance of fatty acid oxidation and the need for it to be optimized during in vitro maturation to improve this reproductive technology.","container-title":"PLOS ONE","DOI":"10.1371/journal.pone.0087327","ISSN":"1932-6203","issue":"2","journalAbbreviation":"PLOS ONE","language":"en","note":"publisher: Public Library of Science","page":"e87327","source":"PLoS Journals","title":"Regulation of Fatty Acid Oxidation in Mouse Cumulus-Oocyte Complexes during Maturation and Modulation by PPAR Agonists","volume":"9","author":[{"family":"Dunning","given":"Kylie R."},{"family":"Anastasi","given":"Marie R."},{"family":"Zhang","given":"Voueleng J."},{"family":"Russell","given":"Darryl L."},{"family":"Robker","given":"Rebecca L."}],"issued":{"date-parts":[["2014",2,5]]}}}],"schema":"https://github.com/citation-style-language/schema/raw/master/csl-citation.json"} </w:instrText>
      </w:r>
      <w:r>
        <w:rPr>
          <w:rFonts w:cs="Times New Roman"/>
          <w:szCs w:val="24"/>
        </w:rPr>
        <w:fldChar w:fldCharType="separate"/>
      </w:r>
      <w:r w:rsidR="009E79C2" w:rsidRPr="009E79C2">
        <w:rPr>
          <w:rFonts w:cs="Times New Roman"/>
          <w:szCs w:val="24"/>
          <w:vertAlign w:val="superscript"/>
        </w:rPr>
        <w:t>72</w:t>
      </w:r>
      <w:r>
        <w:rPr>
          <w:rFonts w:cs="Times New Roman"/>
          <w:szCs w:val="24"/>
        </w:rPr>
        <w:fldChar w:fldCharType="end"/>
      </w:r>
      <w:r>
        <w:rPr>
          <w:rFonts w:cs="Times New Roman"/>
          <w:szCs w:val="24"/>
        </w:rPr>
        <w:t xml:space="preserve"> Notably, they were originally named PPARs because of their ability to induce peroxisome proliferation in rodents, but this function is not believed to occur in humans.</w:t>
      </w:r>
      <w:r>
        <w:rPr>
          <w:rFonts w:cs="Times New Roman"/>
          <w:szCs w:val="24"/>
        </w:rPr>
        <w:fldChar w:fldCharType="begin"/>
      </w:r>
      <w:r w:rsidR="009E79C2">
        <w:rPr>
          <w:rFonts w:cs="Times New Roman"/>
          <w:szCs w:val="24"/>
        </w:rPr>
        <w:instrText xml:space="preserve"> ADDIN ZOTERO_ITEM CSL_CITATION {"citationID":"bQwG6xrd","properties":{"formattedCitation":"\\super 73\\nosupersub{}","plainCitation":"73","noteIndex":0},"citationItems":[{"id":626,"uris":["http://zotero.org/users/6503767/items/XLUWXL9E"],"itemData":{"id":626,"type":"article-journal","abstract":"A number of industrial chemicals and therapeutic agents cause liver tumors in rats and mice by activating the nuclear receptor peroxisome proliferator-activated receptor α (PPARα). The molecular and cellular events by which PPARα activators induce rodent hepatocarcinogenesis have been extensively studied elucidating a number of consistent mechanistic changes linked to the increased incidence of liver neoplasms. The weight of evidence relevant to the hypothesized mode of action (MOA) for PPARα activator-induced rodent hepatocarcinogenesis is summarized here. Chemical-specific and mechanistic data support concordance of temporal and dose–response relationships for the key events associated with many PPARα activators. The key events (KE) identified in the MOA are PPARα activation (KE1), alteration in cell growth pathways (KE2), perturbation of hepatocyte growth and survival (KE3), and selective clonal expansion of preneoplastic foci cells (KE4), which leads to the apical event—increases in hepatocellular adenomas and carcinomas (KE5). In addition, a number of concurrent molecular and cellular events have been classified as modulating factors, because they potentially alter the ability of PPARα activators to increase rodent liver cancer while not being key events themselves. These modulating factors include increases in oxidative stress and activation of NF-kB. PPARα activators are unlikely to induce liver tumors in humans due to biological differences in the response of KEs downstream of PPARα activation. This conclusion is based on minimal or no effects observed on cell growth pathways and hepatocellular proliferation in human primary hepatocytes and absence of alteration in growth pathways, hepatocyte proliferation, and tumors in the livers of species (hamsters, guinea pigs and cynomolgus monkeys) that are more appropriate human surrogates than mice and rats at overlapping dose levels. Despite this overwhelming body of evidence and almost universal acceptance of the PPARα MOA and lack of human relevance, several reviews have selectively focused on specific studies that, as discussed, contradict the consensus opinion and suggest uncertainty. In the present review, we systematically address these most germane suggested weaknesses of the PPARα MOA.","container-title":"Archives of Toxicology","DOI":"10.1007/s00204-017-2094-7","ISSN":"1432-0738","issue":"1","journalAbbreviation":"Arch Toxicol","language":"en","page":"83-119","source":"Springer Link","title":"The PPARα-dependent rodent liver tumor response is not relevant to humans: addressing misconceptions","title-short":"The PPARα-dependent rodent liver tumor response is not relevant to humans","volume":"92","author":[{"family":"Corton","given":"J. Christopher"},{"family":"Peters","given":"Jeffrey M."},{"family":"Klaunig","given":"James E."}],"issued":{"date-parts":[["2018",1,1]]}}}],"schema":"https://github.com/citation-style-language/schema/raw/master/csl-citation.json"} </w:instrText>
      </w:r>
      <w:r>
        <w:rPr>
          <w:rFonts w:cs="Times New Roman"/>
          <w:szCs w:val="24"/>
        </w:rPr>
        <w:fldChar w:fldCharType="separate"/>
      </w:r>
      <w:r w:rsidR="009E79C2" w:rsidRPr="009E79C2">
        <w:rPr>
          <w:rFonts w:cs="Times New Roman"/>
          <w:szCs w:val="24"/>
          <w:vertAlign w:val="superscript"/>
        </w:rPr>
        <w:t>73</w:t>
      </w:r>
      <w:r>
        <w:rPr>
          <w:rFonts w:cs="Times New Roman"/>
          <w:szCs w:val="24"/>
        </w:rPr>
        <w:fldChar w:fldCharType="end"/>
      </w:r>
      <w:r>
        <w:rPr>
          <w:rFonts w:cs="Times New Roman"/>
          <w:szCs w:val="24"/>
        </w:rPr>
        <w:t xml:space="preserve"> In humans, the PPAR superfamily comprises three subtypes (PPAR</w:t>
      </w:r>
      <w:r w:rsidRPr="003E5113">
        <w:rPr>
          <w:rFonts w:cs="Times New Roman"/>
          <w:szCs w:val="24"/>
        </w:rPr>
        <w:t>α</w:t>
      </w:r>
      <w:r>
        <w:rPr>
          <w:rFonts w:cs="Times New Roman"/>
          <w:szCs w:val="24"/>
        </w:rPr>
        <w:t xml:space="preserve">, </w:t>
      </w:r>
      <w:proofErr w:type="spellStart"/>
      <w:r>
        <w:rPr>
          <w:rFonts w:cs="Times New Roman"/>
          <w:szCs w:val="24"/>
        </w:rPr>
        <w:t>PPARγ</w:t>
      </w:r>
      <w:proofErr w:type="spellEnd"/>
      <w:r>
        <w:rPr>
          <w:rFonts w:cs="Times New Roman"/>
          <w:szCs w:val="24"/>
        </w:rPr>
        <w:t xml:space="preserve">, and </w:t>
      </w:r>
      <w:proofErr w:type="spellStart"/>
      <w:r>
        <w:rPr>
          <w:rFonts w:cs="Times New Roman"/>
          <w:szCs w:val="24"/>
        </w:rPr>
        <w:t>PPARδ</w:t>
      </w:r>
      <w:proofErr w:type="spellEnd"/>
      <w:r>
        <w:rPr>
          <w:rFonts w:cs="Times New Roman"/>
          <w:szCs w:val="24"/>
        </w:rPr>
        <w:t>), a group of nuclear receptor proteins that bind to fatty acids and regulate energy production, lipid metabolism, and inflammation in a ligand-dependent manner.</w:t>
      </w:r>
      <w:r>
        <w:rPr>
          <w:rFonts w:cs="Times New Roman"/>
          <w:szCs w:val="24"/>
        </w:rPr>
        <w:fldChar w:fldCharType="begin"/>
      </w:r>
      <w:r w:rsidR="009E79C2">
        <w:rPr>
          <w:rFonts w:cs="Times New Roman"/>
          <w:szCs w:val="24"/>
        </w:rPr>
        <w:instrText xml:space="preserve"> ADDIN ZOTERO_ITEM CSL_CITATION {"citationID":"ONrAHor1","properties":{"formattedCitation":"\\super 74\\nosupersub{}","plainCitation":"74","noteIndex":0},"citationItems":[{"id":619,"uris":["http://zotero.org/users/6503767/items/FVKSJCXI"],"itemData":{"id":619,"type":"article-journal","abstract":"The peroxisome proliferator-activated receptors (PPARs) are a group of nuclear receptor proteins that promote ligand-dependent transcription of target genes that regulate energy production, lipid metabolism, and inflammation. The PPAR superfamily comprises three subtypes, PPARα, PPARγ, and PPARβ/δ, with differential tissue distributions. In addition to their different roles in the regulation of energy balance and carbohydrate and lipid metabolism, an emerging function of PPARs includes normal homeostasis of intestinal tissue. PPARα activation represses NF-κB signaling, which decreases the inflammatory cytokine production by different cell types, while PPARγ ligands can inhibit activation of macrophages and the production of inflammatory cytokines, such as tumor necrosis factor-alpha (TNF-α), interleukin (IL)-6, and Il-1β. In this regard, the anti-inflammatory responses induced by PPAR activation might restore physiopathological imbalances associated with inflammatory bowel diseases (IBD). Thus, PPARs and their ligands have important therapeutic potential. This review briefly discusses the roles of PPARs in the physiopathology and therapies of the most important IBDs, ulcerative colitis (UC), and Crohn's disease (CD), as well some new experimental compounds with PPAR activity as promising drugs for IBD treatment.","container-title":"Frontiers in Pharmacology","ISSN":"1663-9812","source":"Frontiers","title":"Peroxisome Proliferator-Activated Receptors: Experimental Targeting for the Treatment of Inflammatory Bowel Diseases","title-short":"Peroxisome Proliferator-Activated Receptors","URL":"https://www.frontiersin.org/article/10.3389/fphar.2020.00730","volume":"11","author":[{"family":"Decara","given":"Juan"},{"family":"Rivera","given":"Patricia"},{"family":"López-Gambero","given":"Antonio Jesús"},{"family":"Serrano","given":"Antonia"},{"family":"Pavón","given":"Francisco Javier"},{"family":"Baixeras","given":"Elena"},{"family":"Rodríguez de Fonseca","given":"Fernando"},{"family":"Suárez","given":"Juan"}],"accessed":{"date-parts":[["2022",3,2]]},"issued":{"date-parts":[["2020"]]}}}],"schema":"https://github.com/citation-style-language/schema/raw/master/csl-citation.json"} </w:instrText>
      </w:r>
      <w:r>
        <w:rPr>
          <w:rFonts w:cs="Times New Roman"/>
          <w:szCs w:val="24"/>
        </w:rPr>
        <w:fldChar w:fldCharType="separate"/>
      </w:r>
      <w:r w:rsidR="009E79C2" w:rsidRPr="009E79C2">
        <w:rPr>
          <w:rFonts w:cs="Times New Roman"/>
          <w:szCs w:val="24"/>
          <w:vertAlign w:val="superscript"/>
        </w:rPr>
        <w:t>74</w:t>
      </w:r>
      <w:r>
        <w:rPr>
          <w:rFonts w:cs="Times New Roman"/>
          <w:szCs w:val="24"/>
        </w:rPr>
        <w:fldChar w:fldCharType="end"/>
      </w:r>
      <w:r>
        <w:rPr>
          <w:rFonts w:cs="Times New Roman"/>
          <w:szCs w:val="24"/>
        </w:rPr>
        <w:t xml:space="preserve"> While the PPARs share functional similarities and significant sequence homologies, isoform distribution varies depending on tissue location (</w:t>
      </w:r>
      <w:r w:rsidR="00BB2970" w:rsidRPr="00BB2970">
        <w:rPr>
          <w:rFonts w:cs="Times New Roman"/>
          <w:b/>
          <w:bCs/>
          <w:szCs w:val="24"/>
        </w:rPr>
        <w:fldChar w:fldCharType="begin"/>
      </w:r>
      <w:r w:rsidR="00BB2970" w:rsidRPr="00BB2970">
        <w:rPr>
          <w:rFonts w:cs="Times New Roman"/>
          <w:b/>
          <w:bCs/>
          <w:szCs w:val="24"/>
        </w:rPr>
        <w:instrText xml:space="preserve"> REF _Ref100742908 \h  \* MERGEFORMAT </w:instrText>
      </w:r>
      <w:r w:rsidR="00BB2970" w:rsidRPr="00BB2970">
        <w:rPr>
          <w:rFonts w:cs="Times New Roman"/>
          <w:b/>
          <w:bCs/>
          <w:szCs w:val="24"/>
        </w:rPr>
      </w:r>
      <w:r w:rsidR="00BB2970" w:rsidRPr="00BB2970">
        <w:rPr>
          <w:rFonts w:cs="Times New Roman"/>
          <w:b/>
          <w:bCs/>
          <w:szCs w:val="24"/>
        </w:rPr>
        <w:fldChar w:fldCharType="separate"/>
      </w:r>
      <w:r w:rsidR="00AA5AAC" w:rsidRPr="00AA5AAC">
        <w:rPr>
          <w:b/>
          <w:bCs/>
        </w:rPr>
        <w:t>Table 1.1</w:t>
      </w:r>
      <w:r w:rsidR="00BB2970" w:rsidRPr="00BB2970">
        <w:rPr>
          <w:rFonts w:cs="Times New Roman"/>
          <w:b/>
          <w:bCs/>
          <w:szCs w:val="24"/>
        </w:rPr>
        <w:fldChar w:fldCharType="end"/>
      </w:r>
      <w:r>
        <w:rPr>
          <w:rFonts w:cs="Times New Roman"/>
          <w:szCs w:val="24"/>
        </w:rPr>
        <w:t>), allowing for selectively targeting individual isoforms.</w:t>
      </w:r>
      <w:r>
        <w:rPr>
          <w:rFonts w:cs="Times New Roman"/>
          <w:szCs w:val="24"/>
        </w:rPr>
        <w:fldChar w:fldCharType="begin"/>
      </w:r>
      <w:r w:rsidR="009E79C2">
        <w:rPr>
          <w:rFonts w:cs="Times New Roman"/>
          <w:szCs w:val="24"/>
        </w:rPr>
        <w:instrText xml:space="preserve"> ADDIN ZOTERO_ITEM CSL_CITATION {"citationID":"iJpbj14j","properties":{"formattedCitation":"\\super 75\\nosupersub{}","plainCitation":"75","noteIndex":0},"citationItems":[{"id":630,"uris":["http://zotero.org/users/6503767/items/LBDH3UV8"],"itemData":{"id":630,"type":"article-journal","container-title":"Progress in Lipid Research","DOI":"10.1016/j.plipres.2005.12.002","ISSN":"01637827","issue":"2","journalAbbreviation":"Progress in Lipid Research","language":"en","page":"120-159","source":"DOI.org (Crossref)","title":"From molecular action to physiological outputs: Peroxisome proliferator-activated receptors are nuclear receptors at the crossroads of key cellular functions","title-short":"From molecular action to physiological outputs","volume":"45","author":[{"family":"Feige","given":"Jérôme N."},{"family":"Gelman","given":"Laurent"},{"family":"Michalik","given":"Liliane"},{"family":"Desvergne","given":"Béatrice"},{"family":"Wahli","given":"Walter"}],"issued":{"date-parts":[["2006",3]]}}}],"schema":"https://github.com/citation-style-language/schema/raw/master/csl-citation.json"} </w:instrText>
      </w:r>
      <w:r>
        <w:rPr>
          <w:rFonts w:cs="Times New Roman"/>
          <w:szCs w:val="24"/>
        </w:rPr>
        <w:fldChar w:fldCharType="separate"/>
      </w:r>
      <w:r w:rsidR="009E79C2" w:rsidRPr="009E79C2">
        <w:rPr>
          <w:rFonts w:cs="Times New Roman"/>
          <w:szCs w:val="24"/>
          <w:vertAlign w:val="superscript"/>
        </w:rPr>
        <w:t>75</w:t>
      </w:r>
      <w:r>
        <w:rPr>
          <w:rFonts w:cs="Times New Roman"/>
          <w:szCs w:val="24"/>
        </w:rPr>
        <w:fldChar w:fldCharType="end"/>
      </w:r>
      <w:r>
        <w:rPr>
          <w:rFonts w:cs="Times New Roman"/>
          <w:szCs w:val="24"/>
        </w:rPr>
        <w:t xml:space="preserve"> </w:t>
      </w:r>
    </w:p>
    <w:p w14:paraId="357C6687" w14:textId="583E7743" w:rsidR="00F66763" w:rsidRDefault="00F66763" w:rsidP="00F66763">
      <w:pPr>
        <w:ind w:firstLine="720"/>
        <w:rPr>
          <w:rFonts w:cs="Times New Roman"/>
          <w:szCs w:val="24"/>
        </w:rPr>
      </w:pPr>
    </w:p>
    <w:p w14:paraId="6F7224DF" w14:textId="08FD6F8F" w:rsidR="0042307F" w:rsidRDefault="0042307F" w:rsidP="00F66763">
      <w:pPr>
        <w:ind w:firstLine="720"/>
        <w:rPr>
          <w:rFonts w:cs="Times New Roman"/>
          <w:szCs w:val="24"/>
        </w:rPr>
      </w:pPr>
    </w:p>
    <w:p w14:paraId="7DAD6DD4" w14:textId="3D26D7A1" w:rsidR="0042307F" w:rsidRDefault="0042307F" w:rsidP="00F66763">
      <w:pPr>
        <w:ind w:firstLine="720"/>
        <w:rPr>
          <w:rFonts w:cs="Times New Roman"/>
          <w:szCs w:val="24"/>
        </w:rPr>
      </w:pPr>
    </w:p>
    <w:p w14:paraId="5093C251" w14:textId="77777777" w:rsidR="0042307F" w:rsidRDefault="0042307F" w:rsidP="0042307F">
      <w:pPr>
        <w:rPr>
          <w:rFonts w:cs="Times New Roman"/>
          <w:szCs w:val="24"/>
        </w:rPr>
      </w:pPr>
    </w:p>
    <w:p w14:paraId="13CF4044" w14:textId="594C8293" w:rsidR="000F7094" w:rsidRDefault="000F7094" w:rsidP="00DF51F5">
      <w:pPr>
        <w:pStyle w:val="Caption"/>
      </w:pPr>
      <w:bookmarkStart w:id="72" w:name="_Ref100742908"/>
      <w:r>
        <w:lastRenderedPageBreak/>
        <w:t>Table 1.</w:t>
      </w:r>
      <w:fldSimple w:instr=" SEQ Table \* ARABIC ">
        <w:r w:rsidR="00AA5AAC">
          <w:rPr>
            <w:noProof/>
          </w:rPr>
          <w:t>1</w:t>
        </w:r>
      </w:fldSimple>
      <w:bookmarkEnd w:id="72"/>
      <w:r>
        <w:t>. Main metabolic functions regulated by PPARs.</w:t>
      </w:r>
      <w:r>
        <w:fldChar w:fldCharType="begin"/>
      </w:r>
      <w:r w:rsidR="009E79C2">
        <w:instrText xml:space="preserve"> ADDIN ZOTERO_ITEM CSL_CITATION {"citationID":"AiO5bd9t","properties":{"formattedCitation":"\\super 75\\nosupersub{}","plainCitation":"75","noteIndex":0},"citationItems":[{"id":630,"uris":["http://zotero.org/users/6503767/items/LBDH3UV8"],"itemData":{"id":630,"type":"article-journal","container-title":"Progress in Lipid Research","DOI":"10.1016/j.plipres.2005.12.002","ISSN":"01637827","issue":"2","journalAbbreviation":"Progress in Lipid Research","language":"en","page":"120-159","source":"DOI.org (Crossref)","title":"From molecular action to physiological outputs: Peroxisome proliferator-activated receptors are nuclear receptors at the crossroads of key cellular functions","title-short":"From molecular action to physiological outputs","volume":"45","author":[{"family":"Feige","given":"Jérôme N."},{"family":"Gelman","given":"Laurent"},{"family":"Michalik","given":"Liliane"},{"family":"Desvergne","given":"Béatrice"},{"family":"Wahli","given":"Walter"}],"issued":{"date-parts":[["2006",3]]}}}],"schema":"https://github.com/citation-style-language/schema/raw/master/csl-citation.json"} </w:instrText>
      </w:r>
      <w:r>
        <w:fldChar w:fldCharType="separate"/>
      </w:r>
      <w:r w:rsidR="009E79C2" w:rsidRPr="009E79C2">
        <w:rPr>
          <w:rFonts w:cs="Times New Roman"/>
          <w:szCs w:val="24"/>
          <w:vertAlign w:val="superscript"/>
        </w:rPr>
        <w:t>75</w:t>
      </w:r>
      <w:r>
        <w:fldChar w:fldCharType="end"/>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9"/>
        <w:gridCol w:w="157"/>
        <w:gridCol w:w="1192"/>
        <w:gridCol w:w="2249"/>
        <w:gridCol w:w="2339"/>
        <w:gridCol w:w="2339"/>
      </w:tblGrid>
      <w:tr w:rsidR="000F7094" w14:paraId="3061E475" w14:textId="77777777" w:rsidTr="00BC71AD">
        <w:tc>
          <w:tcPr>
            <w:tcW w:w="1079" w:type="dxa"/>
          </w:tcPr>
          <w:p w14:paraId="10E11FFC" w14:textId="77777777" w:rsidR="000F7094" w:rsidRDefault="000F7094" w:rsidP="00BC71AD">
            <w:pPr>
              <w:spacing w:line="240" w:lineRule="auto"/>
              <w:rPr>
                <w:rFonts w:cs="Times New Roman"/>
                <w:szCs w:val="24"/>
              </w:rPr>
            </w:pPr>
          </w:p>
        </w:tc>
        <w:tc>
          <w:tcPr>
            <w:tcW w:w="1349" w:type="dxa"/>
            <w:gridSpan w:val="2"/>
            <w:tcBorders>
              <w:right w:val="single" w:sz="4" w:space="0" w:color="auto"/>
            </w:tcBorders>
          </w:tcPr>
          <w:p w14:paraId="2794D1A0" w14:textId="77777777" w:rsidR="000F7094" w:rsidRDefault="000F7094" w:rsidP="00BC71AD">
            <w:pPr>
              <w:spacing w:line="240" w:lineRule="auto"/>
              <w:rPr>
                <w:rFonts w:cs="Times New Roman"/>
                <w:szCs w:val="24"/>
              </w:rPr>
            </w:pPr>
          </w:p>
        </w:tc>
        <w:tc>
          <w:tcPr>
            <w:tcW w:w="2249" w:type="dxa"/>
            <w:tcBorders>
              <w:top w:val="single" w:sz="4" w:space="0" w:color="auto"/>
              <w:left w:val="single" w:sz="4" w:space="0" w:color="auto"/>
              <w:bottom w:val="single" w:sz="4" w:space="0" w:color="auto"/>
            </w:tcBorders>
          </w:tcPr>
          <w:p w14:paraId="133AC11E" w14:textId="77777777" w:rsidR="000F7094" w:rsidRDefault="000F7094" w:rsidP="00BC71AD">
            <w:pPr>
              <w:spacing w:line="240" w:lineRule="auto"/>
              <w:jc w:val="center"/>
              <w:rPr>
                <w:rFonts w:cs="Times New Roman"/>
                <w:szCs w:val="24"/>
              </w:rPr>
            </w:pPr>
            <w:r>
              <w:rPr>
                <w:rFonts w:cs="Times New Roman"/>
                <w:szCs w:val="24"/>
              </w:rPr>
              <w:t>Liver</w:t>
            </w:r>
          </w:p>
          <w:p w14:paraId="500F5525" w14:textId="77777777" w:rsidR="000F7094" w:rsidRDefault="000F7094" w:rsidP="00BC71AD">
            <w:pPr>
              <w:spacing w:line="240" w:lineRule="auto"/>
              <w:jc w:val="center"/>
              <w:rPr>
                <w:rFonts w:cs="Times New Roman"/>
                <w:szCs w:val="24"/>
              </w:rPr>
            </w:pPr>
            <w:r>
              <w:rPr>
                <w:rFonts w:cs="Times New Roman"/>
                <w:noProof/>
                <w:szCs w:val="24"/>
              </w:rPr>
              <w:drawing>
                <wp:inline distT="0" distB="0" distL="0" distR="0" wp14:anchorId="30C285D2" wp14:editId="6B800B51">
                  <wp:extent cx="816334" cy="603504"/>
                  <wp:effectExtent l="0" t="0" r="3175" b="6350"/>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1413" r="12500"/>
                          <a:stretch/>
                        </pic:blipFill>
                        <pic:spPr bwMode="auto">
                          <a:xfrm>
                            <a:off x="0" y="0"/>
                            <a:ext cx="816334" cy="6035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39" w:type="dxa"/>
            <w:tcBorders>
              <w:top w:val="single" w:sz="4" w:space="0" w:color="auto"/>
              <w:bottom w:val="single" w:sz="4" w:space="0" w:color="auto"/>
            </w:tcBorders>
          </w:tcPr>
          <w:p w14:paraId="77423D96" w14:textId="77777777" w:rsidR="000F7094" w:rsidRDefault="000F7094" w:rsidP="00BC71AD">
            <w:pPr>
              <w:spacing w:line="240" w:lineRule="auto"/>
              <w:jc w:val="center"/>
              <w:rPr>
                <w:rFonts w:cs="Times New Roman"/>
                <w:szCs w:val="24"/>
              </w:rPr>
            </w:pPr>
            <w:r>
              <w:rPr>
                <w:rFonts w:cs="Times New Roman"/>
                <w:szCs w:val="24"/>
              </w:rPr>
              <w:t>Muscle</w:t>
            </w:r>
          </w:p>
          <w:p w14:paraId="434198D4" w14:textId="77777777" w:rsidR="000F7094" w:rsidRDefault="000F7094" w:rsidP="00BC71AD">
            <w:pPr>
              <w:spacing w:line="240" w:lineRule="auto"/>
              <w:jc w:val="center"/>
              <w:rPr>
                <w:rFonts w:cs="Times New Roman"/>
                <w:szCs w:val="24"/>
              </w:rPr>
            </w:pPr>
            <w:r>
              <w:rPr>
                <w:rFonts w:cs="Times New Roman"/>
                <w:noProof/>
                <w:szCs w:val="24"/>
              </w:rPr>
              <w:drawing>
                <wp:inline distT="0" distB="0" distL="0" distR="0" wp14:anchorId="2ACAC2A0" wp14:editId="06D127BB">
                  <wp:extent cx="539766" cy="913733"/>
                  <wp:effectExtent l="3810" t="0" r="0" b="0"/>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a:picLocks noChangeAspect="1" noChangeArrowheads="1"/>
                          </pic:cNvPicPr>
                        </pic:nvPicPr>
                        <pic:blipFill>
                          <a:blip r:embed="rId93"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rot="16200000" flipH="1">
                            <a:off x="0" y="0"/>
                            <a:ext cx="545175" cy="922890"/>
                          </a:xfrm>
                          <a:prstGeom prst="rect">
                            <a:avLst/>
                          </a:prstGeom>
                          <a:noFill/>
                        </pic:spPr>
                      </pic:pic>
                    </a:graphicData>
                  </a:graphic>
                </wp:inline>
              </w:drawing>
            </w:r>
          </w:p>
        </w:tc>
        <w:tc>
          <w:tcPr>
            <w:tcW w:w="2339" w:type="dxa"/>
            <w:tcBorders>
              <w:top w:val="single" w:sz="4" w:space="0" w:color="auto"/>
              <w:bottom w:val="single" w:sz="4" w:space="0" w:color="auto"/>
              <w:right w:val="single" w:sz="4" w:space="0" w:color="auto"/>
            </w:tcBorders>
          </w:tcPr>
          <w:p w14:paraId="4690E83D" w14:textId="77777777" w:rsidR="000F7094" w:rsidRDefault="000F7094" w:rsidP="00BC71AD">
            <w:pPr>
              <w:spacing w:line="240" w:lineRule="auto"/>
              <w:jc w:val="center"/>
              <w:rPr>
                <w:rFonts w:cs="Times New Roman"/>
                <w:szCs w:val="24"/>
              </w:rPr>
            </w:pPr>
            <w:r>
              <w:rPr>
                <w:rFonts w:cs="Times New Roman"/>
                <w:szCs w:val="24"/>
              </w:rPr>
              <w:t>Adipose Tissue</w:t>
            </w:r>
          </w:p>
          <w:p w14:paraId="402A433A" w14:textId="77777777" w:rsidR="000F7094" w:rsidRDefault="000F7094" w:rsidP="00BC71AD">
            <w:pPr>
              <w:spacing w:line="240" w:lineRule="auto"/>
              <w:jc w:val="center"/>
              <w:rPr>
                <w:rFonts w:cs="Times New Roman"/>
                <w:szCs w:val="24"/>
              </w:rPr>
            </w:pPr>
            <w:r>
              <w:rPr>
                <w:rFonts w:cs="Times New Roman"/>
                <w:noProof/>
                <w:szCs w:val="24"/>
              </w:rPr>
              <w:drawing>
                <wp:inline distT="0" distB="0" distL="0" distR="0" wp14:anchorId="729C6496" wp14:editId="20EDEC81">
                  <wp:extent cx="804166" cy="603504"/>
                  <wp:effectExtent l="0" t="0" r="0" b="6350"/>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22638" t="11975" r="22691" b="20326"/>
                          <a:stretch/>
                        </pic:blipFill>
                        <pic:spPr bwMode="auto">
                          <a:xfrm>
                            <a:off x="0" y="0"/>
                            <a:ext cx="804166" cy="6035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7094" w14:paraId="6F8DF515" w14:textId="77777777" w:rsidTr="00BC71AD">
        <w:trPr>
          <w:trHeight w:val="872"/>
        </w:trPr>
        <w:tc>
          <w:tcPr>
            <w:tcW w:w="1236"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8634EC" w14:textId="77777777" w:rsidR="000F7094" w:rsidRDefault="000F7094" w:rsidP="00BC71AD">
            <w:pPr>
              <w:spacing w:line="240" w:lineRule="auto"/>
              <w:jc w:val="center"/>
              <w:rPr>
                <w:rFonts w:cs="Times New Roman"/>
                <w:szCs w:val="24"/>
              </w:rPr>
            </w:pPr>
            <w:r>
              <w:rPr>
                <w:rFonts w:cs="Times New Roman"/>
                <w:szCs w:val="24"/>
              </w:rPr>
              <w:t>Lipid utilization</w:t>
            </w:r>
          </w:p>
        </w:tc>
        <w:tc>
          <w:tcPr>
            <w:tcW w:w="1192" w:type="dxa"/>
            <w:tcBorders>
              <w:top w:val="single" w:sz="4" w:space="0" w:color="auto"/>
              <w:left w:val="single" w:sz="4" w:space="0" w:color="auto"/>
              <w:bottom w:val="single" w:sz="4" w:space="0" w:color="auto"/>
              <w:right w:val="single" w:sz="4" w:space="0" w:color="auto"/>
            </w:tcBorders>
            <w:shd w:val="clear" w:color="auto" w:fill="E7E6E6" w:themeFill="background2"/>
          </w:tcPr>
          <w:p w14:paraId="55A90219" w14:textId="77777777" w:rsidR="000F7094" w:rsidRDefault="000F7094" w:rsidP="00BC71AD">
            <w:pPr>
              <w:spacing w:line="240" w:lineRule="auto"/>
              <w:rPr>
                <w:rFonts w:cs="Times New Roman"/>
                <w:szCs w:val="24"/>
              </w:rPr>
            </w:pPr>
            <w:r>
              <w:rPr>
                <w:rFonts w:cs="Times New Roman"/>
                <w:szCs w:val="24"/>
              </w:rPr>
              <w:t>PPAR</w:t>
            </w:r>
            <w:r w:rsidRPr="003E5113">
              <w:rPr>
                <w:rFonts w:cs="Times New Roman"/>
                <w:szCs w:val="24"/>
              </w:rPr>
              <w:t>α</w:t>
            </w:r>
          </w:p>
        </w:tc>
        <w:tc>
          <w:tcPr>
            <w:tcW w:w="2249" w:type="dxa"/>
            <w:tcBorders>
              <w:top w:val="single" w:sz="4" w:space="0" w:color="auto"/>
              <w:left w:val="single" w:sz="4" w:space="0" w:color="auto"/>
              <w:bottom w:val="single" w:sz="4" w:space="0" w:color="auto"/>
            </w:tcBorders>
            <w:shd w:val="clear" w:color="auto" w:fill="E7E6E6" w:themeFill="background2"/>
          </w:tcPr>
          <w:p w14:paraId="4FC2540B" w14:textId="77777777" w:rsidR="000F7094" w:rsidRDefault="000F7094" w:rsidP="00BC71AD">
            <w:pPr>
              <w:spacing w:line="240" w:lineRule="auto"/>
              <w:jc w:val="left"/>
              <w:rPr>
                <w:rFonts w:cs="Times New Roman"/>
                <w:szCs w:val="24"/>
              </w:rPr>
            </w:pPr>
            <w:r>
              <w:rPr>
                <w:rFonts w:cs="Times New Roman"/>
                <w:szCs w:val="24"/>
              </w:rPr>
              <w:t>- Fatty acid oxidation</w:t>
            </w:r>
          </w:p>
          <w:p w14:paraId="6D1F1777" w14:textId="77777777" w:rsidR="000F7094" w:rsidRDefault="000F7094" w:rsidP="00BC71AD">
            <w:pPr>
              <w:spacing w:line="240" w:lineRule="auto"/>
              <w:jc w:val="left"/>
              <w:rPr>
                <w:rFonts w:cs="Times New Roman"/>
                <w:szCs w:val="24"/>
              </w:rPr>
            </w:pPr>
            <w:r>
              <w:rPr>
                <w:rFonts w:cs="Times New Roman"/>
                <w:szCs w:val="24"/>
              </w:rPr>
              <w:t>- Response to fasting</w:t>
            </w:r>
          </w:p>
        </w:tc>
        <w:tc>
          <w:tcPr>
            <w:tcW w:w="2339" w:type="dxa"/>
            <w:tcBorders>
              <w:top w:val="single" w:sz="4" w:space="0" w:color="auto"/>
              <w:bottom w:val="single" w:sz="4" w:space="0" w:color="auto"/>
            </w:tcBorders>
            <w:shd w:val="clear" w:color="auto" w:fill="E7E6E6" w:themeFill="background2"/>
          </w:tcPr>
          <w:p w14:paraId="5CD41887" w14:textId="77777777" w:rsidR="000F7094" w:rsidRDefault="000F7094" w:rsidP="00BC71AD">
            <w:pPr>
              <w:spacing w:line="240" w:lineRule="auto"/>
              <w:jc w:val="left"/>
              <w:rPr>
                <w:rFonts w:cs="Times New Roman"/>
                <w:szCs w:val="24"/>
              </w:rPr>
            </w:pPr>
            <w:r>
              <w:rPr>
                <w:rFonts w:cs="Times New Roman"/>
                <w:szCs w:val="24"/>
              </w:rPr>
              <w:t>- Fatty acid oxidation</w:t>
            </w:r>
          </w:p>
          <w:p w14:paraId="4FBDED40" w14:textId="77777777" w:rsidR="000F7094" w:rsidRDefault="000F7094" w:rsidP="00BC71AD">
            <w:pPr>
              <w:spacing w:line="240" w:lineRule="auto"/>
              <w:jc w:val="left"/>
              <w:rPr>
                <w:rFonts w:cs="Times New Roman"/>
                <w:szCs w:val="24"/>
              </w:rPr>
            </w:pPr>
            <w:r>
              <w:rPr>
                <w:rFonts w:cs="Times New Roman"/>
                <w:szCs w:val="24"/>
              </w:rPr>
              <w:t>- Energy uncoupling</w:t>
            </w:r>
          </w:p>
        </w:tc>
        <w:tc>
          <w:tcPr>
            <w:tcW w:w="2339" w:type="dxa"/>
            <w:tcBorders>
              <w:top w:val="single" w:sz="4" w:space="0" w:color="auto"/>
              <w:bottom w:val="single" w:sz="4" w:space="0" w:color="auto"/>
              <w:right w:val="single" w:sz="4" w:space="0" w:color="auto"/>
            </w:tcBorders>
            <w:shd w:val="clear" w:color="auto" w:fill="E7E6E6" w:themeFill="background2"/>
          </w:tcPr>
          <w:p w14:paraId="444393E8" w14:textId="77777777" w:rsidR="000F7094" w:rsidRDefault="000F7094" w:rsidP="00BC71AD">
            <w:pPr>
              <w:spacing w:line="240" w:lineRule="auto"/>
              <w:jc w:val="left"/>
              <w:rPr>
                <w:rFonts w:cs="Times New Roman"/>
                <w:szCs w:val="24"/>
              </w:rPr>
            </w:pPr>
          </w:p>
        </w:tc>
      </w:tr>
      <w:tr w:rsidR="000F7094" w14:paraId="15CD0C56" w14:textId="77777777" w:rsidTr="00BC71AD">
        <w:tc>
          <w:tcPr>
            <w:tcW w:w="1236"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00239C" w14:textId="77777777" w:rsidR="000F7094" w:rsidRDefault="000F7094" w:rsidP="00BC71AD">
            <w:pPr>
              <w:spacing w:line="240" w:lineRule="auto"/>
              <w:jc w:val="center"/>
              <w:rPr>
                <w:rFonts w:cs="Times New Roman"/>
                <w:szCs w:val="24"/>
              </w:rPr>
            </w:pPr>
          </w:p>
        </w:tc>
        <w:tc>
          <w:tcPr>
            <w:tcW w:w="119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Pr>
          <w:p w14:paraId="0462F09E" w14:textId="77777777" w:rsidR="000F7094" w:rsidRPr="00DE4FBA" w:rsidRDefault="000F7094" w:rsidP="00BC71AD">
            <w:pPr>
              <w:spacing w:line="240" w:lineRule="auto"/>
              <w:rPr>
                <w:rFonts w:cs="Times New Roman"/>
                <w:sz w:val="10"/>
                <w:szCs w:val="10"/>
              </w:rPr>
            </w:pPr>
            <w:proofErr w:type="spellStart"/>
            <w:r>
              <w:rPr>
                <w:rFonts w:cs="Times New Roman"/>
                <w:szCs w:val="24"/>
              </w:rPr>
              <w:t>PPARδ</w:t>
            </w:r>
            <w:proofErr w:type="spellEnd"/>
          </w:p>
        </w:tc>
        <w:tc>
          <w:tcPr>
            <w:tcW w:w="2249" w:type="dxa"/>
            <w:tcBorders>
              <w:top w:val="single" w:sz="4" w:space="0" w:color="auto"/>
              <w:left w:val="single" w:sz="4" w:space="0" w:color="auto"/>
            </w:tcBorders>
            <w:shd w:val="clear" w:color="auto" w:fill="E7E6E6" w:themeFill="background2"/>
          </w:tcPr>
          <w:p w14:paraId="62B581D0" w14:textId="77777777" w:rsidR="000F7094" w:rsidRPr="00DE4FBA" w:rsidRDefault="000F7094" w:rsidP="00BC71AD">
            <w:pPr>
              <w:spacing w:line="240" w:lineRule="auto"/>
              <w:jc w:val="left"/>
              <w:rPr>
                <w:rFonts w:cs="Times New Roman"/>
                <w:sz w:val="10"/>
                <w:szCs w:val="10"/>
              </w:rPr>
            </w:pPr>
          </w:p>
        </w:tc>
        <w:tc>
          <w:tcPr>
            <w:tcW w:w="2339" w:type="dxa"/>
            <w:vMerge w:val="restart"/>
            <w:tcBorders>
              <w:top w:val="single" w:sz="4" w:space="0" w:color="auto"/>
              <w:bottom w:val="single" w:sz="4" w:space="0" w:color="auto"/>
            </w:tcBorders>
            <w:shd w:val="clear" w:color="auto" w:fill="E7E6E6" w:themeFill="background2"/>
          </w:tcPr>
          <w:p w14:paraId="6841ED0A" w14:textId="77777777" w:rsidR="000F7094" w:rsidRDefault="000F7094" w:rsidP="00BC71AD">
            <w:pPr>
              <w:spacing w:line="240" w:lineRule="auto"/>
              <w:jc w:val="left"/>
              <w:rPr>
                <w:rFonts w:cs="Times New Roman"/>
                <w:szCs w:val="24"/>
              </w:rPr>
            </w:pPr>
            <w:r>
              <w:rPr>
                <w:rFonts w:cs="Times New Roman"/>
                <w:szCs w:val="24"/>
              </w:rPr>
              <w:t>- Fatty acid oxidation</w:t>
            </w:r>
          </w:p>
          <w:p w14:paraId="442F88BA" w14:textId="77777777" w:rsidR="000F7094" w:rsidRPr="00DE4FBA" w:rsidRDefault="000F7094" w:rsidP="00BC71AD">
            <w:pPr>
              <w:spacing w:line="240" w:lineRule="auto"/>
              <w:jc w:val="left"/>
              <w:rPr>
                <w:rFonts w:cs="Times New Roman"/>
                <w:sz w:val="10"/>
                <w:szCs w:val="10"/>
              </w:rPr>
            </w:pPr>
            <w:r>
              <w:rPr>
                <w:rFonts w:cs="Times New Roman"/>
                <w:szCs w:val="24"/>
              </w:rPr>
              <w:t>- Energy uncoupling</w:t>
            </w:r>
          </w:p>
        </w:tc>
        <w:tc>
          <w:tcPr>
            <w:tcW w:w="2339" w:type="dxa"/>
            <w:vMerge w:val="restart"/>
            <w:tcBorders>
              <w:top w:val="single" w:sz="4" w:space="0" w:color="auto"/>
              <w:bottom w:val="single" w:sz="4" w:space="0" w:color="auto"/>
              <w:right w:val="single" w:sz="4" w:space="0" w:color="auto"/>
            </w:tcBorders>
            <w:shd w:val="clear" w:color="auto" w:fill="E7E6E6" w:themeFill="background2"/>
          </w:tcPr>
          <w:p w14:paraId="6E9D1737" w14:textId="77777777" w:rsidR="000F7094" w:rsidRDefault="000F7094" w:rsidP="00BC71AD">
            <w:pPr>
              <w:spacing w:line="240" w:lineRule="auto"/>
              <w:jc w:val="left"/>
              <w:rPr>
                <w:rFonts w:cs="Times New Roman"/>
                <w:szCs w:val="24"/>
              </w:rPr>
            </w:pPr>
            <w:r>
              <w:rPr>
                <w:rFonts w:cs="Times New Roman"/>
                <w:szCs w:val="24"/>
              </w:rPr>
              <w:t>- Fatty acid oxidation</w:t>
            </w:r>
          </w:p>
          <w:p w14:paraId="1B909C68" w14:textId="77777777" w:rsidR="000F7094" w:rsidRPr="00DE4FBA" w:rsidRDefault="000F7094" w:rsidP="00BC71AD">
            <w:pPr>
              <w:spacing w:line="240" w:lineRule="auto"/>
              <w:jc w:val="left"/>
              <w:rPr>
                <w:rFonts w:cs="Times New Roman"/>
                <w:sz w:val="10"/>
                <w:szCs w:val="10"/>
              </w:rPr>
            </w:pPr>
            <w:r>
              <w:rPr>
                <w:rFonts w:cs="Times New Roman"/>
                <w:szCs w:val="24"/>
              </w:rPr>
              <w:t>- Energy uncoupling</w:t>
            </w:r>
          </w:p>
        </w:tc>
      </w:tr>
      <w:tr w:rsidR="000F7094" w14:paraId="6FAA1B77" w14:textId="77777777" w:rsidTr="00BC71AD">
        <w:tc>
          <w:tcPr>
            <w:tcW w:w="1236"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5F0ED0" w14:textId="77777777" w:rsidR="000F7094" w:rsidRDefault="000F7094" w:rsidP="00BC71AD">
            <w:pPr>
              <w:spacing w:line="240" w:lineRule="auto"/>
              <w:jc w:val="center"/>
              <w:rPr>
                <w:rFonts w:cs="Times New Roman"/>
                <w:szCs w:val="24"/>
              </w:rPr>
            </w:pPr>
          </w:p>
        </w:tc>
        <w:tc>
          <w:tcPr>
            <w:tcW w:w="1192" w:type="dxa"/>
            <w:vMerge/>
            <w:tcBorders>
              <w:top w:val="single" w:sz="4" w:space="0" w:color="auto"/>
              <w:left w:val="single" w:sz="4" w:space="0" w:color="auto"/>
              <w:bottom w:val="single" w:sz="4" w:space="0" w:color="auto"/>
              <w:right w:val="single" w:sz="4" w:space="0" w:color="auto"/>
            </w:tcBorders>
            <w:shd w:val="clear" w:color="auto" w:fill="E7E6E6" w:themeFill="background2"/>
          </w:tcPr>
          <w:p w14:paraId="37C83E05" w14:textId="77777777" w:rsidR="000F7094" w:rsidRDefault="000F7094" w:rsidP="00BC71AD">
            <w:pPr>
              <w:spacing w:line="240" w:lineRule="auto"/>
              <w:rPr>
                <w:rFonts w:cs="Times New Roman"/>
                <w:szCs w:val="24"/>
              </w:rPr>
            </w:pPr>
          </w:p>
        </w:tc>
        <w:tc>
          <w:tcPr>
            <w:tcW w:w="2249" w:type="dxa"/>
            <w:tcBorders>
              <w:left w:val="single" w:sz="4" w:space="0" w:color="auto"/>
              <w:bottom w:val="single" w:sz="4" w:space="0" w:color="auto"/>
            </w:tcBorders>
            <w:shd w:val="clear" w:color="auto" w:fill="E7E6E6" w:themeFill="background2"/>
          </w:tcPr>
          <w:p w14:paraId="1800146B" w14:textId="77777777" w:rsidR="000F7094" w:rsidRDefault="000F7094" w:rsidP="00BC71AD">
            <w:pPr>
              <w:spacing w:line="240" w:lineRule="auto"/>
              <w:jc w:val="left"/>
              <w:rPr>
                <w:rFonts w:cs="Times New Roman"/>
                <w:szCs w:val="24"/>
              </w:rPr>
            </w:pPr>
          </w:p>
        </w:tc>
        <w:tc>
          <w:tcPr>
            <w:tcW w:w="2339" w:type="dxa"/>
            <w:vMerge/>
            <w:tcBorders>
              <w:bottom w:val="single" w:sz="4" w:space="0" w:color="auto"/>
            </w:tcBorders>
            <w:shd w:val="clear" w:color="auto" w:fill="E7E6E6" w:themeFill="background2"/>
          </w:tcPr>
          <w:p w14:paraId="561C151A" w14:textId="77777777" w:rsidR="000F7094" w:rsidRDefault="000F7094" w:rsidP="00BC71AD">
            <w:pPr>
              <w:spacing w:line="240" w:lineRule="auto"/>
              <w:jc w:val="left"/>
              <w:rPr>
                <w:rFonts w:cs="Times New Roman"/>
                <w:szCs w:val="24"/>
              </w:rPr>
            </w:pPr>
          </w:p>
        </w:tc>
        <w:tc>
          <w:tcPr>
            <w:tcW w:w="2339" w:type="dxa"/>
            <w:vMerge/>
            <w:tcBorders>
              <w:top w:val="single" w:sz="4" w:space="0" w:color="auto"/>
              <w:bottom w:val="single" w:sz="4" w:space="0" w:color="auto"/>
              <w:right w:val="single" w:sz="4" w:space="0" w:color="auto"/>
            </w:tcBorders>
            <w:shd w:val="clear" w:color="auto" w:fill="E7E6E6" w:themeFill="background2"/>
          </w:tcPr>
          <w:p w14:paraId="0E62642F" w14:textId="77777777" w:rsidR="000F7094" w:rsidRDefault="000F7094" w:rsidP="00BC71AD">
            <w:pPr>
              <w:spacing w:line="240" w:lineRule="auto"/>
              <w:jc w:val="left"/>
              <w:rPr>
                <w:rFonts w:cs="Times New Roman"/>
                <w:szCs w:val="24"/>
              </w:rPr>
            </w:pPr>
          </w:p>
        </w:tc>
      </w:tr>
      <w:tr w:rsidR="000F7094" w14:paraId="6E30B515" w14:textId="77777777" w:rsidTr="00BC71AD">
        <w:tc>
          <w:tcPr>
            <w:tcW w:w="123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EC8D81" w14:textId="77777777" w:rsidR="000F7094" w:rsidRPr="00DE4FBA" w:rsidRDefault="000F7094" w:rsidP="00BC71AD">
            <w:pPr>
              <w:spacing w:line="240" w:lineRule="auto"/>
              <w:jc w:val="center"/>
              <w:rPr>
                <w:rFonts w:cs="Times New Roman"/>
                <w:sz w:val="10"/>
                <w:szCs w:val="10"/>
              </w:rPr>
            </w:pPr>
            <w:r>
              <w:rPr>
                <w:rFonts w:cs="Times New Roman"/>
                <w:szCs w:val="24"/>
              </w:rPr>
              <w:t>Lipid storage and insulin sensitivity</w:t>
            </w:r>
          </w:p>
        </w:tc>
        <w:tc>
          <w:tcPr>
            <w:tcW w:w="1192" w:type="dxa"/>
            <w:tcBorders>
              <w:top w:val="single" w:sz="4" w:space="0" w:color="auto"/>
              <w:left w:val="single" w:sz="4" w:space="0" w:color="auto"/>
              <w:bottom w:val="single" w:sz="4" w:space="0" w:color="auto"/>
              <w:right w:val="single" w:sz="4" w:space="0" w:color="auto"/>
            </w:tcBorders>
            <w:shd w:val="clear" w:color="auto" w:fill="E7E6E6" w:themeFill="background2"/>
          </w:tcPr>
          <w:p w14:paraId="6CFD6FA4" w14:textId="77777777" w:rsidR="000F7094" w:rsidRPr="00DE4FBA" w:rsidRDefault="000F7094" w:rsidP="00BC71AD">
            <w:pPr>
              <w:spacing w:line="240" w:lineRule="auto"/>
              <w:rPr>
                <w:rFonts w:cs="Times New Roman"/>
                <w:sz w:val="10"/>
                <w:szCs w:val="10"/>
              </w:rPr>
            </w:pPr>
            <w:proofErr w:type="spellStart"/>
            <w:r>
              <w:rPr>
                <w:rFonts w:cs="Times New Roman"/>
                <w:szCs w:val="24"/>
              </w:rPr>
              <w:t>PPARγ</w:t>
            </w:r>
            <w:proofErr w:type="spellEnd"/>
          </w:p>
        </w:tc>
        <w:tc>
          <w:tcPr>
            <w:tcW w:w="2249" w:type="dxa"/>
            <w:tcBorders>
              <w:top w:val="single" w:sz="4" w:space="0" w:color="auto"/>
              <w:left w:val="single" w:sz="4" w:space="0" w:color="auto"/>
              <w:bottom w:val="single" w:sz="4" w:space="0" w:color="auto"/>
            </w:tcBorders>
            <w:shd w:val="clear" w:color="auto" w:fill="E7E6E6" w:themeFill="background2"/>
          </w:tcPr>
          <w:p w14:paraId="51B0E86E" w14:textId="77777777" w:rsidR="000F7094" w:rsidRDefault="000F7094" w:rsidP="00BC71AD">
            <w:pPr>
              <w:spacing w:line="240" w:lineRule="auto"/>
              <w:jc w:val="left"/>
              <w:rPr>
                <w:rFonts w:cs="Times New Roman"/>
                <w:szCs w:val="24"/>
              </w:rPr>
            </w:pPr>
            <w:r>
              <w:rPr>
                <w:rFonts w:cs="Times New Roman"/>
                <w:szCs w:val="24"/>
              </w:rPr>
              <w:t>- Lipogenesis</w:t>
            </w:r>
          </w:p>
          <w:p w14:paraId="0AD19590" w14:textId="77777777" w:rsidR="000F7094" w:rsidRPr="00DE4FBA" w:rsidRDefault="000F7094" w:rsidP="00BC71AD">
            <w:pPr>
              <w:spacing w:line="240" w:lineRule="auto"/>
              <w:jc w:val="left"/>
              <w:rPr>
                <w:rFonts w:cs="Times New Roman"/>
                <w:sz w:val="10"/>
                <w:szCs w:val="10"/>
              </w:rPr>
            </w:pPr>
            <w:r>
              <w:rPr>
                <w:rFonts w:cs="Times New Roman"/>
                <w:szCs w:val="24"/>
              </w:rPr>
              <w:t>- Insulin sensitivity</w:t>
            </w:r>
          </w:p>
        </w:tc>
        <w:tc>
          <w:tcPr>
            <w:tcW w:w="2339" w:type="dxa"/>
            <w:tcBorders>
              <w:top w:val="single" w:sz="4" w:space="0" w:color="auto"/>
              <w:bottom w:val="single" w:sz="4" w:space="0" w:color="auto"/>
            </w:tcBorders>
            <w:shd w:val="clear" w:color="auto" w:fill="E7E6E6" w:themeFill="background2"/>
          </w:tcPr>
          <w:p w14:paraId="2563615F" w14:textId="77777777" w:rsidR="000F7094" w:rsidRPr="00DE4FBA" w:rsidRDefault="000F7094" w:rsidP="00BC71AD">
            <w:pPr>
              <w:spacing w:line="240" w:lineRule="auto"/>
              <w:jc w:val="left"/>
              <w:rPr>
                <w:rFonts w:cs="Times New Roman"/>
                <w:sz w:val="10"/>
                <w:szCs w:val="10"/>
              </w:rPr>
            </w:pPr>
            <w:r>
              <w:rPr>
                <w:rFonts w:cs="Times New Roman"/>
                <w:szCs w:val="24"/>
              </w:rPr>
              <w:t>- Insulin sensitivity</w:t>
            </w:r>
          </w:p>
        </w:tc>
        <w:tc>
          <w:tcPr>
            <w:tcW w:w="2339" w:type="dxa"/>
            <w:tcBorders>
              <w:top w:val="single" w:sz="4" w:space="0" w:color="auto"/>
              <w:bottom w:val="single" w:sz="4" w:space="0" w:color="auto"/>
              <w:right w:val="single" w:sz="4" w:space="0" w:color="auto"/>
            </w:tcBorders>
            <w:shd w:val="clear" w:color="auto" w:fill="E7E6E6" w:themeFill="background2"/>
          </w:tcPr>
          <w:p w14:paraId="709B4BDB" w14:textId="77777777" w:rsidR="000F7094" w:rsidRDefault="000F7094" w:rsidP="00BC71AD">
            <w:pPr>
              <w:spacing w:line="240" w:lineRule="auto"/>
              <w:jc w:val="left"/>
              <w:rPr>
                <w:rFonts w:cs="Times New Roman"/>
                <w:szCs w:val="24"/>
              </w:rPr>
            </w:pPr>
            <w:r>
              <w:rPr>
                <w:rFonts w:cs="Times New Roman"/>
                <w:szCs w:val="24"/>
              </w:rPr>
              <w:t>- Adipocyte differentiation</w:t>
            </w:r>
          </w:p>
          <w:p w14:paraId="10BA024E" w14:textId="77777777" w:rsidR="000F7094" w:rsidRDefault="000F7094" w:rsidP="00BC71AD">
            <w:pPr>
              <w:spacing w:line="240" w:lineRule="auto"/>
              <w:jc w:val="left"/>
              <w:rPr>
                <w:rFonts w:cs="Times New Roman"/>
                <w:szCs w:val="24"/>
              </w:rPr>
            </w:pPr>
            <w:r>
              <w:rPr>
                <w:rFonts w:cs="Times New Roman"/>
                <w:szCs w:val="24"/>
              </w:rPr>
              <w:t>- Adipocyte survival</w:t>
            </w:r>
          </w:p>
          <w:p w14:paraId="4AF7139F" w14:textId="77777777" w:rsidR="000F7094" w:rsidRDefault="000F7094" w:rsidP="00BC71AD">
            <w:pPr>
              <w:spacing w:line="240" w:lineRule="auto"/>
              <w:jc w:val="left"/>
              <w:rPr>
                <w:rFonts w:cs="Times New Roman"/>
                <w:szCs w:val="24"/>
              </w:rPr>
            </w:pPr>
            <w:r>
              <w:rPr>
                <w:rFonts w:cs="Times New Roman"/>
                <w:szCs w:val="24"/>
              </w:rPr>
              <w:t>- Lipogenesis</w:t>
            </w:r>
          </w:p>
          <w:p w14:paraId="03B897D4" w14:textId="77777777" w:rsidR="000F7094" w:rsidRDefault="000F7094" w:rsidP="00BC71AD">
            <w:pPr>
              <w:spacing w:line="240" w:lineRule="auto"/>
              <w:jc w:val="left"/>
              <w:rPr>
                <w:rFonts w:cs="Times New Roman"/>
                <w:szCs w:val="24"/>
              </w:rPr>
            </w:pPr>
            <w:r>
              <w:rPr>
                <w:rFonts w:cs="Times New Roman"/>
                <w:szCs w:val="24"/>
              </w:rPr>
              <w:t>- Adipokine secretion</w:t>
            </w:r>
          </w:p>
          <w:p w14:paraId="5BA5440E" w14:textId="77777777" w:rsidR="000F7094" w:rsidRPr="00DE4FBA" w:rsidRDefault="000F7094" w:rsidP="00BC71AD">
            <w:pPr>
              <w:spacing w:line="240" w:lineRule="auto"/>
              <w:jc w:val="left"/>
              <w:rPr>
                <w:rFonts w:cs="Times New Roman"/>
                <w:sz w:val="10"/>
                <w:szCs w:val="10"/>
              </w:rPr>
            </w:pPr>
            <w:r>
              <w:rPr>
                <w:rFonts w:cs="Times New Roman"/>
                <w:szCs w:val="24"/>
              </w:rPr>
              <w:t>- Insulin sensitivity</w:t>
            </w:r>
          </w:p>
        </w:tc>
      </w:tr>
    </w:tbl>
    <w:p w14:paraId="5D9FEB53" w14:textId="77777777" w:rsidR="000F7094" w:rsidRDefault="000F7094" w:rsidP="000F7094">
      <w:pPr>
        <w:spacing w:after="0"/>
        <w:rPr>
          <w:rFonts w:cs="Times New Roman"/>
          <w:szCs w:val="24"/>
        </w:rPr>
      </w:pPr>
    </w:p>
    <w:p w14:paraId="5B13C35D" w14:textId="455FCA90" w:rsidR="000F7094" w:rsidRDefault="000F7094" w:rsidP="000F7094">
      <w:pPr>
        <w:ind w:firstLine="720"/>
        <w:rPr>
          <w:rFonts w:cs="Times New Roman"/>
          <w:szCs w:val="24"/>
        </w:rPr>
      </w:pPr>
      <w:r>
        <w:rPr>
          <w:rFonts w:cs="Times New Roman"/>
          <w:szCs w:val="24"/>
        </w:rPr>
        <w:t xml:space="preserve">The isoform that our lab is interested in is </w:t>
      </w:r>
      <w:r w:rsidRPr="003E5113">
        <w:rPr>
          <w:rFonts w:cs="Times New Roman"/>
          <w:szCs w:val="24"/>
        </w:rPr>
        <w:t>PPARα</w:t>
      </w:r>
      <w:r>
        <w:rPr>
          <w:rFonts w:cs="Times New Roman"/>
          <w:szCs w:val="24"/>
        </w:rPr>
        <w:t>, because its</w:t>
      </w:r>
      <w:r w:rsidRPr="003E5113">
        <w:rPr>
          <w:rFonts w:cs="Times New Roman"/>
          <w:szCs w:val="24"/>
        </w:rPr>
        <w:t xml:space="preserve"> agonists have shown therapeutic effects towards the treatment of DR by influencing the regulation of inflammatory factors </w:t>
      </w:r>
      <w:r w:rsidR="00952D18">
        <w:rPr>
          <w:rFonts w:cs="Times New Roman"/>
          <w:szCs w:val="24"/>
        </w:rPr>
        <w:t>(</w:t>
      </w:r>
      <w:r w:rsidRPr="003E5113">
        <w:rPr>
          <w:rFonts w:cs="Times New Roman"/>
          <w:szCs w:val="24"/>
        </w:rPr>
        <w:t>TNF-α, intercellular adhesion molecule-1 (ICAM-1), and VEGF</w:t>
      </w:r>
      <w:r w:rsidR="00952D18">
        <w:rPr>
          <w:rFonts w:cs="Times New Roman"/>
          <w:szCs w:val="24"/>
        </w:rPr>
        <w:t>),</w:t>
      </w:r>
      <w:r>
        <w:rPr>
          <w:rFonts w:cs="Times New Roman"/>
          <w:szCs w:val="24"/>
        </w:rPr>
        <w:fldChar w:fldCharType="begin"/>
      </w:r>
      <w:r w:rsidR="00952D18">
        <w:rPr>
          <w:rFonts w:cs="Times New Roman"/>
          <w:szCs w:val="24"/>
        </w:rPr>
        <w:instrText xml:space="preserve"> ADDIN ZOTERO_ITEM CSL_CITATION {"citationID":"Qrpr1n3b","properties":{"formattedCitation":"\\super 76\\nosupersub{}","plainCitation":"76","noteIndex":0},"citationItems":[{"id":667,"uris":["http://zotero.org/users/6503767/items/KF8LD7MN"],"itemData":{"id":667,"type":"article-journal","container-title":"Investigative Opthalmology &amp; Visual Science","DOI":"10.1167/iovs.16-21402","ISSN":"1552-5783","issue":"12","journalAbbreviation":"Invest. Ophthalmol. Vis. Sci.","language":"en","page":"5030","source":"DOI.org (Crossref)","title":"Therapeutic Effects of a Novel Agonist of Peroxisome Proliferator-Activated Receptor Alpha for the Treatment of Diabetic Retinopathy","volume":"58","author":[{"family":"Deng","given":"Guotao"},{"family":"Moran","given":"Elizabeth P."},{"family":"Cheng","given":"Rui"},{"family":"Matlock","given":"Greg"},{"family":"Zhou","given":"Kelu"},{"family":"Moran","given":"David"},{"family":"Chen","given":"Danyang"},{"family":"Yu","given":"Qiang"},{"family":"Ma","given":"Jian-Xing"}],"issued":{"date-parts":[["2017",10,4]]}}}],"schema":"https://github.com/citation-style-language/schema/raw/master/csl-citation.json"} </w:instrText>
      </w:r>
      <w:r>
        <w:rPr>
          <w:rFonts w:cs="Times New Roman"/>
          <w:szCs w:val="24"/>
        </w:rPr>
        <w:fldChar w:fldCharType="separate"/>
      </w:r>
      <w:r w:rsidR="00952D18" w:rsidRPr="00952D18">
        <w:rPr>
          <w:rFonts w:cs="Times New Roman"/>
          <w:szCs w:val="24"/>
          <w:vertAlign w:val="superscript"/>
        </w:rPr>
        <w:t>76</w:t>
      </w:r>
      <w:r>
        <w:rPr>
          <w:rFonts w:cs="Times New Roman"/>
          <w:szCs w:val="24"/>
        </w:rPr>
        <w:fldChar w:fldCharType="end"/>
      </w:r>
      <w:r w:rsidR="00952D18">
        <w:rPr>
          <w:rFonts w:cs="Times New Roman"/>
          <w:szCs w:val="24"/>
        </w:rPr>
        <w:t xml:space="preserve"> mitochondrial function, apoptosis, and neovascularization in the diabetic retina.</w:t>
      </w:r>
      <w:r w:rsidR="00952D18">
        <w:rPr>
          <w:rFonts w:cs="Times New Roman"/>
          <w:szCs w:val="24"/>
        </w:rPr>
        <w:fldChar w:fldCharType="begin"/>
      </w:r>
      <w:r w:rsidR="00952D18">
        <w:rPr>
          <w:rFonts w:cs="Times New Roman"/>
          <w:szCs w:val="24"/>
        </w:rPr>
        <w:instrText xml:space="preserve"> ADDIN ZOTERO_ITEM CSL_CITATION {"citationID":"JBdvufrb","properties":{"formattedCitation":"\\super 77\\nosupersub{}","plainCitation":"77","noteIndex":0},"citationItems":[{"id":971,"uris":["http://zotero.org/users/6503767/items/68KNA8Q3"],"itemData":{"id":971,"type":"article-journal","abstract":"Retinal vascular leakage, inflammation, and neovascularization (NV) are features of diabetic retinopathy (DR). Fenofibrate, a peroxisome proliferator–activated receptor α (PPARα) agonist, has shown robust protective effects against DR in type 2 diabetic patients, but its effects on DR in type 1 diabetes have not been reported. This study evaluated the efficacy of fenofibrate on DR in type 1 diabetes models and determined if the effect is PPARα dependent. Oral administration of fenofibrate significantly ameliorated retinal vascular leakage and leukostasis in streptozotocin-induced diabetic rats and in Akita mice. Favorable effects on DR were also achieved by intravitreal injection of fenofibrate or another specific PPARα agonist. Fenofibrate also ameliorated retinal NV in the oxygen-induced retinopathy (OIR) model and inhibited tube formation and migration in cultured endothelial cells. Fenofibrate also attenuated overexpression of intercellular adhesion molecule-1, monocyte chemoattractant protein-1, and vascular endothelial growth factor (VEGF) and blocked activation of hypoxia-inducible factor-1 and nuclear factor-κB in the retinas of OIR and diabetic models. Fenofibrate’s beneficial effects were blocked by a specific PPARα antagonist. Furthermore, Pparα knockout abolished the fenofibrate-induced downregulation of VEGF and reduction of retinal vascular leakage in DR models. These results demonstrate therapeutic effects of fenofibrate on DR in type 1 diabetes and support the existence of the drug target in ocular tissues and via a PPARα-dependent mechanism.","container-title":"Diabetes","DOI":"10.2337/db11-0413","ISSN":"0012-1797","issue":"1","journalAbbreviation":"Diabetes","note":"PMID: 23043158\nPMCID: PMC3526044","page":"261-272","source":"PubMed Central","title":"Therapeutic Effects of PPARα Agonists on Diabetic Retinopathy in Type 1 Diabetes Models","volume":"62","author":[{"family":"Chen","given":"Ying"},{"family":"Hu","given":"Yang"},{"family":"Lin","given":"Mingkai"},{"family":"Jenkins","given":"Alicia J."},{"family":"Keech","given":"Anthony C."},{"family":"Mott","given":"Robert"},{"family":"Lyons","given":"Timothy J."},{"family":"Ma","given":"Jian-xing"}],"issued":{"date-parts":[["2013",1]]}}}],"schema":"https://github.com/citation-style-language/schema/raw/master/csl-citation.json"} </w:instrText>
      </w:r>
      <w:r w:rsidR="00952D18">
        <w:rPr>
          <w:rFonts w:cs="Times New Roman"/>
          <w:szCs w:val="24"/>
        </w:rPr>
        <w:fldChar w:fldCharType="separate"/>
      </w:r>
      <w:r w:rsidR="00952D18" w:rsidRPr="00952D18">
        <w:rPr>
          <w:rFonts w:cs="Times New Roman"/>
          <w:szCs w:val="24"/>
          <w:vertAlign w:val="superscript"/>
        </w:rPr>
        <w:t>77</w:t>
      </w:r>
      <w:r w:rsidR="00952D18">
        <w:rPr>
          <w:rFonts w:cs="Times New Roman"/>
          <w:szCs w:val="24"/>
        </w:rPr>
        <w:fldChar w:fldCharType="end"/>
      </w:r>
      <w:r w:rsidR="00952D18">
        <w:rPr>
          <w:rFonts w:cs="Times New Roman"/>
          <w:szCs w:val="24"/>
        </w:rPr>
        <w:t xml:space="preserve"> </w:t>
      </w:r>
      <w:r w:rsidRPr="003E5113">
        <w:rPr>
          <w:rFonts w:cs="Times New Roman"/>
          <w:szCs w:val="24"/>
        </w:rPr>
        <w:t xml:space="preserve">The therapeutic effects of PPARα agonists have also been </w:t>
      </w:r>
      <w:r>
        <w:rPr>
          <w:rFonts w:cs="Times New Roman"/>
          <w:szCs w:val="24"/>
        </w:rPr>
        <w:t>confirmed</w:t>
      </w:r>
      <w:r w:rsidRPr="003E5113">
        <w:rPr>
          <w:rFonts w:cs="Times New Roman"/>
          <w:szCs w:val="24"/>
        </w:rPr>
        <w:t xml:space="preserve"> </w:t>
      </w:r>
      <w:r>
        <w:rPr>
          <w:rFonts w:cs="Times New Roman"/>
          <w:szCs w:val="24"/>
        </w:rPr>
        <w:t>in</w:t>
      </w:r>
      <w:r w:rsidRPr="003E5113">
        <w:rPr>
          <w:rFonts w:cs="Times New Roman"/>
          <w:szCs w:val="24"/>
        </w:rPr>
        <w:t xml:space="preserve"> </w:t>
      </w:r>
      <w:r w:rsidR="00495C4A">
        <w:rPr>
          <w:rFonts w:cs="Times New Roman"/>
          <w:szCs w:val="24"/>
        </w:rPr>
        <w:t xml:space="preserve">the Fenofibrate Intervention and Event Lowering in Diabetes </w:t>
      </w:r>
      <w:r>
        <w:rPr>
          <w:rFonts w:cs="Times New Roman"/>
          <w:szCs w:val="24"/>
        </w:rPr>
        <w:t>FIELD</w:t>
      </w:r>
      <w:r>
        <w:rPr>
          <w:rFonts w:cs="Times New Roman"/>
          <w:szCs w:val="24"/>
        </w:rPr>
        <w:fldChar w:fldCharType="begin"/>
      </w:r>
      <w:r w:rsidR="009E79C2">
        <w:rPr>
          <w:rFonts w:cs="Times New Roman"/>
          <w:szCs w:val="24"/>
        </w:rPr>
        <w:instrText xml:space="preserve"> ADDIN ZOTERO_ITEM CSL_CITATION {"citationID":"iDHkWmI3","properties":{"formattedCitation":"\\super 78\\nosupersub{}","plainCitation":"78","noteIndex":0},"citationItems":[{"id":663,"uris":["http://zotero.org/users/6503767/items/JS74W38K"],"itemData":{"id":663,"type":"article-journal","abstract":"BACKGROUND: Laser treatment for diabetic retinopathy is often associated with visual field reduction and other ocular side-effects. Our aim was to assess whether long-term lipid-lowering therapy with fenofibrate could reduce the progression of retinopathy and the need for laser treatment in patients with type 2 diabetes mellitus.\nMETHODS: The Fenofibrate Intervention and Event Lowering in Diabetes (FIELD) study was a multinational randomised trial of 9795 patients aged 50-75 years with type 2 diabetes mellitus. Eligible patients were randomly assigned to receive fenofibrate 200 mg/day (n=4895) or matching placebo (n=4900). At each clinic visit, information concerning laser treatment for diabetic retinopathy-a prespecified tertiary endpoint of the main study-was gathered. Adjudication by ophthalmologists masked to treatment allocation defined instances of laser treatment for macular oedema, proliferative retinopathy, or other eye conditions. In a substudy of 1012 patients, standardised retinal photography was done and photographs graded with Early Treatment Diabetic Retinopathy Study (ETDRS) criteria to determine the cumulative incidence of diabetic retinopathy and its component lesions. Analyses were by intention to treat. This study is registered as an International Standard Randomised Controlled Trial, number ISRCTN64783481.\nFINDINGS: Laser treatment was needed more frequently in participants with poorer glycaemic or blood pressure control than in those with good control of these factors, and in those with a greater burden of clinical microvascular disease, but the need for such treatment was not affected by plasma lipid concentrations. The requirement for first laser treatment for all retinopathy was significantly lower in the fenofibrate group than in the placebo group (164 [3.4%] patients on fenofibrate vs 238 [4.9%] on placebo; hazard ratio [HR] 0.69, 95% CI 0.56-0.84; p=0.0002; absolute risk reduction 1.5% [0.7-2.3]). In the ophthalmology substudy, the primary endpoint of 2-step progression of retinopathy grade did not differ significantly between the two groups overall (46 [9.6%] patients on fenofibrate vs 57 [12.3%] on placebo; p=0.19) or in the subset of patients without pre-existing retinopathy (43 [11.4%] vs 43 [11.7%]; p=0.87). By contrast, in patients with pre-existing retinopathy, significantly fewer patients on fenofibrate had a 2-step progression than did those on placebo (three [3.1%] patients vs 14 [14.6%]; p=0.004). An exploratory composite endpoint of 2-step progression of retinopathy grade, macular oedema, or laser treatments was significantly lower in the fenofibrate group than in the placebo group (HR 0.66, 95% CI 0.47-0.94; p=0.022).\nINTERPRETATION: Treatment with fenofibrate in individuals with type 2 diabetes mellitus reduces the need for laser treatment for diabetic retinopathy, although the mechanism of this effect does not seem to be related to plasma concentrations of lipids.","container-title":"Lancet (London, England)","DOI":"10.1016/S0140-6736(07)61607-9","ISSN":"1474-547X","issue":"9600","journalAbbreviation":"Lancet","language":"eng","note":"PMID: 17988728","page":"1687-1697","source":"PubMed","title":"Effect of fenofibrate on the need for laser treatment for diabetic retinopathy (FIELD study): a randomised controlled trial","title-short":"Effect of fenofibrate on the need for laser treatment for diabetic retinopathy (FIELD study)","volume":"370","author":[{"family":"Keech","given":"A. C."},{"family":"Mitchell","given":"P."},{"family":"Summanen","given":"P. A."},{"family":"O'Day","given":"J."},{"family":"Davis","given":"T. M. E."},{"family":"Moffitt","given":"M. S."},{"family":"Taskinen","given":"M.-R."},{"family":"Simes","given":"R. J."},{"family":"Tse","given":"D."},{"family":"Williamson","given":"E."},{"family":"Merrifield","given":"A."},{"family":"Laatikainen","given":"L. T."},{"family":"Emden","given":"M. C.","non-dropping-particle":"d'"},{"family":"Crimet","given":"D. C."},{"family":"O'Connell","given":"R. L."},{"family":"Colman","given":"P. G."},{"literal":"FIELD study investigators"}],"issued":{"date-parts":[["2007",11,17]]}}}],"schema":"https://github.com/citation-style-language/schema/raw/master/csl-citation.json"} </w:instrText>
      </w:r>
      <w:r>
        <w:rPr>
          <w:rFonts w:cs="Times New Roman"/>
          <w:szCs w:val="24"/>
        </w:rPr>
        <w:fldChar w:fldCharType="separate"/>
      </w:r>
      <w:r w:rsidR="009E79C2" w:rsidRPr="009E79C2">
        <w:rPr>
          <w:rFonts w:cs="Times New Roman"/>
          <w:szCs w:val="24"/>
          <w:vertAlign w:val="superscript"/>
        </w:rPr>
        <w:t>78</w:t>
      </w:r>
      <w:r>
        <w:rPr>
          <w:rFonts w:cs="Times New Roman"/>
          <w:szCs w:val="24"/>
        </w:rPr>
        <w:fldChar w:fldCharType="end"/>
      </w:r>
      <w:r>
        <w:rPr>
          <w:rFonts w:cs="Times New Roman"/>
          <w:szCs w:val="24"/>
        </w:rPr>
        <w:t xml:space="preserve"> </w:t>
      </w:r>
      <w:r w:rsidR="00495C4A" w:rsidRPr="003E5113">
        <w:rPr>
          <w:rFonts w:cs="Times New Roman"/>
          <w:szCs w:val="24"/>
        </w:rPr>
        <w:t>clinical stud</w:t>
      </w:r>
      <w:r w:rsidR="00495C4A">
        <w:rPr>
          <w:rFonts w:cs="Times New Roman"/>
          <w:szCs w:val="24"/>
        </w:rPr>
        <w:t xml:space="preserve">y </w:t>
      </w:r>
      <w:r>
        <w:rPr>
          <w:rFonts w:cs="Times New Roman"/>
          <w:szCs w:val="24"/>
        </w:rPr>
        <w:t>in which</w:t>
      </w:r>
      <w:r w:rsidRPr="003E5113">
        <w:rPr>
          <w:rFonts w:cs="Times New Roman"/>
          <w:szCs w:val="24"/>
        </w:rPr>
        <w:t xml:space="preserve"> fenofibrate</w:t>
      </w:r>
      <w:r>
        <w:rPr>
          <w:rFonts w:cs="Times New Roman"/>
          <w:szCs w:val="24"/>
        </w:rPr>
        <w:t>, an orally administered fibric acid derivative,</w:t>
      </w:r>
      <w:r w:rsidRPr="003E5113">
        <w:rPr>
          <w:rFonts w:cs="Times New Roman"/>
          <w:szCs w:val="24"/>
        </w:rPr>
        <w:t xml:space="preserve"> reduce</w:t>
      </w:r>
      <w:r>
        <w:rPr>
          <w:rFonts w:cs="Times New Roman"/>
          <w:szCs w:val="24"/>
        </w:rPr>
        <w:t>d</w:t>
      </w:r>
      <w:r w:rsidRPr="003E5113">
        <w:rPr>
          <w:rFonts w:cs="Times New Roman"/>
          <w:szCs w:val="24"/>
        </w:rPr>
        <w:t xml:space="preserve"> the progression</w:t>
      </w:r>
      <w:r>
        <w:rPr>
          <w:rFonts w:cs="Times New Roman"/>
          <w:szCs w:val="24"/>
        </w:rPr>
        <w:t xml:space="preserve"> rates</w:t>
      </w:r>
      <w:r w:rsidRPr="003E5113">
        <w:rPr>
          <w:rFonts w:cs="Times New Roman"/>
          <w:szCs w:val="24"/>
        </w:rPr>
        <w:t xml:space="preserve"> of DR in patients with type 2 diabetes. Since fenofibrate is weakly potent,</w:t>
      </w:r>
      <w:r>
        <w:rPr>
          <w:rFonts w:cs="Times New Roman"/>
          <w:szCs w:val="24"/>
        </w:rPr>
        <w:fldChar w:fldCharType="begin"/>
      </w:r>
      <w:r w:rsidR="00446AFD">
        <w:rPr>
          <w:rFonts w:cs="Times New Roman"/>
          <w:szCs w:val="24"/>
        </w:rPr>
        <w:instrText xml:space="preserve"> ADDIN ZOTERO_ITEM CSL_CITATION {"citationID":"mXQKgazQ","properties":{"formattedCitation":"\\super 79\\nosupersub{}","plainCitation":"79","noteIndex":0},"citationItems":[{"id":675,"uris":["http://zotero.org/users/6503767/items/L99TA6A5"],"itemData":{"id":675,"type":"article-journal","abstract":"The drug fenofibrate has received major attention as a novel medical treatment for diabetic retinopathy (DR) and other diabetes-induced microvascular complications. This interest stems from two recent large, well-designed clinical trials that demonstrated large reductions in the progression of DR and the need for laser intervention, in addition to a reduction in renal and neurological outcomes, in patients with type 2 diabetes. In both trials, the greatest benefit on DR progression was observed in those patients with DR at baseline. Originally considered a lipid-modifying drug, it now appears that multiple mechanisms may underpin the benefit of fenofibrate on diabetic microvascular end points. Fenofibrate regulates the expression of many different genes, with a range of beneficial effects on lipid control, inflammation, angiogenesis, and cell apoptosis. These factors are believed to be important in the development of DR regardless of the underlying diabetes etiology. Cell experiments have demonstrated improved survival of retinal endothelial and pigment epithelial cells in conjunction with reduced stress signaling under diabetic conditions. Further, fenofibrate improves retinal outcomes in rodent models of diabetes and retinal neovascularization. Given the results of these preclinical studies, further clinical trials are needed to establish the benefits of fenofibrate in other forms of diabetes, including type 1 diabetes. In DR management, fenofibrate could be a useful adjunctive treatment to modifiable risk factor control and regular ophthalmic review. Its incorporation into clinical practice should be continually revised as more information becomes available.","container-title":"Diabetes","DOI":"10.2337/db13-0800","ISSN":"0012-1797, 1939-327X","issue":"12","language":"en","page":"3968-3975","source":"DOI.org (Crossref)","title":"An Update on the Molecular Actions of Fenofibrate and Its Clinical Effects on Diabetic Retinopathy and Other Microvascular End Points in Patients With Diabetes","volume":"62","author":[{"family":"Noonan","given":"Jonathan E."},{"family":"Jenkins","given":"Alicia J."},{"family":"Ma","given":"Jian-Xing"},{"family":"Keech","given":"Anthony C."},{"family":"Wang","given":"Jie Jin"},{"family":"Lamoureux","given":"Ecosse L."}],"issued":{"date-parts":[["2013",12,1]]}}}],"schema":"https://github.com/citation-style-language/schema/raw/master/csl-citation.json"} </w:instrText>
      </w:r>
      <w:r>
        <w:rPr>
          <w:rFonts w:cs="Times New Roman"/>
          <w:szCs w:val="24"/>
        </w:rPr>
        <w:fldChar w:fldCharType="separate"/>
      </w:r>
      <w:r w:rsidR="00446AFD" w:rsidRPr="00446AFD">
        <w:rPr>
          <w:rFonts w:cs="Times New Roman"/>
          <w:szCs w:val="24"/>
          <w:vertAlign w:val="superscript"/>
        </w:rPr>
        <w:t>79</w:t>
      </w:r>
      <w:r>
        <w:rPr>
          <w:rFonts w:cs="Times New Roman"/>
          <w:szCs w:val="24"/>
        </w:rPr>
        <w:fldChar w:fldCharType="end"/>
      </w:r>
      <w:r w:rsidRPr="003E5113">
        <w:rPr>
          <w:rFonts w:cs="Times New Roman"/>
          <w:szCs w:val="24"/>
        </w:rPr>
        <w:t xml:space="preserve"> only shows modest selectivity for PPARα over other PPAR subtypes</w:t>
      </w:r>
      <w:r>
        <w:rPr>
          <w:rFonts w:cs="Times New Roman"/>
          <w:szCs w:val="24"/>
        </w:rPr>
        <w:t>,</w:t>
      </w:r>
      <w:r>
        <w:rPr>
          <w:rFonts w:cs="Times New Roman"/>
          <w:szCs w:val="24"/>
        </w:rPr>
        <w:fldChar w:fldCharType="begin"/>
      </w:r>
      <w:r w:rsidR="00446AFD">
        <w:rPr>
          <w:rFonts w:cs="Times New Roman"/>
          <w:szCs w:val="24"/>
        </w:rPr>
        <w:instrText xml:space="preserve"> ADDIN ZOTERO_ITEM CSL_CITATION {"citationID":"xt5L8Dqz","properties":{"formattedCitation":"\\super 80\\nosupersub{}","plainCitation":"80","noteIndex":0},"citationItems":[{"id":672,"uris":["http://zotero.org/users/6503767/items/3JNDSUMT"],"itemData":{"id":672,"type":"article-journal","abstract":"Dyslipidemia is a major risk factor for cardiovascular (CV) disease – the primary cause of death, worldwide. Although reducing levels of low-density lipoprotein-cholesterol can significantly reduce CV risk, a high level of residual risk persists, especially in people with obesity-related conditions, such as metabolic syndrome and type 2 diabetes mellitus. Peroxisome proliferator-activated receptor alpha- (PPARα-) agonists (e.g. fibrates), play a central role in the reduction of macro- and microvascular risk in these patients. However, the currently available fibrates are weak (PPARα-agonists) with limited efficacy due to dose-related adverse effects. To address this problem, a new generation of highly potent and selective PPARα-modulators (SPPARMα) is being developed that separate the benefits of the PPARα-agonists from their unwanted side effects. Among these, aleglitazar (a dual PPARα/γ agonist) and GFT505 (a dual PPAR α/δ agonist) have recently entered late-phase development. Although both compounds are more potent PPARα-activators than fenofibrate in vitro, only aleglitezar is more effective in lowering triglycerides and raising high-density lipoprotein-cholesterol (HDL-C) in humans. However, it is also associated with a potential risk of adverse effects. More recently, a highly potent, specific PPARα-agonist (K-877) has emerged with SPPARMα characteristics. Compared to fenofibrate, K-877 has more potent PPARα-activating efficacy in vitro, greater effects on triglycerides- and HDL-C levels in humans, and a reduced risk of adverse effects. If successful, K-877 has the potential to supersede the fibrates as the treatment of choice for patients with residual CV risk associated with metabolic syndrome and type 2 diabetes.","container-title":"Cardiovascular Diabetology","DOI":"10.1186/1475-2840-12-82","ISSN":"1475-2840","journalAbbreviation":"Cardiovasc Diabetol","note":"PMID: 23721199\nPMCID: PMC3682868","page":"82","source":"PubMed Central","title":"Selective peroxisome proliferator-activated receptorα modulators (SPPARMα): The next generation of peroxisome proliferator-activated receptor α-agonists","title-short":"Selective peroxisome proliferator-activated receptorα modulators (SPPARMα)","volume":"12","author":[{"family":"Fruchart","given":"Jean-Charles"}],"issued":{"date-parts":[["2013",5,31]]}}}],"schema":"https://github.com/citation-style-language/schema/raw/master/csl-citation.json"} </w:instrText>
      </w:r>
      <w:r>
        <w:rPr>
          <w:rFonts w:cs="Times New Roman"/>
          <w:szCs w:val="24"/>
        </w:rPr>
        <w:fldChar w:fldCharType="separate"/>
      </w:r>
      <w:r w:rsidR="00446AFD" w:rsidRPr="00446AFD">
        <w:rPr>
          <w:rFonts w:cs="Times New Roman"/>
          <w:szCs w:val="24"/>
          <w:vertAlign w:val="superscript"/>
        </w:rPr>
        <w:t>80</w:t>
      </w:r>
      <w:r>
        <w:rPr>
          <w:rFonts w:cs="Times New Roman"/>
          <w:szCs w:val="24"/>
        </w:rPr>
        <w:fldChar w:fldCharType="end"/>
      </w:r>
      <w:r w:rsidRPr="003E5113">
        <w:rPr>
          <w:rFonts w:cs="Times New Roman"/>
          <w:szCs w:val="24"/>
        </w:rPr>
        <w:t xml:space="preserve"> and has </w:t>
      </w:r>
      <w:r>
        <w:rPr>
          <w:rFonts w:cs="Times New Roman"/>
          <w:szCs w:val="24"/>
        </w:rPr>
        <w:t xml:space="preserve">dose-limiting </w:t>
      </w:r>
      <w:r w:rsidRPr="003E5113">
        <w:rPr>
          <w:rFonts w:cs="Times New Roman"/>
          <w:szCs w:val="24"/>
        </w:rPr>
        <w:t xml:space="preserve"> adverse effects such as hepatotoxicity and renal failure,</w:t>
      </w:r>
      <w:r>
        <w:rPr>
          <w:rFonts w:cs="Times New Roman"/>
          <w:szCs w:val="24"/>
        </w:rPr>
        <w:fldChar w:fldCharType="begin"/>
      </w:r>
      <w:r w:rsidR="00446AFD">
        <w:rPr>
          <w:rFonts w:cs="Times New Roman"/>
          <w:szCs w:val="24"/>
        </w:rPr>
        <w:instrText xml:space="preserve"> ADDIN ZOTERO_ITEM CSL_CITATION {"citationID":"5lAajACU","properties":{"formattedCitation":"\\super 81\\nosupersub{}","plainCitation":"81","noteIndex":0},"citationItems":[{"id":669,"uris":["http://zotero.org/users/6503767/items/FQ6LTUTE"],"itemData":{"id":669,"type":"article-journal","abstract":"Diabetic retinopathy, a common and sight-threatening microvascular complication of diabetes mellitus, is a leading cause of blindness among working-aged adults. Medical therapies including intensive control of hyperglycemia and hypertension have been shown to reduce the incidence and progression of diabetic retinopathy. The association of dyslipidemia and treatment with statins with diabetic retinopathy is inconsistent in epidemiologic studies. However, two recent randomized clinical trials have demonstrated beneficial effects of systemic fenofibrate therapy in reducing the progression of diabetic retinopathy independently of serum lipid levels. These findings suggest that fenofibrate may be an effective strategy for reducing the progression of diabetic retinopathy, thus reducing the large and growing public health burden of treating the sight-threatening complications of diabetic retinopathy.","container-title":"Current Diabetes Reports","DOI":"10.1007/s11892-016-0786-7","ISSN":"1539-0829","issue":"10","journalAbbreviation":"Curr Diab Rep","language":"eng","note":"PMID: 27525681\nPMCID: PMC8323449","page":"90","source":"PubMed","title":"Fenofibrate and Diabetic Retinopathy","volume":"16","author":[{"family":"Knickelbein","given":"Jared E."},{"family":"Abbott","given":"Akshar B."},{"family":"Chew","given":"Emily Y."}],"issued":{"date-parts":[["2016",10]]}}}],"schema":"https://github.com/citation-style-language/schema/raw/master/csl-citation.json"} </w:instrText>
      </w:r>
      <w:r>
        <w:rPr>
          <w:rFonts w:cs="Times New Roman"/>
          <w:szCs w:val="24"/>
        </w:rPr>
        <w:fldChar w:fldCharType="separate"/>
      </w:r>
      <w:r w:rsidR="00446AFD" w:rsidRPr="00446AFD">
        <w:rPr>
          <w:rFonts w:cs="Times New Roman"/>
          <w:szCs w:val="24"/>
          <w:vertAlign w:val="superscript"/>
        </w:rPr>
        <w:t>81</w:t>
      </w:r>
      <w:r>
        <w:rPr>
          <w:rFonts w:cs="Times New Roman"/>
          <w:szCs w:val="24"/>
        </w:rPr>
        <w:fldChar w:fldCharType="end"/>
      </w:r>
      <w:r w:rsidRPr="003E5113">
        <w:rPr>
          <w:rFonts w:cs="Times New Roman"/>
          <w:szCs w:val="24"/>
        </w:rPr>
        <w:t xml:space="preserve"> novel PPARα agonists </w:t>
      </w:r>
      <w:r>
        <w:rPr>
          <w:rFonts w:cs="Times New Roman"/>
          <w:szCs w:val="24"/>
        </w:rPr>
        <w:t>are desired to allow the continued</w:t>
      </w:r>
      <w:r w:rsidRPr="003E5113">
        <w:rPr>
          <w:rFonts w:cs="Times New Roman"/>
          <w:szCs w:val="24"/>
        </w:rPr>
        <w:t xml:space="preserve"> develop</w:t>
      </w:r>
      <w:r>
        <w:rPr>
          <w:rFonts w:cs="Times New Roman"/>
          <w:szCs w:val="24"/>
        </w:rPr>
        <w:t>ment and clinical exploitation of PPAR</w:t>
      </w:r>
      <w:r w:rsidRPr="003E5113">
        <w:rPr>
          <w:rFonts w:cs="Times New Roman"/>
          <w:szCs w:val="24"/>
        </w:rPr>
        <w:t xml:space="preserve">α </w:t>
      </w:r>
      <w:r>
        <w:rPr>
          <w:rFonts w:cs="Times New Roman"/>
          <w:szCs w:val="24"/>
        </w:rPr>
        <w:t>agonism for the treatment of DR</w:t>
      </w:r>
      <w:r w:rsidRPr="003E5113">
        <w:rPr>
          <w:rFonts w:cs="Times New Roman"/>
          <w:szCs w:val="24"/>
        </w:rPr>
        <w:t>.</w:t>
      </w:r>
      <w:r w:rsidR="00495C4A">
        <w:rPr>
          <w:rFonts w:cs="Times New Roman"/>
          <w:szCs w:val="24"/>
        </w:rPr>
        <w:t xml:space="preserve"> </w:t>
      </w:r>
    </w:p>
    <w:p w14:paraId="203ABC6D" w14:textId="77777777" w:rsidR="000F7094" w:rsidRPr="001814C8" w:rsidRDefault="000F7094" w:rsidP="000F7094">
      <w:pPr>
        <w:spacing w:after="0"/>
        <w:rPr>
          <w:rFonts w:cs="Times New Roman"/>
          <w:szCs w:val="24"/>
        </w:rPr>
      </w:pPr>
      <w:r w:rsidRPr="00CD7C05">
        <w:rPr>
          <w:rFonts w:cs="Times New Roman"/>
          <w:noProof/>
          <w:szCs w:val="24"/>
        </w:rPr>
        <w:lastRenderedPageBreak/>
        <mc:AlternateContent>
          <mc:Choice Requires="wps">
            <w:drawing>
              <wp:inline distT="0" distB="0" distL="0" distR="0" wp14:anchorId="49C2749D" wp14:editId="4400968F">
                <wp:extent cx="5943600" cy="5372100"/>
                <wp:effectExtent l="0" t="0" r="19050" b="19050"/>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372100"/>
                        </a:xfrm>
                        <a:prstGeom prst="rect">
                          <a:avLst/>
                        </a:prstGeom>
                        <a:solidFill>
                          <a:srgbClr val="FFFFFF"/>
                        </a:solidFill>
                        <a:ln w="9525">
                          <a:solidFill>
                            <a:srgbClr val="000000"/>
                          </a:solidFill>
                          <a:miter lim="800000"/>
                          <a:headEnd/>
                          <a:tailEnd/>
                        </a:ln>
                      </wps:spPr>
                      <wps:txbx>
                        <w:txbxContent>
                          <w:p w14:paraId="38DB39F1" w14:textId="1B82BF8B" w:rsidR="000F7094" w:rsidRDefault="00446AFD" w:rsidP="000F7094">
                            <w:pPr>
                              <w:keepNext/>
                              <w:spacing w:after="0"/>
                              <w:jc w:val="center"/>
                            </w:pPr>
                            <w:r>
                              <w:object w:dxaOrig="8359" w:dyaOrig="7672" w14:anchorId="42830ECA">
                                <v:shape id="_x0000_i1031" type="#_x0000_t75" style="width:418.45pt;height:383.85pt" o:ole="">
                                  <v:imagedata r:id="rId95" o:title=""/>
                                </v:shape>
                                <o:OLEObject Type="Embed" ProgID="ChemDraw.Document.6.0" ShapeID="_x0000_i1031" DrawAspect="Content" ObjectID="_1713353469" r:id="rId96"/>
                              </w:object>
                            </w:r>
                          </w:p>
                          <w:p w14:paraId="4D4AB53B" w14:textId="63589CDE" w:rsidR="000F7094" w:rsidRDefault="000F7094" w:rsidP="00DF51F5">
                            <w:pPr>
                              <w:pStyle w:val="Caption"/>
                            </w:pPr>
                            <w:bookmarkStart w:id="73" w:name="_Ref100742950"/>
                            <w:bookmarkStart w:id="74" w:name="_Toc100243237"/>
                            <w:bookmarkStart w:id="75" w:name="_Toc100748290"/>
                            <w:r>
                              <w:t>Figure 1.</w:t>
                            </w:r>
                            <w:fldSimple w:instr=" SEQ Figure \* ARABIC ">
                              <w:r w:rsidR="00AA5AAC">
                                <w:rPr>
                                  <w:noProof/>
                                </w:rPr>
                                <w:t>9</w:t>
                              </w:r>
                            </w:fldSimple>
                            <w:bookmarkEnd w:id="73"/>
                            <w:r>
                              <w:t>. Structures of PPAR active compounds referenced in this section.</w:t>
                            </w:r>
                            <w:bookmarkEnd w:id="74"/>
                            <w:bookmarkEnd w:id="75"/>
                            <w:r>
                              <w:t xml:space="preserve"> </w:t>
                            </w:r>
                          </w:p>
                        </w:txbxContent>
                      </wps:txbx>
                      <wps:bodyPr rot="0" vert="horz" wrap="square" lIns="91440" tIns="45720" rIns="91440" bIns="45720" anchor="t" anchorCtr="0">
                        <a:noAutofit/>
                      </wps:bodyPr>
                    </wps:wsp>
                  </a:graphicData>
                </a:graphic>
              </wp:inline>
            </w:drawing>
          </mc:Choice>
          <mc:Fallback>
            <w:pict>
              <v:shape w14:anchorId="49C2749D" id="_x0000_s1037" type="#_x0000_t202" style="width:468pt;height:4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">
                <v:textbox>
                  <w:txbxContent>
                    <w:p w14:paraId="38DB39F1" w14:textId="1B82BF8B" w:rsidR="000F7094" w:rsidRDefault="00446AFD" w:rsidP="000F7094">
                      <w:pPr>
                        <w:keepNext/>
                        <w:spacing w:after="0"/>
                        <w:jc w:val="center"/>
                      </w:pPr>
                      <w:r>
                        <w:object w:dxaOrig="8359" w:dyaOrig="7672" w14:anchorId="42830ECA">
                          <v:shape id="_x0000_i1031" type="#_x0000_t75" style="width:418.45pt;height:383.85pt" o:ole="">
                            <v:imagedata r:id="rId95" o:title=""/>
                          </v:shape>
                          <o:OLEObject Type="Embed" ProgID="ChemDraw.Document.6.0" ShapeID="_x0000_i1031" DrawAspect="Content" ObjectID="_1713353469" r:id="rId97"/>
                        </w:object>
                      </w:r>
                    </w:p>
                    <w:p w14:paraId="4D4AB53B" w14:textId="63589CDE" w:rsidR="000F7094" w:rsidRDefault="000F7094" w:rsidP="00DF51F5">
                      <w:pPr>
                        <w:pStyle w:val="Caption"/>
                      </w:pPr>
                      <w:bookmarkStart w:id="76" w:name="_Ref100742950"/>
                      <w:bookmarkStart w:id="77" w:name="_Toc100243237"/>
                      <w:bookmarkStart w:id="78" w:name="_Toc100748290"/>
                      <w:r>
                        <w:t>Figure 1.</w:t>
                      </w:r>
                      <w:fldSimple w:instr=" SEQ Figure \* ARABIC ">
                        <w:r w:rsidR="00AA5AAC">
                          <w:rPr>
                            <w:noProof/>
                          </w:rPr>
                          <w:t>9</w:t>
                        </w:r>
                      </w:fldSimple>
                      <w:bookmarkEnd w:id="76"/>
                      <w:r>
                        <w:t>. Structures of PPAR active compounds referenced in this section.</w:t>
                      </w:r>
                      <w:bookmarkEnd w:id="77"/>
                      <w:bookmarkEnd w:id="78"/>
                      <w:r>
                        <w:t xml:space="preserve"> </w:t>
                      </w:r>
                    </w:p>
                  </w:txbxContent>
                </v:textbox>
                <w10:anchorlock/>
              </v:shape>
            </w:pict>
          </mc:Fallback>
        </mc:AlternateContent>
      </w:r>
    </w:p>
    <w:p w14:paraId="661DF4FD" w14:textId="5B25B2D5" w:rsidR="00A137E8" w:rsidRDefault="000F7094" w:rsidP="000F7094">
      <w:pPr>
        <w:spacing w:after="0"/>
        <w:ind w:firstLine="720"/>
        <w:rPr>
          <w:rFonts w:cs="Times New Roman"/>
          <w:szCs w:val="24"/>
        </w:rPr>
      </w:pPr>
      <w:r>
        <w:rPr>
          <w:rFonts w:cs="Times New Roman"/>
          <w:szCs w:val="24"/>
        </w:rPr>
        <w:t>Several compounds are currently in the pipeline for PPAR-targeting drugs (representative structures in</w:t>
      </w:r>
      <w:r w:rsidR="00BB2970">
        <w:rPr>
          <w:rFonts w:cs="Times New Roman"/>
          <w:b/>
          <w:bCs/>
          <w:szCs w:val="24"/>
        </w:rPr>
        <w:t xml:space="preserve"> </w:t>
      </w:r>
      <w:r w:rsidR="00BB2970" w:rsidRPr="00BB2970">
        <w:rPr>
          <w:rFonts w:cs="Times New Roman"/>
          <w:b/>
          <w:bCs/>
          <w:szCs w:val="24"/>
        </w:rPr>
        <w:fldChar w:fldCharType="begin"/>
      </w:r>
      <w:r w:rsidR="00BB2970" w:rsidRPr="00BB2970">
        <w:rPr>
          <w:rFonts w:cs="Times New Roman"/>
          <w:b/>
          <w:bCs/>
          <w:szCs w:val="24"/>
        </w:rPr>
        <w:instrText xml:space="preserve"> REF _Ref100742950 \h  \* MERGEFORMAT </w:instrText>
      </w:r>
      <w:r w:rsidR="00BB2970" w:rsidRPr="00BB2970">
        <w:rPr>
          <w:rFonts w:cs="Times New Roman"/>
          <w:b/>
          <w:bCs/>
          <w:szCs w:val="24"/>
        </w:rPr>
      </w:r>
      <w:r w:rsidR="00BB2970" w:rsidRPr="00BB2970">
        <w:rPr>
          <w:rFonts w:cs="Times New Roman"/>
          <w:b/>
          <w:bCs/>
          <w:szCs w:val="24"/>
        </w:rPr>
        <w:fldChar w:fldCharType="separate"/>
      </w:r>
      <w:r w:rsidR="00AA5AAC" w:rsidRPr="00AA5AAC">
        <w:rPr>
          <w:b/>
          <w:bCs/>
        </w:rPr>
        <w:t>Figure 1.9</w:t>
      </w:r>
      <w:r w:rsidR="00BB2970" w:rsidRPr="00BB2970">
        <w:rPr>
          <w:rFonts w:cs="Times New Roman"/>
          <w:b/>
          <w:bCs/>
          <w:szCs w:val="24"/>
        </w:rPr>
        <w:fldChar w:fldCharType="end"/>
      </w:r>
      <w:r>
        <w:rPr>
          <w:rFonts w:cs="Times New Roman"/>
          <w:szCs w:val="24"/>
        </w:rPr>
        <w:t xml:space="preserve">). The major challenge presented by the search for PPARα agonists is subtype selectivity. Fortunately, the PPAR isoforms crystallize well and the existence of several apo and ligand bound structures provides tools for structure-based design. Several groups have since demonstrated the capability of selectively targeting specific PPAR isoforms, and select examples are featured in </w:t>
      </w:r>
      <w:r w:rsidR="00BB2970" w:rsidRPr="00BB2970">
        <w:rPr>
          <w:rFonts w:cs="Times New Roman"/>
          <w:b/>
          <w:bCs/>
          <w:szCs w:val="24"/>
        </w:rPr>
        <w:fldChar w:fldCharType="begin"/>
      </w:r>
      <w:r w:rsidR="00BB2970" w:rsidRPr="00BB2970">
        <w:rPr>
          <w:rFonts w:cs="Times New Roman"/>
          <w:b/>
          <w:bCs/>
          <w:szCs w:val="24"/>
        </w:rPr>
        <w:instrText xml:space="preserve"> REF _Ref100743003 \h </w:instrText>
      </w:r>
      <w:r w:rsidR="00BB2970">
        <w:rPr>
          <w:rFonts w:cs="Times New Roman"/>
          <w:b/>
          <w:bCs/>
          <w:szCs w:val="24"/>
        </w:rPr>
        <w:instrText xml:space="preserve"> \* MERGEFORMAT </w:instrText>
      </w:r>
      <w:r w:rsidR="00BB2970" w:rsidRPr="00BB2970">
        <w:rPr>
          <w:rFonts w:cs="Times New Roman"/>
          <w:b/>
          <w:bCs/>
          <w:szCs w:val="24"/>
        </w:rPr>
      </w:r>
      <w:r w:rsidR="00BB2970" w:rsidRPr="00BB2970">
        <w:rPr>
          <w:rFonts w:cs="Times New Roman"/>
          <w:b/>
          <w:bCs/>
          <w:szCs w:val="24"/>
        </w:rPr>
        <w:fldChar w:fldCharType="separate"/>
      </w:r>
      <w:r w:rsidR="00AA5AAC" w:rsidRPr="00AA5AAC">
        <w:rPr>
          <w:b/>
          <w:bCs/>
        </w:rPr>
        <w:t>Table 1.2</w:t>
      </w:r>
      <w:r w:rsidR="00BB2970" w:rsidRPr="00BB2970">
        <w:rPr>
          <w:rFonts w:cs="Times New Roman"/>
          <w:b/>
          <w:bCs/>
          <w:szCs w:val="24"/>
        </w:rPr>
        <w:fldChar w:fldCharType="end"/>
      </w:r>
      <w:r>
        <w:rPr>
          <w:rFonts w:cs="Times New Roman"/>
          <w:szCs w:val="24"/>
        </w:rPr>
        <w:t>. GW409544 is a good example of a non-selective PPARα agonist (EC</w:t>
      </w:r>
      <w:r w:rsidRPr="006D712A">
        <w:rPr>
          <w:rFonts w:cs="Times New Roman"/>
          <w:szCs w:val="24"/>
          <w:vertAlign w:val="subscript"/>
        </w:rPr>
        <w:t>50</w:t>
      </w:r>
      <w:r>
        <w:rPr>
          <w:rFonts w:cs="Times New Roman"/>
          <w:szCs w:val="24"/>
        </w:rPr>
        <w:t xml:space="preserve"> = 2.3 </w:t>
      </w:r>
      <w:proofErr w:type="spellStart"/>
      <w:r>
        <w:rPr>
          <w:rFonts w:cs="Times New Roman"/>
          <w:szCs w:val="24"/>
        </w:rPr>
        <w:t>nM</w:t>
      </w:r>
      <w:proofErr w:type="spellEnd"/>
      <w:r>
        <w:rPr>
          <w:rFonts w:cs="Times New Roman"/>
          <w:szCs w:val="24"/>
        </w:rPr>
        <w:t xml:space="preserve">) because of its shared affinity for </w:t>
      </w:r>
      <w:proofErr w:type="spellStart"/>
      <w:r>
        <w:rPr>
          <w:rFonts w:cs="Times New Roman"/>
          <w:szCs w:val="24"/>
        </w:rPr>
        <w:t>PPARγ</w:t>
      </w:r>
      <w:proofErr w:type="spellEnd"/>
      <w:r>
        <w:rPr>
          <w:rFonts w:cs="Times New Roman"/>
          <w:szCs w:val="24"/>
        </w:rPr>
        <w:t xml:space="preserve"> (EC</w:t>
      </w:r>
      <w:r w:rsidRPr="006D712A">
        <w:rPr>
          <w:rFonts w:cs="Times New Roman"/>
          <w:szCs w:val="24"/>
          <w:vertAlign w:val="subscript"/>
        </w:rPr>
        <w:t>50</w:t>
      </w:r>
      <w:r>
        <w:rPr>
          <w:rFonts w:cs="Times New Roman"/>
          <w:szCs w:val="24"/>
        </w:rPr>
        <w:t xml:space="preserve"> = 0.28 </w:t>
      </w:r>
      <w:proofErr w:type="spellStart"/>
      <w:r>
        <w:rPr>
          <w:rFonts w:cs="Times New Roman"/>
          <w:szCs w:val="24"/>
        </w:rPr>
        <w:t>nM</w:t>
      </w:r>
      <w:proofErr w:type="spellEnd"/>
      <w:r>
        <w:rPr>
          <w:rFonts w:cs="Times New Roman"/>
          <w:szCs w:val="24"/>
        </w:rPr>
        <w:t>) as well.</w:t>
      </w:r>
      <w:r>
        <w:rPr>
          <w:rFonts w:cs="Times New Roman"/>
          <w:szCs w:val="24"/>
        </w:rPr>
        <w:fldChar w:fldCharType="begin"/>
      </w:r>
      <w:r w:rsidR="00446AFD">
        <w:rPr>
          <w:rFonts w:cs="Times New Roman"/>
          <w:szCs w:val="24"/>
        </w:rPr>
        <w:instrText xml:space="preserve"> ADDIN ZOTERO_ITEM CSL_CITATION {"citationID":"5KbiaGnb","properties":{"formattedCitation":"\\super 82\\nosupersub{}","plainCitation":"82","noteIndex":0},"citationItems":[{"id":617,"uris":["http://zotero.org/users/6503767/items/6WIPRG2V"],"itemData":{"id":617,"type":"article-journal","container-title":"Proceedings of the National Academy of Sciences","DOI":"10.1073/pnas.241410198","ISSN":"0027-8424, 1091-6490","issue":"24","journalAbbreviation":"Proceedings of the National Academy of Sciences","language":"en","page":"13919-13924","source":"DOI.org (Crossref)","title":"Structural determinants of ligand binding selectivity between the peroxisome proliferator-activated receptors","volume":"98","author":[{"family":"Xu","given":"H. E."},{"family":"Lambert","given":"M. H."},{"family":"Montana","given":"V. G."},{"family":"Plunket","given":"K. D."},{"family":"Moore","given":"L. B."},{"family":"Collins","given":"J. L."},{"family":"Oplinger","given":"J. A."},{"family":"Kliewer","given":"S. A."},{"family":"Gampe","given":"R. T."},{"family":"McKee","given":"D. D."},{"family":"Moore","given":"J. T."},{"family":"Willson","given":"T. M."}],"issued":{"date-parts":[["2001",11,20]]}}}],"schema":"https://github.com/citation-style-language/schema/raw/master/csl-citation.json"} </w:instrText>
      </w:r>
      <w:r>
        <w:rPr>
          <w:rFonts w:cs="Times New Roman"/>
          <w:szCs w:val="24"/>
        </w:rPr>
        <w:fldChar w:fldCharType="separate"/>
      </w:r>
      <w:r w:rsidR="00446AFD" w:rsidRPr="00446AFD">
        <w:rPr>
          <w:rFonts w:cs="Times New Roman"/>
          <w:szCs w:val="24"/>
          <w:vertAlign w:val="superscript"/>
        </w:rPr>
        <w:t>82</w:t>
      </w:r>
      <w:r>
        <w:rPr>
          <w:rFonts w:cs="Times New Roman"/>
          <w:szCs w:val="24"/>
        </w:rPr>
        <w:fldChar w:fldCharType="end"/>
      </w:r>
      <w:r>
        <w:rPr>
          <w:rFonts w:cs="Times New Roman"/>
          <w:szCs w:val="24"/>
        </w:rPr>
        <w:t xml:space="preserve"> In contrast, GW501516 exhibits exclusive subtype selectivity for </w:t>
      </w:r>
      <w:proofErr w:type="spellStart"/>
      <w:r>
        <w:rPr>
          <w:rFonts w:cs="Times New Roman"/>
          <w:szCs w:val="24"/>
        </w:rPr>
        <w:t>PPARδ</w:t>
      </w:r>
      <w:proofErr w:type="spellEnd"/>
      <w:r>
        <w:rPr>
          <w:rFonts w:cs="Times New Roman"/>
          <w:szCs w:val="24"/>
        </w:rPr>
        <w:t xml:space="preserve"> agonism (EC</w:t>
      </w:r>
      <w:r w:rsidRPr="006D712A">
        <w:rPr>
          <w:rFonts w:cs="Times New Roman"/>
          <w:szCs w:val="24"/>
          <w:vertAlign w:val="subscript"/>
        </w:rPr>
        <w:t>50</w:t>
      </w:r>
      <w:r>
        <w:rPr>
          <w:rFonts w:cs="Times New Roman"/>
          <w:szCs w:val="24"/>
        </w:rPr>
        <w:t xml:space="preserve"> = 24 </w:t>
      </w:r>
      <w:proofErr w:type="spellStart"/>
      <w:r>
        <w:rPr>
          <w:rFonts w:cs="Times New Roman"/>
          <w:szCs w:val="24"/>
        </w:rPr>
        <w:t>nM</w:t>
      </w:r>
      <w:proofErr w:type="spellEnd"/>
      <w:r>
        <w:rPr>
          <w:rFonts w:cs="Times New Roman"/>
          <w:szCs w:val="24"/>
        </w:rPr>
        <w:t>).</w:t>
      </w:r>
      <w:r>
        <w:rPr>
          <w:rFonts w:cs="Times New Roman"/>
          <w:szCs w:val="24"/>
        </w:rPr>
        <w:fldChar w:fldCharType="begin"/>
      </w:r>
      <w:r w:rsidR="00446AFD">
        <w:rPr>
          <w:rFonts w:cs="Times New Roman"/>
          <w:szCs w:val="24"/>
        </w:rPr>
        <w:instrText xml:space="preserve"> ADDIN ZOTERO_ITEM CSL_CITATION {"citationID":"hA8EWgGx","properties":{"formattedCitation":"\\super 83\\nosupersub{}","plainCitation":"83","noteIndex":0},"citationItems":[{"id":624,"uris":["http://zotero.org/users/6503767/items/XDPSNNGT"],"itemData":{"id":624,"type":"article-journal","abstract":"The peroxisome proliferator-activated receptors (PPARs) are dietary\n lipid sensors that regulate fatty acid and carbohydrate metabolism. The\n hypolipidemic effects of the fibrate drugs and the antidiabetic effects\n of the glitazone drugs in humans are due to activation of the α\n (NR1C1) and γ (NR1C3) subtypes, respectively. By contrast, the\n therapeutic potential of the δ (NR1C2) subtype is unknown, due in\n part to the lack of selective ligands. We have used combinatorial\n chemistry and structure-based drug design to develop a potent and\n subtype-selective PPARδ agonist, GW501516. In macrophages,\n fibroblasts, and intestinal cells, GW501516 increases expression of the\n reverse cholesterol transporter ATP-binding cassette A1 and induces\n apolipoprotein A1-specific cholesterol efflux. When dosed to\n insulin-resistant middle-aged obese rhesus monkeys, GW501516 causes a\n dramatic dose-dependent rise in serum high density lipoprotein\n cholesterol while lowering the levels of small-dense low density\n lipoprotein, fasting triglycerides, and fasting insulin. Our results\n suggest that PPARδ agonists may be effective drugs to increase\n reverse cholesterol transport and decrease cardiovascular disease\n associated with the metabolic syndrome X.","container-title":"Proceedings of the National Academy of Sciences","DOI":"10.1073/pnas.091021198","ISSN":"0027-8424, 1091-6490","issue":"9","journalAbbreviation":"Proc. Natl. Acad. Sci. U.S.A.","language":"en","page":"5306-5311","source":"DOI.org (Crossref)","title":"A selective peroxisome proliferator-activated receptor δ agonist promotes reverse cholesterol transport","volume":"98","author":[{"family":"Oliver","given":"William R."},{"family":"Shenk","given":"Jennifer L."},{"family":"Snaith","given":"Mike R."},{"family":"Russell","given":"Caroline S."},{"family":"Plunket","given":"Kelli D."},{"family":"Bodkin","given":"Noni L."},{"family":"Lewis","given":"Michael C."},{"family":"Winegar","given":"Deborah A."},{"family":"Sznaidman","given":"Marcos L."},{"family":"Lambert","given":"Millard H."},{"family":"Xu","given":"H. Eric"},{"family":"Sternbach","given":"Daniel D."},{"family":"Kliewer","given":"Steven A."},{"family":"Hansen","given":"Barbara C."},{"family":"Willson","given":"Timothy M."}],"issued":{"date-parts":[["2001",4,24]]}}}],"schema":"https://github.com/citation-style-language/schema/raw/master/csl-citation.json"} </w:instrText>
      </w:r>
      <w:r>
        <w:rPr>
          <w:rFonts w:cs="Times New Roman"/>
          <w:szCs w:val="24"/>
        </w:rPr>
        <w:fldChar w:fldCharType="separate"/>
      </w:r>
      <w:r w:rsidR="00446AFD" w:rsidRPr="00446AFD">
        <w:rPr>
          <w:rFonts w:cs="Times New Roman"/>
          <w:szCs w:val="24"/>
          <w:vertAlign w:val="superscript"/>
        </w:rPr>
        <w:t>83</w:t>
      </w:r>
      <w:r>
        <w:rPr>
          <w:rFonts w:cs="Times New Roman"/>
          <w:szCs w:val="24"/>
        </w:rPr>
        <w:fldChar w:fldCharType="end"/>
      </w:r>
      <w:r>
        <w:rPr>
          <w:rFonts w:cs="Times New Roman"/>
          <w:szCs w:val="24"/>
        </w:rPr>
        <w:t xml:space="preserve"> </w:t>
      </w:r>
    </w:p>
    <w:p w14:paraId="085B5BD2" w14:textId="4D9F310F" w:rsidR="000F7094" w:rsidRDefault="000F7094" w:rsidP="00B26382">
      <w:pPr>
        <w:spacing w:after="0"/>
        <w:ind w:firstLine="720"/>
        <w:rPr>
          <w:rFonts w:cs="Times New Roman"/>
          <w:szCs w:val="24"/>
        </w:rPr>
      </w:pPr>
      <w:r>
        <w:rPr>
          <w:rFonts w:cs="Times New Roman"/>
          <w:szCs w:val="24"/>
        </w:rPr>
        <w:lastRenderedPageBreak/>
        <w:t>Recently, our lab published the structure-guided evolution of PPARα selective agonists arising from a novel 2-phenyl-4-carboxyquinoline chemotype.</w:t>
      </w:r>
      <w:r>
        <w:rPr>
          <w:rFonts w:cs="Times New Roman"/>
          <w:szCs w:val="24"/>
        </w:rPr>
        <w:fldChar w:fldCharType="begin"/>
      </w:r>
      <w:r w:rsidR="00446AFD">
        <w:rPr>
          <w:rFonts w:cs="Times New Roman"/>
          <w:szCs w:val="24"/>
        </w:rPr>
        <w:instrText xml:space="preserve"> ADDIN ZOTERO_ITEM CSL_CITATION {"citationID":"MpaKaGOy","properties":{"formattedCitation":"\\super 84\\nosupersub{}","plainCitation":"84","noteIndex":0},"citationItems":[{"id":631,"uris":["http://zotero.org/users/6503767/items/5IR8HV3P"],"itemData":{"id":631,"type":"article-journal","container-title":"Bioorganic &amp; Medicinal Chemistry Letters","DOI":"10.1016/j.bmcl.2018.03.010","ISSN":"0960894X","issue":"16","journalAbbreviation":"Bioorganic &amp; Medicinal Chemistry Letters","language":"en","page":"2717-2722","source":"DOI.org (Crossref)","title":"Structure-guided evolution of a 2-phenyl-4-carboxyquinoline chemotype into PPARα selective agonists: New leads for oculovascular conditions","title-short":"Structure-guided evolution of a 2-phenyl-4-carboxyquinoline chemotype into PPARα selective agonists","volume":"28","author":[{"family":"Dou","given":"Xiao-Zheng"},{"family":"Nath","given":"Dinesh"},{"family":"Shin","given":"Younghwa"},{"family":"Ma","given":"Jian-Xing"},{"family":"Duerfeldt","given":"Adam S."}],"issued":{"date-parts":[["2018",9]]}}}],"schema":"https://github.com/citation-style-language/schema/raw/master/csl-citation.json"} </w:instrText>
      </w:r>
      <w:r>
        <w:rPr>
          <w:rFonts w:cs="Times New Roman"/>
          <w:szCs w:val="24"/>
        </w:rPr>
        <w:fldChar w:fldCharType="separate"/>
      </w:r>
      <w:r w:rsidR="00446AFD" w:rsidRPr="00446AFD">
        <w:rPr>
          <w:rFonts w:cs="Times New Roman"/>
          <w:szCs w:val="24"/>
          <w:vertAlign w:val="superscript"/>
        </w:rPr>
        <w:t>84</w:t>
      </w:r>
      <w:r>
        <w:rPr>
          <w:rFonts w:cs="Times New Roman"/>
          <w:szCs w:val="24"/>
        </w:rPr>
        <w:fldChar w:fldCharType="end"/>
      </w:r>
      <w:r>
        <w:rPr>
          <w:rFonts w:cs="Times New Roman"/>
          <w:szCs w:val="24"/>
        </w:rPr>
        <w:t xml:space="preserve"> Leveraging </w:t>
      </w:r>
      <w:r w:rsidRPr="00CB36A3">
        <w:rPr>
          <w:rFonts w:cs="Times New Roman"/>
          <w:i/>
          <w:iCs/>
          <w:szCs w:val="24"/>
        </w:rPr>
        <w:t>in silico</w:t>
      </w:r>
      <w:r>
        <w:rPr>
          <w:rFonts w:cs="Times New Roman"/>
          <w:szCs w:val="24"/>
        </w:rPr>
        <w:t xml:space="preserve"> methods to provide structural guidance for PPARα selectivity, the quinoline core was deconstructed to develop less rigid and more elongated compounds such as </w:t>
      </w:r>
      <w:r w:rsidR="00672B42">
        <w:rPr>
          <w:rFonts w:cs="Times New Roman"/>
          <w:szCs w:val="24"/>
        </w:rPr>
        <w:t>A22,</w:t>
      </w:r>
      <w:r w:rsidR="00672B42">
        <w:rPr>
          <w:rFonts w:cs="Times New Roman"/>
          <w:szCs w:val="24"/>
        </w:rPr>
        <w:fldChar w:fldCharType="begin"/>
      </w:r>
      <w:r w:rsidR="00672B42">
        <w:rPr>
          <w:rFonts w:cs="Times New Roman"/>
          <w:szCs w:val="24"/>
        </w:rPr>
        <w:instrText xml:space="preserve"> ADDIN ZOTERO_ITEM CSL_CITATION {"citationID":"2cUIYEu5","properties":{"formattedCitation":"\\super 84\\nosupersub{}","plainCitation":"84","noteIndex":0},"citationItems":[{"id":631,"uris":["http://zotero.org/users/6503767/items/5IR8HV3P"],"itemData":{"id":631,"type":"article-journal","container-title":"Bioorganic &amp; Medicinal Chemistry Letters","DOI":"10.1016/j.bmcl.2018.03.010","ISSN":"0960894X","issue":"16","journalAbbreviation":"Bioorganic &amp; Medicinal Chemistry Letters","language":"en","page":"2717-2722","source":"DOI.org (Crossref)","title":"Structure-guided evolution of a 2-phenyl-4-carboxyquinoline chemotype into PPARα selective agonists: New leads for oculovascular conditions","title-short":"Structure-guided evolution of a 2-phenyl-4-carboxyquinoline chemotype into PPARα selective agonists","volume":"28","author":[{"family":"Dou","given":"Xiao-Zheng"},{"family":"Nath","given":"Dinesh"},{"family":"Shin","given":"Younghwa"},{"family":"Ma","given":"Jian-Xing"},{"family":"Duerfeldt","given":"Adam S."}],"issued":{"date-parts":[["2018",9]]}}}],"schema":"https://github.com/citation-style-language/schema/raw/master/csl-citation.json"} </w:instrText>
      </w:r>
      <w:r w:rsidR="00672B42">
        <w:rPr>
          <w:rFonts w:cs="Times New Roman"/>
          <w:szCs w:val="24"/>
        </w:rPr>
        <w:fldChar w:fldCharType="separate"/>
      </w:r>
      <w:r w:rsidR="00672B42" w:rsidRPr="00672B42">
        <w:rPr>
          <w:rFonts w:cs="Times New Roman"/>
          <w:szCs w:val="24"/>
          <w:vertAlign w:val="superscript"/>
        </w:rPr>
        <w:t>84</w:t>
      </w:r>
      <w:r w:rsidR="00672B42">
        <w:rPr>
          <w:rFonts w:cs="Times New Roman"/>
          <w:szCs w:val="24"/>
        </w:rPr>
        <w:fldChar w:fldCharType="end"/>
      </w:r>
      <w:r w:rsidR="00672B42">
        <w:rPr>
          <w:rFonts w:cs="Times New Roman"/>
          <w:szCs w:val="24"/>
        </w:rPr>
        <w:t xml:space="preserve"> A91,</w:t>
      </w:r>
      <w:r w:rsidR="00672B42">
        <w:rPr>
          <w:rFonts w:cs="Times New Roman"/>
          <w:szCs w:val="24"/>
        </w:rPr>
        <w:fldChar w:fldCharType="begin"/>
      </w:r>
      <w:r w:rsidR="00672B42">
        <w:rPr>
          <w:rFonts w:cs="Times New Roman"/>
          <w:szCs w:val="24"/>
        </w:rPr>
        <w:instrText xml:space="preserve"> ADDIN ZOTERO_ITEM CSL_CITATION {"citationID":"0SLQ8DvN","properties":{"formattedCitation":"\\super 85\\nosupersub{}","plainCitation":"85","noteIndex":0},"citationItems":[{"id":969,"uris":["http://zotero.org/users/6503767/items/QHNDYDWB"],"itemData":{"id":969,"type":"article-journal","abstract":"Peroxisome proliferator-activated receptor alpha (PPARα) is expressed in retinal Müller cells, endothelial cells, and in retinal pigment epithelium, and agonism of PPARα with genetic or pharmacological tools ameliorates inflammation, vascular leakage, neurodegeneration, and neovascularization associated with retinal diseases in animal models. As such, PPARα is a promising drug target for diabetic retinopathy and age-related macular degeneration. Herein, we report proof-of-concept in vivo efficacy in an STZ-induced vascular leakage model (rat) and preliminary pharmacokinetic assessment of a first-generation lead 4a (A91). Additionally, we present the design, synthesis, and evaluation of second-generation analogs, which led to the discovery of 4u and related compounds that reach cellular potencies &lt;50 nM and exhibit &gt;2,700-fold selectivity for PPARα over other PPAR isoforms. These studies identify a pipeline of candidates positioned for detailed PK/PD and pre-clinical evaluation.,","container-title":"Journal of medicinal chemistry","DOI":"10.1021/acs.jmedchem.9b01189","ISSN":"0022-2623","issue":"6","journalAbbreviation":"J Med Chem","note":"PMID: 32096640\nPMCID: PMC7365701","page":"2854-2876","source":"PubMed Central","title":"Evolution of a 4-Benzyloxy-benzylamino Chemotype to Provide Efficacious, Potent, and Isoform Selective PPARα Agonists as Leads for Retinal Disorders","volume":"63","author":[{"family":"Dou","given":"Xiaozheng"},{"family":"Nath","given":"Dinesh"},{"family":"Shin","given":"Henry"},{"family":"Nurmemmedov","given":"Elmar"},{"family":"Bourne","given":"Philip C."},{"family":"Ma","given":"Jian-Xing"},{"family":"Duerfeldt","given":"Adam S."}],"issued":{"date-parts":[["2020",3,26]]}}}],"schema":"https://github.com/citation-style-language/schema/raw/master/csl-citation.json"} </w:instrText>
      </w:r>
      <w:r w:rsidR="00672B42">
        <w:rPr>
          <w:rFonts w:cs="Times New Roman"/>
          <w:szCs w:val="24"/>
        </w:rPr>
        <w:fldChar w:fldCharType="separate"/>
      </w:r>
      <w:r w:rsidR="00672B42" w:rsidRPr="00672B42">
        <w:rPr>
          <w:rFonts w:cs="Times New Roman"/>
          <w:szCs w:val="24"/>
          <w:vertAlign w:val="superscript"/>
        </w:rPr>
        <w:t>85</w:t>
      </w:r>
      <w:r w:rsidR="00672B42">
        <w:rPr>
          <w:rFonts w:cs="Times New Roman"/>
          <w:szCs w:val="24"/>
        </w:rPr>
        <w:fldChar w:fldCharType="end"/>
      </w:r>
      <w:r w:rsidR="00672B42">
        <w:rPr>
          <w:rFonts w:cs="Times New Roman"/>
          <w:szCs w:val="24"/>
        </w:rPr>
        <w:t xml:space="preserve"> and A190,</w:t>
      </w:r>
      <w:r w:rsidR="00672B42">
        <w:rPr>
          <w:rFonts w:cs="Times New Roman"/>
          <w:szCs w:val="24"/>
        </w:rPr>
        <w:fldChar w:fldCharType="begin"/>
      </w:r>
      <w:r w:rsidR="00672B42">
        <w:rPr>
          <w:rFonts w:cs="Times New Roman"/>
          <w:szCs w:val="24"/>
        </w:rPr>
        <w:instrText xml:space="preserve"> ADDIN ZOTERO_ITEM CSL_CITATION {"citationID":"u7orkoHN","properties":{"formattedCitation":"\\super 86\\nosupersub{}","plainCitation":"86","noteIndex":0},"citationItems":[{"id":383,"uris":["http://zotero.org/users/6503767/items/ATUDPPJA"],"itemData":{"id":383,"type":"article-journal","abstract":"Vascular-related retinal diseases dramatically impact quality of life and create a substantial burden on the healthcare system. Age-related macular degeneration, diabetic retinopathy, and retinopathy of prematurity are leading causes of irreversible blindness. In recent years, the scientific community has made great progress in understanding the pathology of these diseases and recent discoveries have identified promising new treatment strategies. Specifically, compelling biochemical and clinical evidence is arising that small-molecule modulation of peroxisome proliferator-activated receptors (PPARs) represents a promising approach to simultaneously address many of the pathological drivers of these vascular-related retinal diseases. This has excited academic and pharmaceutical researchers towards developing new and potent PPAR ligands. This review highlights recent developments in PPAR ligand discovery and discusses the downstream effects of targeting PPARs as a therapeutic approach to treating retinal vascular diseases.","container-title":"International Journal of Molecular Sciences","DOI":"10.3390/ijms21239251","issue":"23","language":"en","note":"number: 23\npublisher: Multidisciplinary Digital Publishing Institute","page":"9251","source":"www.mdpi.com","title":"Small-Molecule Modulation of PPARs for the Treatment of Prevalent Vascular Retinal Diseases","volume":"21","author":[{"family":"Dou","given":"Xiaozheng"},{"family":"Duerfeldt","given":"Adam S."}],"issued":{"date-parts":[["2020",1]]}}}],"schema":"https://github.com/citation-style-language/schema/raw/master/csl-citation.json"} </w:instrText>
      </w:r>
      <w:r w:rsidR="00672B42">
        <w:rPr>
          <w:rFonts w:cs="Times New Roman"/>
          <w:szCs w:val="24"/>
        </w:rPr>
        <w:fldChar w:fldCharType="separate"/>
      </w:r>
      <w:r w:rsidR="00672B42" w:rsidRPr="00672B42">
        <w:rPr>
          <w:rFonts w:cs="Times New Roman"/>
          <w:szCs w:val="24"/>
          <w:vertAlign w:val="superscript"/>
        </w:rPr>
        <w:t>86</w:t>
      </w:r>
      <w:r w:rsidR="00672B42">
        <w:rPr>
          <w:rFonts w:cs="Times New Roman"/>
          <w:szCs w:val="24"/>
        </w:rPr>
        <w:fldChar w:fldCharType="end"/>
      </w:r>
      <w:r w:rsidR="00672B42">
        <w:rPr>
          <w:rFonts w:cs="Times New Roman"/>
          <w:szCs w:val="24"/>
        </w:rPr>
        <w:t xml:space="preserve"> </w:t>
      </w:r>
      <w:r>
        <w:rPr>
          <w:rFonts w:cs="Times New Roman"/>
          <w:szCs w:val="24"/>
        </w:rPr>
        <w:t>while demonstrating how minor structural modifications can affect isoform selectivity</w:t>
      </w:r>
      <w:r w:rsidR="00836991">
        <w:rPr>
          <w:rFonts w:cs="Times New Roman"/>
          <w:szCs w:val="24"/>
        </w:rPr>
        <w:t xml:space="preserve">. In this chemotype, A22 incorporates the fibrate head-group and is a pan-PPAR agonist, while A190 and A91 are highly selective for PPARα. Interestingly, the methyl group in A190 </w:t>
      </w:r>
      <w:r w:rsidR="00B26382">
        <w:rPr>
          <w:rFonts w:cs="Times New Roman"/>
          <w:szCs w:val="24"/>
        </w:rPr>
        <w:t>dramatically improves binding affinity</w:t>
      </w:r>
      <w:r w:rsidR="00836991">
        <w:rPr>
          <w:rFonts w:cs="Times New Roman"/>
          <w:szCs w:val="24"/>
        </w:rPr>
        <w:t xml:space="preserve"> to PPAR</w:t>
      </w:r>
      <w:r w:rsidR="00B26382">
        <w:rPr>
          <w:rFonts w:cs="Times New Roman"/>
          <w:szCs w:val="24"/>
        </w:rPr>
        <w:t>α</w:t>
      </w:r>
      <w:r w:rsidR="00836991">
        <w:rPr>
          <w:rFonts w:cs="Times New Roman"/>
          <w:szCs w:val="24"/>
        </w:rPr>
        <w:t xml:space="preserve"> isoform</w:t>
      </w:r>
      <w:r w:rsidR="00B26382">
        <w:rPr>
          <w:rFonts w:cs="Times New Roman"/>
          <w:szCs w:val="24"/>
        </w:rPr>
        <w:t xml:space="preserve"> (~38-fold)</w:t>
      </w:r>
      <w:r w:rsidR="00836991">
        <w:rPr>
          <w:rFonts w:cs="Times New Roman"/>
          <w:szCs w:val="24"/>
        </w:rPr>
        <w:t>,</w:t>
      </w:r>
      <w:r w:rsidR="00B26382">
        <w:rPr>
          <w:rFonts w:cs="Times New Roman"/>
          <w:szCs w:val="24"/>
        </w:rPr>
        <w:fldChar w:fldCharType="begin"/>
      </w:r>
      <w:r w:rsidR="00B26382">
        <w:rPr>
          <w:rFonts w:cs="Times New Roman"/>
          <w:szCs w:val="24"/>
        </w:rPr>
        <w:instrText xml:space="preserve"> ADDIN ZOTERO_ITEM CSL_CITATION {"citationID":"K3DJsK4f","properties":{"formattedCitation":"\\super 85\\nosupersub{}","plainCitation":"85","noteIndex":0},"citationItems":[{"id":969,"uris":["http://zotero.org/users/6503767/items/QHNDYDWB"],"itemData":{"id":969,"type":"article-journal","abstract":"Peroxisome proliferator-activated receptor alpha (PPARα) is expressed in retinal Müller cells, endothelial cells, and in retinal pigment epithelium, and agonism of PPARα with genetic or pharmacological tools ameliorates inflammation, vascular leakage, neurodegeneration, and neovascularization associated with retinal diseases in animal models. As such, PPARα is a promising drug target for diabetic retinopathy and age-related macular degeneration. Herein, we report proof-of-concept in vivo efficacy in an STZ-induced vascular leakage model (rat) and preliminary pharmacokinetic assessment of a first-generation lead 4a (A91). Additionally, we present the design, synthesis, and evaluation of second-generation analogs, which led to the discovery of 4u and related compounds that reach cellular potencies &lt;50 nM and exhibit &gt;2,700-fold selectivity for PPARα over other PPAR isoforms. These studies identify a pipeline of candidates positioned for detailed PK/PD and pre-clinical evaluation.,","container-title":"Journal of medicinal chemistry","DOI":"10.1021/acs.jmedchem.9b01189","ISSN":"0022-2623","issue":"6","journalAbbreviation":"J Med Chem","note":"PMID: 32096640\nPMCID: PMC7365701","page":"2854-2876","source":"PubMed Central","title":"Evolution of a 4-Benzyloxy-benzylamino Chemotype to Provide Efficacious, Potent, and Isoform Selective PPARα Agonists as Leads for Retinal Disorders","volume":"63","author":[{"family":"Dou","given":"Xiaozheng"},{"family":"Nath","given":"Dinesh"},{"family":"Shin","given":"Henry"},{"family":"Nurmemmedov","given":"Elmar"},{"family":"Bourne","given":"Philip C."},{"family":"Ma","given":"Jian-Xing"},{"family":"Duerfeldt","given":"Adam S."}],"issued":{"date-parts":[["2020",3,26]]}}}],"schema":"https://github.com/citation-style-language/schema/raw/master/csl-citation.json"} </w:instrText>
      </w:r>
      <w:r w:rsidR="00B26382">
        <w:rPr>
          <w:rFonts w:cs="Times New Roman"/>
          <w:szCs w:val="24"/>
        </w:rPr>
        <w:fldChar w:fldCharType="separate"/>
      </w:r>
      <w:r w:rsidR="00B26382" w:rsidRPr="00B26382">
        <w:rPr>
          <w:rFonts w:cs="Times New Roman"/>
          <w:szCs w:val="24"/>
          <w:vertAlign w:val="superscript"/>
        </w:rPr>
        <w:t>85</w:t>
      </w:r>
      <w:r w:rsidR="00B26382">
        <w:rPr>
          <w:rFonts w:cs="Times New Roman"/>
          <w:szCs w:val="24"/>
        </w:rPr>
        <w:fldChar w:fldCharType="end"/>
      </w:r>
      <w:r w:rsidR="00836991">
        <w:rPr>
          <w:rFonts w:cs="Times New Roman"/>
          <w:szCs w:val="24"/>
        </w:rPr>
        <w:t xml:space="preserve"> demonstrating the “</w:t>
      </w:r>
      <w:r w:rsidR="00B26382">
        <w:rPr>
          <w:rFonts w:cs="Times New Roman"/>
          <w:szCs w:val="24"/>
        </w:rPr>
        <w:t xml:space="preserve">magic </w:t>
      </w:r>
      <w:r w:rsidR="00836991">
        <w:rPr>
          <w:rFonts w:cs="Times New Roman"/>
          <w:szCs w:val="24"/>
        </w:rPr>
        <w:t>methyl</w:t>
      </w:r>
      <w:r w:rsidR="00B26382">
        <w:rPr>
          <w:rFonts w:cs="Times New Roman"/>
          <w:szCs w:val="24"/>
        </w:rPr>
        <w:t>”</w:t>
      </w:r>
      <w:r w:rsidR="00836991">
        <w:rPr>
          <w:rFonts w:cs="Times New Roman"/>
          <w:szCs w:val="24"/>
        </w:rPr>
        <w:t xml:space="preserve"> effect</w:t>
      </w:r>
      <w:r w:rsidR="00B26382">
        <w:rPr>
          <w:rFonts w:cs="Times New Roman"/>
          <w:szCs w:val="24"/>
        </w:rPr>
        <w:t>, a phenomena in medicinal chemistry where dramatic change in affinity can be seen with the addition of a single methyl group in a very specific position.</w:t>
      </w:r>
      <w:r w:rsidR="00B26382">
        <w:rPr>
          <w:rFonts w:cs="Times New Roman"/>
          <w:szCs w:val="24"/>
        </w:rPr>
        <w:fldChar w:fldCharType="begin"/>
      </w:r>
      <w:r w:rsidR="00B26382">
        <w:rPr>
          <w:rFonts w:cs="Times New Roman"/>
          <w:szCs w:val="24"/>
        </w:rPr>
        <w:instrText xml:space="preserve"> ADDIN ZOTERO_ITEM CSL_CITATION {"citationID":"OovaO3GP","properties":{"formattedCitation":"\\super 87\\nosupersub{}","plainCitation":"87","noteIndex":0},"citationItems":[{"id":977,"uris":["http://zotero.org/users/6503767/items/U22YJC3J"],"itemData":{"id":977,"type":"article-journal","abstract":"The methyl group is one of the most commonly occurring carbon fragments in small-molecule drugs. This simplest alkyl fragment appears in more than 67 % of the top-selling drugs of 2011 and can modulate both the biological and physical properties of a molecule. This Review focuses on so-called magic methyl effects on binding potency, where the seemingly mundane change of CH to CMe improves the IC50 value of a drug candidate more than 100-fold. This discussion is followed by a survey of recent advances in synthetic chemistry that allow the direct methylation of C(sp2)H and C(sp3)H bonds. It is our hope that the relevance of the meager methyl group to drug discovery as presented herein will inspire reports on new CH methylation reactions.","container-title":"Angewandte Chemie International Edition","DOI":"10.1002/anie.201303207","ISSN":"1521-3773","issue":"47","language":"en","note":"_eprint: https://onlinelibrary.wiley.com/doi/pdf/10.1002/anie.201303207","page":"12256-12267","source":"Wiley Online Library","title":"Profound Methyl Effects in Drug Discovery and a Call for New CH Methylation Reactions","volume":"52","author":[{"family":"Schönherr","given":"Heike"},{"family":"Cernak","given":"Tim"}],"issued":{"date-parts":[["2013"]]}}}],"schema":"https://github.com/citation-style-language/schema/raw/master/csl-citation.json"} </w:instrText>
      </w:r>
      <w:r w:rsidR="00B26382">
        <w:rPr>
          <w:rFonts w:cs="Times New Roman"/>
          <w:szCs w:val="24"/>
        </w:rPr>
        <w:fldChar w:fldCharType="separate"/>
      </w:r>
      <w:r w:rsidR="00B26382" w:rsidRPr="00B26382">
        <w:rPr>
          <w:rFonts w:cs="Times New Roman"/>
          <w:szCs w:val="24"/>
          <w:vertAlign w:val="superscript"/>
        </w:rPr>
        <w:t>87</w:t>
      </w:r>
      <w:r w:rsidR="00B26382">
        <w:rPr>
          <w:rFonts w:cs="Times New Roman"/>
          <w:szCs w:val="24"/>
        </w:rPr>
        <w:fldChar w:fldCharType="end"/>
      </w:r>
      <w:r w:rsidR="00836991">
        <w:rPr>
          <w:rFonts w:cs="Times New Roman"/>
          <w:szCs w:val="24"/>
        </w:rPr>
        <w:t xml:space="preserve"> </w:t>
      </w:r>
      <w:r w:rsidR="00B26382">
        <w:rPr>
          <w:rFonts w:cs="Times New Roman"/>
          <w:szCs w:val="24"/>
        </w:rPr>
        <w:t>S</w:t>
      </w:r>
      <w:r>
        <w:rPr>
          <w:rFonts w:cs="Times New Roman"/>
          <w:szCs w:val="24"/>
        </w:rPr>
        <w:t xml:space="preserve">ee </w:t>
      </w:r>
      <w:r w:rsidR="00BB2970" w:rsidRPr="00BB2970">
        <w:rPr>
          <w:rFonts w:cs="Times New Roman"/>
          <w:b/>
          <w:bCs/>
          <w:szCs w:val="24"/>
        </w:rPr>
        <w:fldChar w:fldCharType="begin"/>
      </w:r>
      <w:r w:rsidR="00BB2970" w:rsidRPr="00BB2970">
        <w:rPr>
          <w:rFonts w:cs="Times New Roman"/>
          <w:b/>
          <w:bCs/>
          <w:szCs w:val="24"/>
        </w:rPr>
        <w:instrText xml:space="preserve"> REF _Ref100742950 \h </w:instrText>
      </w:r>
      <w:r w:rsidR="00BB2970">
        <w:rPr>
          <w:rFonts w:cs="Times New Roman"/>
          <w:b/>
          <w:bCs/>
          <w:szCs w:val="24"/>
        </w:rPr>
        <w:instrText xml:space="preserve"> \* MERGEFORMAT </w:instrText>
      </w:r>
      <w:r w:rsidR="00BB2970" w:rsidRPr="00BB2970">
        <w:rPr>
          <w:rFonts w:cs="Times New Roman"/>
          <w:b/>
          <w:bCs/>
          <w:szCs w:val="24"/>
        </w:rPr>
      </w:r>
      <w:r w:rsidR="00BB2970" w:rsidRPr="00BB2970">
        <w:rPr>
          <w:rFonts w:cs="Times New Roman"/>
          <w:b/>
          <w:bCs/>
          <w:szCs w:val="24"/>
        </w:rPr>
        <w:fldChar w:fldCharType="separate"/>
      </w:r>
      <w:r w:rsidR="00AA5AAC" w:rsidRPr="00AA5AAC">
        <w:rPr>
          <w:b/>
          <w:bCs/>
        </w:rPr>
        <w:t>Figure 1.9</w:t>
      </w:r>
      <w:r w:rsidR="00BB2970" w:rsidRPr="00BB2970">
        <w:rPr>
          <w:rFonts w:cs="Times New Roman"/>
          <w:b/>
          <w:bCs/>
          <w:szCs w:val="24"/>
        </w:rPr>
        <w:fldChar w:fldCharType="end"/>
      </w:r>
      <w:r>
        <w:rPr>
          <w:rFonts w:cs="Times New Roman"/>
          <w:szCs w:val="24"/>
        </w:rPr>
        <w:t xml:space="preserve"> and </w:t>
      </w:r>
      <w:r w:rsidR="00BB2970" w:rsidRPr="00BB2970">
        <w:rPr>
          <w:rFonts w:cs="Times New Roman"/>
          <w:b/>
          <w:bCs/>
          <w:szCs w:val="24"/>
        </w:rPr>
        <w:fldChar w:fldCharType="begin"/>
      </w:r>
      <w:r w:rsidR="00BB2970" w:rsidRPr="00BB2970">
        <w:rPr>
          <w:rFonts w:cs="Times New Roman"/>
          <w:b/>
          <w:bCs/>
          <w:szCs w:val="24"/>
        </w:rPr>
        <w:instrText xml:space="preserve"> REF _Ref100743003 \h  \* MERGEFORMAT </w:instrText>
      </w:r>
      <w:r w:rsidR="00BB2970" w:rsidRPr="00BB2970">
        <w:rPr>
          <w:rFonts w:cs="Times New Roman"/>
          <w:b/>
          <w:bCs/>
          <w:szCs w:val="24"/>
        </w:rPr>
      </w:r>
      <w:r w:rsidR="00BB2970" w:rsidRPr="00BB2970">
        <w:rPr>
          <w:rFonts w:cs="Times New Roman"/>
          <w:b/>
          <w:bCs/>
          <w:szCs w:val="24"/>
        </w:rPr>
        <w:fldChar w:fldCharType="separate"/>
      </w:r>
      <w:r w:rsidR="00AA5AAC" w:rsidRPr="00AA5AAC">
        <w:rPr>
          <w:b/>
          <w:bCs/>
        </w:rPr>
        <w:t>Table 1.2</w:t>
      </w:r>
      <w:r w:rsidR="00BB2970" w:rsidRPr="00BB2970">
        <w:rPr>
          <w:rFonts w:cs="Times New Roman"/>
          <w:b/>
          <w:bCs/>
          <w:szCs w:val="24"/>
        </w:rPr>
        <w:fldChar w:fldCharType="end"/>
      </w:r>
      <w:r w:rsidR="00BB2970">
        <w:rPr>
          <w:rFonts w:cs="Times New Roman"/>
          <w:b/>
          <w:bCs/>
          <w:szCs w:val="24"/>
        </w:rPr>
        <w:t xml:space="preserve"> </w:t>
      </w:r>
      <w:r>
        <w:rPr>
          <w:rFonts w:cs="Times New Roman"/>
          <w:szCs w:val="24"/>
        </w:rPr>
        <w:t>for structures and EC</w:t>
      </w:r>
      <w:r w:rsidRPr="00CB36A3">
        <w:rPr>
          <w:rFonts w:cs="Times New Roman"/>
          <w:szCs w:val="24"/>
          <w:vertAlign w:val="subscript"/>
        </w:rPr>
        <w:t>50</w:t>
      </w:r>
      <w:r>
        <w:rPr>
          <w:rFonts w:cs="Times New Roman"/>
          <w:szCs w:val="24"/>
        </w:rPr>
        <w:t xml:space="preserve"> values, respectively</w:t>
      </w:r>
      <w:r w:rsidR="00B26382">
        <w:rPr>
          <w:rFonts w:cs="Times New Roman"/>
          <w:szCs w:val="24"/>
        </w:rPr>
        <w:t xml:space="preserve">. </w:t>
      </w:r>
    </w:p>
    <w:p w14:paraId="33DE3FF0" w14:textId="77777777" w:rsidR="000F7094" w:rsidRDefault="000F7094" w:rsidP="000F7094">
      <w:pPr>
        <w:spacing w:after="0"/>
        <w:ind w:firstLine="720"/>
        <w:rPr>
          <w:rFonts w:cs="Times New Roman"/>
          <w:szCs w:val="24"/>
        </w:rPr>
      </w:pPr>
      <w:r>
        <w:rPr>
          <w:rFonts w:cs="Times New Roman"/>
          <w:szCs w:val="24"/>
        </w:rPr>
        <w:t xml:space="preserve"> </w:t>
      </w:r>
    </w:p>
    <w:p w14:paraId="704799F3" w14:textId="7CA1ADC0" w:rsidR="000F7094" w:rsidRDefault="000F7094" w:rsidP="00DF51F5">
      <w:pPr>
        <w:pStyle w:val="Caption"/>
      </w:pPr>
      <w:bookmarkStart w:id="79" w:name="_Ref100743003"/>
      <w:r>
        <w:t>Table 1.</w:t>
      </w:r>
      <w:fldSimple w:instr=" SEQ Table \* ARABIC ">
        <w:r w:rsidR="00AA5AAC">
          <w:rPr>
            <w:noProof/>
          </w:rPr>
          <w:t>2</w:t>
        </w:r>
      </w:fldSimple>
      <w:bookmarkEnd w:id="79"/>
      <w:r>
        <w:t xml:space="preserve">. PPAR agonism of select compounds to demonstrate isoform selectivity. </w:t>
      </w:r>
    </w:p>
    <w:tbl>
      <w:tblPr>
        <w:tblStyle w:val="TableGrid"/>
        <w:tblW w:w="9364" w:type="dxa"/>
        <w:tblLook w:val="04A0" w:firstRow="1" w:lastRow="0" w:firstColumn="1" w:lastColumn="0" w:noHBand="0" w:noVBand="1"/>
      </w:tblPr>
      <w:tblGrid>
        <w:gridCol w:w="1788"/>
        <w:gridCol w:w="1336"/>
        <w:gridCol w:w="2001"/>
        <w:gridCol w:w="2250"/>
        <w:gridCol w:w="1989"/>
      </w:tblGrid>
      <w:tr w:rsidR="000F7094" w14:paraId="2A9528EF" w14:textId="77777777" w:rsidTr="00BC71AD">
        <w:trPr>
          <w:trHeight w:val="265"/>
        </w:trPr>
        <w:tc>
          <w:tcPr>
            <w:tcW w:w="1788" w:type="dxa"/>
            <w:vMerge w:val="restart"/>
            <w:vAlign w:val="bottom"/>
          </w:tcPr>
          <w:p w14:paraId="05E9EF39" w14:textId="77777777" w:rsidR="000F7094" w:rsidRPr="00AE31BE" w:rsidRDefault="000F7094" w:rsidP="00BC71AD">
            <w:pPr>
              <w:spacing w:line="240" w:lineRule="auto"/>
              <w:jc w:val="left"/>
              <w:rPr>
                <w:rFonts w:cs="Times New Roman"/>
                <w:szCs w:val="24"/>
              </w:rPr>
            </w:pPr>
            <w:r w:rsidRPr="00AE31BE">
              <w:rPr>
                <w:rFonts w:cs="Times New Roman"/>
                <w:szCs w:val="24"/>
              </w:rPr>
              <w:t>Compound</w:t>
            </w:r>
          </w:p>
        </w:tc>
        <w:tc>
          <w:tcPr>
            <w:tcW w:w="1336" w:type="dxa"/>
            <w:vMerge w:val="restart"/>
            <w:vAlign w:val="bottom"/>
          </w:tcPr>
          <w:p w14:paraId="7A8B1F91" w14:textId="77777777" w:rsidR="000F7094" w:rsidRPr="00AE31BE" w:rsidRDefault="000F7094" w:rsidP="00BC71AD">
            <w:pPr>
              <w:spacing w:line="240" w:lineRule="auto"/>
              <w:jc w:val="left"/>
              <w:rPr>
                <w:rFonts w:cs="Times New Roman"/>
                <w:szCs w:val="24"/>
              </w:rPr>
            </w:pPr>
            <w:r w:rsidRPr="00AE31BE">
              <w:rPr>
                <w:rFonts w:cs="Times New Roman"/>
                <w:szCs w:val="24"/>
              </w:rPr>
              <w:t>Experiment</w:t>
            </w:r>
          </w:p>
        </w:tc>
        <w:tc>
          <w:tcPr>
            <w:tcW w:w="6240" w:type="dxa"/>
            <w:gridSpan w:val="3"/>
          </w:tcPr>
          <w:p w14:paraId="4646F0EA" w14:textId="77777777" w:rsidR="000F7094" w:rsidRPr="00AE31BE" w:rsidRDefault="000F7094" w:rsidP="00BC71AD">
            <w:pPr>
              <w:spacing w:line="240" w:lineRule="auto"/>
              <w:jc w:val="center"/>
              <w:rPr>
                <w:rFonts w:cs="Times New Roman"/>
                <w:szCs w:val="24"/>
              </w:rPr>
            </w:pPr>
            <w:r w:rsidRPr="00AE31BE">
              <w:rPr>
                <w:rFonts w:cs="Times New Roman"/>
                <w:szCs w:val="24"/>
              </w:rPr>
              <w:t>EC</w:t>
            </w:r>
            <w:r w:rsidRPr="005B0ED2">
              <w:rPr>
                <w:rFonts w:cs="Times New Roman"/>
                <w:szCs w:val="24"/>
                <w:vertAlign w:val="subscript"/>
              </w:rPr>
              <w:t>50</w:t>
            </w:r>
          </w:p>
        </w:tc>
      </w:tr>
      <w:tr w:rsidR="000F7094" w14:paraId="3C2D147A" w14:textId="77777777" w:rsidTr="00BC71AD">
        <w:trPr>
          <w:trHeight w:val="277"/>
        </w:trPr>
        <w:tc>
          <w:tcPr>
            <w:tcW w:w="1788" w:type="dxa"/>
            <w:vMerge/>
          </w:tcPr>
          <w:p w14:paraId="37503031" w14:textId="77777777" w:rsidR="000F7094" w:rsidRPr="00AE31BE" w:rsidRDefault="000F7094" w:rsidP="00BC71AD">
            <w:pPr>
              <w:spacing w:line="240" w:lineRule="auto"/>
              <w:rPr>
                <w:rFonts w:cs="Times New Roman"/>
                <w:szCs w:val="24"/>
              </w:rPr>
            </w:pPr>
          </w:p>
        </w:tc>
        <w:tc>
          <w:tcPr>
            <w:tcW w:w="1336" w:type="dxa"/>
            <w:vMerge/>
          </w:tcPr>
          <w:p w14:paraId="1A5599B3" w14:textId="77777777" w:rsidR="000F7094" w:rsidRPr="00AE31BE" w:rsidRDefault="000F7094" w:rsidP="00BC71AD">
            <w:pPr>
              <w:spacing w:line="240" w:lineRule="auto"/>
              <w:rPr>
                <w:rFonts w:cs="Times New Roman"/>
                <w:szCs w:val="24"/>
              </w:rPr>
            </w:pPr>
          </w:p>
        </w:tc>
        <w:tc>
          <w:tcPr>
            <w:tcW w:w="2001" w:type="dxa"/>
          </w:tcPr>
          <w:p w14:paraId="60F62FF5" w14:textId="77777777" w:rsidR="000F7094" w:rsidRPr="00AE31BE" w:rsidRDefault="000F7094" w:rsidP="00BC71AD">
            <w:pPr>
              <w:spacing w:line="240" w:lineRule="auto"/>
              <w:jc w:val="center"/>
              <w:rPr>
                <w:rFonts w:cs="Times New Roman"/>
                <w:szCs w:val="24"/>
              </w:rPr>
            </w:pPr>
            <w:r w:rsidRPr="00AE31BE">
              <w:rPr>
                <w:rFonts w:cs="Times New Roman"/>
                <w:szCs w:val="24"/>
              </w:rPr>
              <w:t>PPARα</w:t>
            </w:r>
          </w:p>
        </w:tc>
        <w:tc>
          <w:tcPr>
            <w:tcW w:w="2250" w:type="dxa"/>
          </w:tcPr>
          <w:p w14:paraId="5F9AB23A" w14:textId="77777777" w:rsidR="000F7094" w:rsidRPr="00AE31BE" w:rsidRDefault="000F7094" w:rsidP="00BC71AD">
            <w:pPr>
              <w:spacing w:line="240" w:lineRule="auto"/>
              <w:jc w:val="center"/>
              <w:rPr>
                <w:rFonts w:cs="Times New Roman"/>
                <w:szCs w:val="24"/>
              </w:rPr>
            </w:pPr>
            <w:proofErr w:type="spellStart"/>
            <w:r w:rsidRPr="00AE31BE">
              <w:rPr>
                <w:rFonts w:cs="Times New Roman"/>
                <w:szCs w:val="24"/>
              </w:rPr>
              <w:t>PPARδ</w:t>
            </w:r>
            <w:proofErr w:type="spellEnd"/>
          </w:p>
        </w:tc>
        <w:tc>
          <w:tcPr>
            <w:tcW w:w="1989" w:type="dxa"/>
          </w:tcPr>
          <w:p w14:paraId="4CB44E4F" w14:textId="77777777" w:rsidR="000F7094" w:rsidRPr="00AE31BE" w:rsidRDefault="000F7094" w:rsidP="00BC71AD">
            <w:pPr>
              <w:spacing w:line="240" w:lineRule="auto"/>
              <w:jc w:val="center"/>
              <w:rPr>
                <w:rFonts w:cs="Times New Roman"/>
                <w:szCs w:val="24"/>
              </w:rPr>
            </w:pPr>
            <w:proofErr w:type="spellStart"/>
            <w:r w:rsidRPr="00AE31BE">
              <w:rPr>
                <w:rFonts w:cs="Times New Roman"/>
                <w:szCs w:val="24"/>
              </w:rPr>
              <w:t>PPARγ</w:t>
            </w:r>
            <w:proofErr w:type="spellEnd"/>
          </w:p>
        </w:tc>
      </w:tr>
      <w:tr w:rsidR="000F7094" w14:paraId="6C514852" w14:textId="77777777" w:rsidTr="00BC71AD">
        <w:trPr>
          <w:trHeight w:val="265"/>
        </w:trPr>
        <w:tc>
          <w:tcPr>
            <w:tcW w:w="1788" w:type="dxa"/>
          </w:tcPr>
          <w:p w14:paraId="287755C0" w14:textId="22DC4E45" w:rsidR="000F7094" w:rsidRDefault="000F7094" w:rsidP="00BC71AD">
            <w:pPr>
              <w:spacing w:line="240" w:lineRule="auto"/>
              <w:rPr>
                <w:rFonts w:cs="Times New Roman"/>
                <w:szCs w:val="24"/>
              </w:rPr>
            </w:pPr>
            <w:r>
              <w:rPr>
                <w:rFonts w:cs="Times New Roman"/>
                <w:szCs w:val="24"/>
              </w:rPr>
              <w:t>GW501516</w:t>
            </w:r>
            <w:r>
              <w:rPr>
                <w:rFonts w:cs="Times New Roman"/>
                <w:szCs w:val="24"/>
              </w:rPr>
              <w:fldChar w:fldCharType="begin"/>
            </w:r>
            <w:r w:rsidR="00446AFD">
              <w:rPr>
                <w:rFonts w:cs="Times New Roman"/>
                <w:szCs w:val="24"/>
              </w:rPr>
              <w:instrText xml:space="preserve"> ADDIN ZOTERO_ITEM CSL_CITATION {"citationID":"OZ3TyiVw","properties":{"formattedCitation":"\\super 83\\nosupersub{}","plainCitation":"83","noteIndex":0},"citationItems":[{"id":624,"uris":["http://zotero.org/users/6503767/items/XDPSNNGT"],"itemData":{"id":624,"type":"article-journal","abstract":"The peroxisome proliferator-activated receptors (PPARs) are dietary\n lipid sensors that regulate fatty acid and carbohydrate metabolism. The\n hypolipidemic effects of the fibrate drugs and the antidiabetic effects\n of the glitazone drugs in humans are due to activation of the α\n (NR1C1) and γ (NR1C3) subtypes, respectively. By contrast, the\n therapeutic potential of the δ (NR1C2) subtype is unknown, due in\n part to the lack of selective ligands. We have used combinatorial\n chemistry and structure-based drug design to develop a potent and\n subtype-selective PPARδ agonist, GW501516. In macrophages,\n fibroblasts, and intestinal cells, GW501516 increases expression of the\n reverse cholesterol transporter ATP-binding cassette A1 and induces\n apolipoprotein A1-specific cholesterol efflux. When dosed to\n insulin-resistant middle-aged obese rhesus monkeys, GW501516 causes a\n dramatic dose-dependent rise in serum high density lipoprotein\n cholesterol while lowering the levels of small-dense low density\n lipoprotein, fasting triglycerides, and fasting insulin. Our results\n suggest that PPARδ agonists may be effective drugs to increase\n reverse cholesterol transport and decrease cardiovascular disease\n associated with the metabolic syndrome X.","container-title":"Proceedings of the National Academy of Sciences","DOI":"10.1073/pnas.091021198","ISSN":"0027-8424, 1091-6490","issue":"9","journalAbbreviation":"Proc. Natl. Acad. Sci. U.S.A.","language":"en","page":"5306-5311","source":"DOI.org (Crossref)","title":"A selective peroxisome proliferator-activated receptor δ agonist promotes reverse cholesterol transport","volume":"98","author":[{"family":"Oliver","given":"William R."},{"family":"Shenk","given":"Jennifer L."},{"family":"Snaith","given":"Mike R."},{"family":"Russell","given":"Caroline S."},{"family":"Plunket","given":"Kelli D."},{"family":"Bodkin","given":"Noni L."},{"family":"Lewis","given":"Michael C."},{"family":"Winegar","given":"Deborah A."},{"family":"Sznaidman","given":"Marcos L."},{"family":"Lambert","given":"Millard H."},{"family":"Xu","given":"H. Eric"},{"family":"Sternbach","given":"Daniel D."},{"family":"Kliewer","given":"Steven A."},{"family":"Hansen","given":"Barbara C."},{"family":"Willson","given":"Timothy M."}],"issued":{"date-parts":[["2001",4,24]]}}}],"schema":"https://github.com/citation-style-language/schema/raw/master/csl-citation.json"} </w:instrText>
            </w:r>
            <w:r>
              <w:rPr>
                <w:rFonts w:cs="Times New Roman"/>
                <w:szCs w:val="24"/>
              </w:rPr>
              <w:fldChar w:fldCharType="separate"/>
            </w:r>
            <w:r w:rsidR="00446AFD" w:rsidRPr="00446AFD">
              <w:rPr>
                <w:rFonts w:cs="Times New Roman"/>
                <w:szCs w:val="24"/>
                <w:vertAlign w:val="superscript"/>
              </w:rPr>
              <w:t>83</w:t>
            </w:r>
            <w:r>
              <w:rPr>
                <w:rFonts w:cs="Times New Roman"/>
                <w:szCs w:val="24"/>
              </w:rPr>
              <w:fldChar w:fldCharType="end"/>
            </w:r>
          </w:p>
        </w:tc>
        <w:tc>
          <w:tcPr>
            <w:tcW w:w="1336" w:type="dxa"/>
          </w:tcPr>
          <w:p w14:paraId="052180E5" w14:textId="77777777" w:rsidR="000F7094" w:rsidRDefault="000F7094" w:rsidP="00BC71AD">
            <w:pPr>
              <w:spacing w:line="240" w:lineRule="auto"/>
              <w:jc w:val="center"/>
              <w:rPr>
                <w:rFonts w:cs="Times New Roman"/>
                <w:szCs w:val="24"/>
              </w:rPr>
            </w:pPr>
            <w:r>
              <w:rPr>
                <w:rFonts w:cs="Times New Roman"/>
                <w:szCs w:val="24"/>
              </w:rPr>
              <w:t>a</w:t>
            </w:r>
          </w:p>
        </w:tc>
        <w:tc>
          <w:tcPr>
            <w:tcW w:w="2001" w:type="dxa"/>
          </w:tcPr>
          <w:p w14:paraId="715A7202" w14:textId="77777777" w:rsidR="000F7094" w:rsidRDefault="000F7094" w:rsidP="00BC71AD">
            <w:pPr>
              <w:spacing w:line="240" w:lineRule="auto"/>
              <w:jc w:val="center"/>
              <w:rPr>
                <w:rFonts w:cs="Times New Roman"/>
                <w:szCs w:val="24"/>
              </w:rPr>
            </w:pPr>
            <w:r>
              <w:rPr>
                <w:rFonts w:cs="Times New Roman"/>
                <w:szCs w:val="24"/>
              </w:rPr>
              <w:t>ND</w:t>
            </w:r>
          </w:p>
        </w:tc>
        <w:tc>
          <w:tcPr>
            <w:tcW w:w="2250" w:type="dxa"/>
          </w:tcPr>
          <w:p w14:paraId="35D4A5FF" w14:textId="77777777" w:rsidR="000F7094" w:rsidRDefault="000F7094" w:rsidP="00BC71AD">
            <w:pPr>
              <w:spacing w:line="240" w:lineRule="auto"/>
              <w:jc w:val="center"/>
              <w:rPr>
                <w:rFonts w:cs="Times New Roman"/>
                <w:szCs w:val="24"/>
              </w:rPr>
            </w:pPr>
            <w:r>
              <w:rPr>
                <w:rFonts w:cs="Times New Roman"/>
                <w:szCs w:val="24"/>
              </w:rPr>
              <w:t xml:space="preserve">24 </w:t>
            </w:r>
            <w:proofErr w:type="spellStart"/>
            <w:r>
              <w:rPr>
                <w:rFonts w:cs="Times New Roman"/>
                <w:szCs w:val="24"/>
              </w:rPr>
              <w:t>nM</w:t>
            </w:r>
            <w:r w:rsidRPr="00226CF7">
              <w:rPr>
                <w:rFonts w:cs="Times New Roman"/>
                <w:szCs w:val="24"/>
                <w:vertAlign w:val="superscript"/>
              </w:rPr>
              <w:t>a</w:t>
            </w:r>
            <w:proofErr w:type="spellEnd"/>
          </w:p>
        </w:tc>
        <w:tc>
          <w:tcPr>
            <w:tcW w:w="1989" w:type="dxa"/>
          </w:tcPr>
          <w:p w14:paraId="39F0F770" w14:textId="77777777" w:rsidR="000F7094" w:rsidRDefault="000F7094" w:rsidP="00BC71AD">
            <w:pPr>
              <w:spacing w:line="240" w:lineRule="auto"/>
              <w:jc w:val="center"/>
              <w:rPr>
                <w:rFonts w:cs="Times New Roman"/>
                <w:szCs w:val="24"/>
              </w:rPr>
            </w:pPr>
            <w:r>
              <w:rPr>
                <w:rFonts w:cs="Times New Roman"/>
                <w:szCs w:val="24"/>
              </w:rPr>
              <w:t>ND</w:t>
            </w:r>
          </w:p>
        </w:tc>
      </w:tr>
      <w:tr w:rsidR="000F7094" w14:paraId="5A2319DF" w14:textId="77777777" w:rsidTr="00BC71AD">
        <w:trPr>
          <w:trHeight w:val="277"/>
        </w:trPr>
        <w:tc>
          <w:tcPr>
            <w:tcW w:w="1788" w:type="dxa"/>
          </w:tcPr>
          <w:p w14:paraId="05505A51" w14:textId="352DAE61" w:rsidR="000F7094" w:rsidRDefault="000F7094" w:rsidP="00BC71AD">
            <w:pPr>
              <w:spacing w:line="240" w:lineRule="auto"/>
              <w:rPr>
                <w:rFonts w:cs="Times New Roman"/>
                <w:szCs w:val="24"/>
              </w:rPr>
            </w:pPr>
            <w:r>
              <w:rPr>
                <w:rFonts w:cs="Times New Roman"/>
                <w:szCs w:val="24"/>
              </w:rPr>
              <w:t>GW409544</w:t>
            </w:r>
            <w:r>
              <w:rPr>
                <w:rFonts w:cs="Times New Roman"/>
                <w:szCs w:val="24"/>
              </w:rPr>
              <w:fldChar w:fldCharType="begin"/>
            </w:r>
            <w:r w:rsidR="00446AFD">
              <w:rPr>
                <w:rFonts w:cs="Times New Roman"/>
                <w:szCs w:val="24"/>
              </w:rPr>
              <w:instrText xml:space="preserve"> ADDIN ZOTERO_ITEM CSL_CITATION {"citationID":"LBw7hVBU","properties":{"formattedCitation":"\\super 82\\nosupersub{}","plainCitation":"82","noteIndex":0},"citationItems":[{"id":617,"uris":["http://zotero.org/users/6503767/items/6WIPRG2V"],"itemData":{"id":617,"type":"article-journal","container-title":"Proceedings of the National Academy of Sciences","DOI":"10.1073/pnas.241410198","ISSN":"0027-8424, 1091-6490","issue":"24","journalAbbreviation":"Proceedings of the National Academy of Sciences","language":"en","page":"13919-13924","source":"DOI.org (Crossref)","title":"Structural determinants of ligand binding selectivity between the peroxisome proliferator-activated receptors","volume":"98","author":[{"family":"Xu","given":"H. E."},{"family":"Lambert","given":"M. H."},{"family":"Montana","given":"V. G."},{"family":"Plunket","given":"K. D."},{"family":"Moore","given":"L. B."},{"family":"Collins","given":"J. L."},{"family":"Oplinger","given":"J. A."},{"family":"Kliewer","given":"S. A."},{"family":"Gampe","given":"R. T."},{"family":"McKee","given":"D. D."},{"family":"Moore","given":"J. T."},{"family":"Willson","given":"T. M."}],"issued":{"date-parts":[["2001",11,20]]}}}],"schema":"https://github.com/citation-style-language/schema/raw/master/csl-citation.json"} </w:instrText>
            </w:r>
            <w:r>
              <w:rPr>
                <w:rFonts w:cs="Times New Roman"/>
                <w:szCs w:val="24"/>
              </w:rPr>
              <w:fldChar w:fldCharType="separate"/>
            </w:r>
            <w:r w:rsidR="00446AFD" w:rsidRPr="00446AFD">
              <w:rPr>
                <w:rFonts w:cs="Times New Roman"/>
                <w:szCs w:val="24"/>
                <w:vertAlign w:val="superscript"/>
              </w:rPr>
              <w:t>82</w:t>
            </w:r>
            <w:r>
              <w:rPr>
                <w:rFonts w:cs="Times New Roman"/>
                <w:szCs w:val="24"/>
              </w:rPr>
              <w:fldChar w:fldCharType="end"/>
            </w:r>
          </w:p>
        </w:tc>
        <w:tc>
          <w:tcPr>
            <w:tcW w:w="1336" w:type="dxa"/>
          </w:tcPr>
          <w:p w14:paraId="76A597E2" w14:textId="77777777" w:rsidR="000F7094" w:rsidRDefault="000F7094" w:rsidP="00BC71AD">
            <w:pPr>
              <w:spacing w:line="240" w:lineRule="auto"/>
              <w:jc w:val="center"/>
              <w:rPr>
                <w:rFonts w:cs="Times New Roman"/>
                <w:szCs w:val="24"/>
              </w:rPr>
            </w:pPr>
            <w:r>
              <w:rPr>
                <w:rFonts w:cs="Times New Roman"/>
                <w:szCs w:val="24"/>
              </w:rPr>
              <w:t>b</w:t>
            </w:r>
          </w:p>
        </w:tc>
        <w:tc>
          <w:tcPr>
            <w:tcW w:w="2001" w:type="dxa"/>
          </w:tcPr>
          <w:p w14:paraId="49C0BDB9" w14:textId="77777777" w:rsidR="000F7094" w:rsidRDefault="000F7094" w:rsidP="00BC71AD">
            <w:pPr>
              <w:spacing w:line="240" w:lineRule="auto"/>
              <w:jc w:val="center"/>
              <w:rPr>
                <w:rFonts w:cs="Times New Roman"/>
                <w:szCs w:val="24"/>
              </w:rPr>
            </w:pPr>
            <w:r>
              <w:rPr>
                <w:rFonts w:cs="Times New Roman"/>
                <w:szCs w:val="24"/>
              </w:rPr>
              <w:t xml:space="preserve">2.3 </w:t>
            </w:r>
            <w:proofErr w:type="spellStart"/>
            <w:r>
              <w:rPr>
                <w:rFonts w:cs="Times New Roman"/>
                <w:szCs w:val="24"/>
              </w:rPr>
              <w:t>nM</w:t>
            </w:r>
            <w:proofErr w:type="spellEnd"/>
          </w:p>
        </w:tc>
        <w:tc>
          <w:tcPr>
            <w:tcW w:w="2250" w:type="dxa"/>
          </w:tcPr>
          <w:p w14:paraId="023B4F88" w14:textId="77777777" w:rsidR="000F7094" w:rsidRDefault="000F7094" w:rsidP="00BC71AD">
            <w:pPr>
              <w:spacing w:line="240" w:lineRule="auto"/>
              <w:jc w:val="center"/>
              <w:rPr>
                <w:rFonts w:cs="Times New Roman"/>
                <w:szCs w:val="24"/>
              </w:rPr>
            </w:pPr>
            <w:r>
              <w:rPr>
                <w:rFonts w:cs="Times New Roman"/>
                <w:szCs w:val="24"/>
              </w:rPr>
              <w:t xml:space="preserve">&gt;10 </w:t>
            </w:r>
            <w:proofErr w:type="spellStart"/>
            <w:r>
              <w:rPr>
                <w:rFonts w:ascii="Calibri" w:hAnsi="Calibri" w:cs="Calibri"/>
                <w:szCs w:val="24"/>
              </w:rPr>
              <w:t>μ</w:t>
            </w:r>
            <w:r>
              <w:rPr>
                <w:rFonts w:cs="Times New Roman"/>
                <w:szCs w:val="24"/>
              </w:rPr>
              <w:t>M</w:t>
            </w:r>
            <w:proofErr w:type="spellEnd"/>
          </w:p>
        </w:tc>
        <w:tc>
          <w:tcPr>
            <w:tcW w:w="1989" w:type="dxa"/>
          </w:tcPr>
          <w:p w14:paraId="3866C868" w14:textId="77777777" w:rsidR="000F7094" w:rsidRDefault="000F7094" w:rsidP="00BC71AD">
            <w:pPr>
              <w:spacing w:line="240" w:lineRule="auto"/>
              <w:jc w:val="center"/>
              <w:rPr>
                <w:rFonts w:cs="Times New Roman"/>
                <w:szCs w:val="24"/>
              </w:rPr>
            </w:pPr>
            <w:r>
              <w:rPr>
                <w:rFonts w:cs="Times New Roman"/>
                <w:szCs w:val="24"/>
              </w:rPr>
              <w:t xml:space="preserve">0.28 </w:t>
            </w:r>
            <w:proofErr w:type="spellStart"/>
            <w:r>
              <w:rPr>
                <w:rFonts w:cs="Times New Roman"/>
                <w:szCs w:val="24"/>
              </w:rPr>
              <w:t>nM</w:t>
            </w:r>
            <w:proofErr w:type="spellEnd"/>
          </w:p>
        </w:tc>
      </w:tr>
      <w:tr w:rsidR="000F7094" w14:paraId="351D47AF" w14:textId="77777777" w:rsidTr="00BC71AD">
        <w:trPr>
          <w:trHeight w:val="277"/>
        </w:trPr>
        <w:tc>
          <w:tcPr>
            <w:tcW w:w="1788" w:type="dxa"/>
          </w:tcPr>
          <w:p w14:paraId="0FA4538F" w14:textId="70BC16E1" w:rsidR="000F7094" w:rsidRDefault="00446AFD" w:rsidP="00BC71AD">
            <w:pPr>
              <w:spacing w:line="240" w:lineRule="auto"/>
              <w:rPr>
                <w:rFonts w:cs="Times New Roman"/>
                <w:szCs w:val="24"/>
              </w:rPr>
            </w:pPr>
            <w:r>
              <w:rPr>
                <w:rFonts w:cs="Times New Roman"/>
                <w:szCs w:val="24"/>
              </w:rPr>
              <w:t>A91</w:t>
            </w:r>
            <w:r>
              <w:rPr>
                <w:rFonts w:cs="Times New Roman"/>
                <w:szCs w:val="24"/>
              </w:rPr>
              <w:fldChar w:fldCharType="begin"/>
            </w:r>
            <w:r w:rsidR="00672B42">
              <w:rPr>
                <w:rFonts w:cs="Times New Roman"/>
                <w:szCs w:val="24"/>
              </w:rPr>
              <w:instrText xml:space="preserve"> ADDIN ZOTERO_ITEM CSL_CITATION {"citationID":"JsJzBwSU","properties":{"formattedCitation":"\\super 85\\nosupersub{}","plainCitation":"85","noteIndex":0},"citationItems":[{"id":969,"uris":["http://zotero.org/users/6503767/items/QHNDYDWB"],"itemData":{"id":969,"type":"article-journal","abstract":"Peroxisome proliferator-activated receptor alpha (PPARα) is expressed in retinal Müller cells, endothelial cells, and in retinal pigment epithelium, and agonism of PPARα with genetic or pharmacological tools ameliorates inflammation, vascular leakage, neurodegeneration, and neovascularization associated with retinal diseases in animal models. As such, PPARα is a promising drug target for diabetic retinopathy and age-related macular degeneration. Herein, we report proof-of-concept in vivo efficacy in an STZ-induced vascular leakage model (rat) and preliminary pharmacokinetic assessment of a first-generation lead 4a (A91). Additionally, we present the design, synthesis, and evaluation of second-generation analogs, which led to the discovery of 4u and related compounds that reach cellular potencies &lt;50 nM and exhibit &gt;2,700-fold selectivity for PPARα over other PPAR isoforms. These studies identify a pipeline of candidates positioned for detailed PK/PD and pre-clinical evaluation.,","container-title":"Journal of medicinal chemistry","DOI":"10.1021/acs.jmedchem.9b01189","ISSN":"0022-2623","issue":"6","journalAbbreviation":"J Med Chem","note":"PMID: 32096640\nPMCID: PMC7365701","page":"2854-2876","source":"PubMed Central","title":"Evolution of a 4-Benzyloxy-benzylamino Chemotype to Provide Efficacious, Potent, and Isoform Selective PPARα Agonists as Leads for Retinal Disorders","volume":"63","author":[{"family":"Dou","given":"Xiaozheng"},{"family":"Nath","given":"Dinesh"},{"family":"Shin","given":"Henry"},{"family":"Nurmemmedov","given":"Elmar"},{"family":"Bourne","given":"Philip C."},{"family":"Ma","given":"Jian-Xing"},{"family":"Duerfeldt","given":"Adam S."}],"issued":{"date-parts":[["2020",3,26]]}}}],"schema":"https://github.com/citation-style-language/schema/raw/master/csl-citation.json"} </w:instrText>
            </w:r>
            <w:r>
              <w:rPr>
                <w:rFonts w:cs="Times New Roman"/>
                <w:szCs w:val="24"/>
              </w:rPr>
              <w:fldChar w:fldCharType="separate"/>
            </w:r>
            <w:r w:rsidR="00672B42" w:rsidRPr="00672B42">
              <w:rPr>
                <w:rFonts w:cs="Times New Roman"/>
                <w:szCs w:val="24"/>
                <w:vertAlign w:val="superscript"/>
              </w:rPr>
              <w:t>85</w:t>
            </w:r>
            <w:r>
              <w:rPr>
                <w:rFonts w:cs="Times New Roman"/>
                <w:szCs w:val="24"/>
              </w:rPr>
              <w:fldChar w:fldCharType="end"/>
            </w:r>
          </w:p>
        </w:tc>
        <w:tc>
          <w:tcPr>
            <w:tcW w:w="1336" w:type="dxa"/>
          </w:tcPr>
          <w:p w14:paraId="2E265CBB" w14:textId="77777777" w:rsidR="000F7094" w:rsidRDefault="000F7094" w:rsidP="00BC71AD">
            <w:pPr>
              <w:spacing w:line="240" w:lineRule="auto"/>
              <w:jc w:val="center"/>
              <w:rPr>
                <w:rFonts w:cs="Times New Roman"/>
                <w:szCs w:val="24"/>
              </w:rPr>
            </w:pPr>
            <w:r>
              <w:rPr>
                <w:rFonts w:cs="Times New Roman"/>
                <w:szCs w:val="24"/>
              </w:rPr>
              <w:t>c</w:t>
            </w:r>
          </w:p>
        </w:tc>
        <w:tc>
          <w:tcPr>
            <w:tcW w:w="2001" w:type="dxa"/>
          </w:tcPr>
          <w:p w14:paraId="10C04C3A" w14:textId="52B35E85" w:rsidR="000F7094" w:rsidRDefault="00446AFD" w:rsidP="00BC71AD">
            <w:pPr>
              <w:spacing w:line="240" w:lineRule="auto"/>
              <w:jc w:val="center"/>
              <w:rPr>
                <w:rFonts w:cs="Times New Roman"/>
                <w:szCs w:val="24"/>
              </w:rPr>
            </w:pPr>
            <w:r>
              <w:rPr>
                <w:rFonts w:cs="Times New Roman"/>
                <w:szCs w:val="24"/>
              </w:rPr>
              <w:t>4</w:t>
            </w:r>
            <w:r w:rsidR="000F7094">
              <w:rPr>
                <w:rFonts w:cs="Times New Roman"/>
                <w:szCs w:val="24"/>
              </w:rPr>
              <w:t>.</w:t>
            </w:r>
            <w:r>
              <w:rPr>
                <w:rFonts w:cs="Times New Roman"/>
                <w:szCs w:val="24"/>
              </w:rPr>
              <w:t>43</w:t>
            </w:r>
            <w:r w:rsidR="000F7094">
              <w:rPr>
                <w:rFonts w:cs="Times New Roman"/>
                <w:szCs w:val="24"/>
              </w:rPr>
              <w:t xml:space="preserve"> </w:t>
            </w:r>
            <w:proofErr w:type="spellStart"/>
            <w:r w:rsidR="000F7094">
              <w:rPr>
                <w:rFonts w:ascii="Calibri" w:hAnsi="Calibri" w:cs="Calibri"/>
                <w:szCs w:val="24"/>
              </w:rPr>
              <w:t>μ</w:t>
            </w:r>
            <w:r w:rsidR="000F7094">
              <w:rPr>
                <w:rFonts w:cs="Times New Roman"/>
                <w:szCs w:val="24"/>
              </w:rPr>
              <w:t>M</w:t>
            </w:r>
            <w:proofErr w:type="spellEnd"/>
          </w:p>
        </w:tc>
        <w:tc>
          <w:tcPr>
            <w:tcW w:w="2250" w:type="dxa"/>
          </w:tcPr>
          <w:p w14:paraId="3C38FBD3" w14:textId="77777777" w:rsidR="000F7094" w:rsidRDefault="000F7094" w:rsidP="00BC71AD">
            <w:pPr>
              <w:spacing w:line="240" w:lineRule="auto"/>
              <w:jc w:val="center"/>
              <w:rPr>
                <w:rFonts w:cs="Times New Roman"/>
                <w:szCs w:val="24"/>
              </w:rPr>
            </w:pPr>
            <w:r>
              <w:rPr>
                <w:rFonts w:cs="Times New Roman"/>
                <w:szCs w:val="24"/>
              </w:rPr>
              <w:t xml:space="preserve">&gt;100 </w:t>
            </w:r>
            <w:proofErr w:type="spellStart"/>
            <w:r>
              <w:rPr>
                <w:rFonts w:ascii="Calibri" w:hAnsi="Calibri" w:cs="Calibri"/>
                <w:szCs w:val="24"/>
              </w:rPr>
              <w:t>μ</w:t>
            </w:r>
            <w:r>
              <w:rPr>
                <w:rFonts w:cs="Times New Roman"/>
                <w:szCs w:val="24"/>
              </w:rPr>
              <w:t>M</w:t>
            </w:r>
            <w:proofErr w:type="spellEnd"/>
          </w:p>
        </w:tc>
        <w:tc>
          <w:tcPr>
            <w:tcW w:w="1989" w:type="dxa"/>
          </w:tcPr>
          <w:p w14:paraId="7121B4AD" w14:textId="77777777" w:rsidR="000F7094" w:rsidRDefault="000F7094" w:rsidP="00BC71AD">
            <w:pPr>
              <w:spacing w:line="240" w:lineRule="auto"/>
              <w:jc w:val="center"/>
              <w:rPr>
                <w:rFonts w:cs="Times New Roman"/>
                <w:szCs w:val="24"/>
              </w:rPr>
            </w:pPr>
            <w:r>
              <w:rPr>
                <w:rFonts w:cs="Times New Roman"/>
                <w:szCs w:val="24"/>
              </w:rPr>
              <w:t xml:space="preserve">&gt;100 </w:t>
            </w:r>
            <w:proofErr w:type="spellStart"/>
            <w:r>
              <w:rPr>
                <w:rFonts w:ascii="Calibri" w:hAnsi="Calibri" w:cs="Calibri"/>
                <w:szCs w:val="24"/>
              </w:rPr>
              <w:t>μ</w:t>
            </w:r>
            <w:r>
              <w:rPr>
                <w:rFonts w:cs="Times New Roman"/>
                <w:szCs w:val="24"/>
              </w:rPr>
              <w:t>M</w:t>
            </w:r>
            <w:proofErr w:type="spellEnd"/>
          </w:p>
        </w:tc>
      </w:tr>
      <w:tr w:rsidR="000F7094" w14:paraId="1CF63519" w14:textId="77777777" w:rsidTr="00BC71AD">
        <w:trPr>
          <w:trHeight w:val="277"/>
        </w:trPr>
        <w:tc>
          <w:tcPr>
            <w:tcW w:w="1788" w:type="dxa"/>
          </w:tcPr>
          <w:p w14:paraId="3F53E1B6" w14:textId="4A8C5687" w:rsidR="000F7094" w:rsidRDefault="00446AFD" w:rsidP="00BC71AD">
            <w:pPr>
              <w:spacing w:line="240" w:lineRule="auto"/>
              <w:rPr>
                <w:rFonts w:cs="Times New Roman"/>
                <w:szCs w:val="24"/>
              </w:rPr>
            </w:pPr>
            <w:r>
              <w:rPr>
                <w:rFonts w:cs="Times New Roman"/>
                <w:szCs w:val="24"/>
              </w:rPr>
              <w:t>A190</w:t>
            </w:r>
            <w:r>
              <w:rPr>
                <w:rFonts w:cs="Times New Roman"/>
                <w:szCs w:val="24"/>
              </w:rPr>
              <w:fldChar w:fldCharType="begin"/>
            </w:r>
            <w:r w:rsidR="00672B42">
              <w:rPr>
                <w:rFonts w:cs="Times New Roman"/>
                <w:szCs w:val="24"/>
              </w:rPr>
              <w:instrText xml:space="preserve"> ADDIN ZOTERO_ITEM CSL_CITATION {"citationID":"Qyzr0fIu","properties":{"formattedCitation":"\\super 85\\nosupersub{}","plainCitation":"85","noteIndex":0},"citationItems":[{"id":969,"uris":["http://zotero.org/users/6503767/items/QHNDYDWB"],"itemData":{"id":969,"type":"article-journal","abstract":"Peroxisome proliferator-activated receptor alpha (PPARα) is expressed in retinal Müller cells, endothelial cells, and in retinal pigment epithelium, and agonism of PPARα with genetic or pharmacological tools ameliorates inflammation, vascular leakage, neurodegeneration, and neovascularization associated with retinal diseases in animal models. As such, PPARα is a promising drug target for diabetic retinopathy and age-related macular degeneration. Herein, we report proof-of-concept in vivo efficacy in an STZ-induced vascular leakage model (rat) and preliminary pharmacokinetic assessment of a first-generation lead 4a (A91). Additionally, we present the design, synthesis, and evaluation of second-generation analogs, which led to the discovery of 4u and related compounds that reach cellular potencies &lt;50 nM and exhibit &gt;2,700-fold selectivity for PPARα over other PPAR isoforms. These studies identify a pipeline of candidates positioned for detailed PK/PD and pre-clinical evaluation.,","container-title":"Journal of medicinal chemistry","DOI":"10.1021/acs.jmedchem.9b01189","ISSN":"0022-2623","issue":"6","journalAbbreviation":"J Med Chem","note":"PMID: 32096640\nPMCID: PMC7365701","page":"2854-2876","source":"PubMed Central","title":"Evolution of a 4-Benzyloxy-benzylamino Chemotype to Provide Efficacious, Potent, and Isoform Selective PPARα Agonists as Leads for Retinal Disorders","volume":"63","author":[{"family":"Dou","given":"Xiaozheng"},{"family":"Nath","given":"Dinesh"},{"family":"Shin","given":"Henry"},{"family":"Nurmemmedov","given":"Elmar"},{"family":"Bourne","given":"Philip C."},{"family":"Ma","given":"Jian-Xing"},{"family":"Duerfeldt","given":"Adam S."}],"issued":{"date-parts":[["2020",3,26]]}}}],"schema":"https://github.com/citation-style-language/schema/raw/master/csl-citation.json"} </w:instrText>
            </w:r>
            <w:r>
              <w:rPr>
                <w:rFonts w:cs="Times New Roman"/>
                <w:szCs w:val="24"/>
              </w:rPr>
              <w:fldChar w:fldCharType="separate"/>
            </w:r>
            <w:r w:rsidR="00672B42" w:rsidRPr="00672B42">
              <w:rPr>
                <w:rFonts w:cs="Times New Roman"/>
                <w:szCs w:val="24"/>
                <w:vertAlign w:val="superscript"/>
              </w:rPr>
              <w:t>85</w:t>
            </w:r>
            <w:r>
              <w:rPr>
                <w:rFonts w:cs="Times New Roman"/>
                <w:szCs w:val="24"/>
              </w:rPr>
              <w:fldChar w:fldCharType="end"/>
            </w:r>
          </w:p>
        </w:tc>
        <w:tc>
          <w:tcPr>
            <w:tcW w:w="1336" w:type="dxa"/>
          </w:tcPr>
          <w:p w14:paraId="1006D47E" w14:textId="77777777" w:rsidR="000F7094" w:rsidRDefault="000F7094" w:rsidP="00BC71AD">
            <w:pPr>
              <w:spacing w:line="240" w:lineRule="auto"/>
              <w:jc w:val="center"/>
              <w:rPr>
                <w:rFonts w:cs="Times New Roman"/>
                <w:szCs w:val="24"/>
              </w:rPr>
            </w:pPr>
            <w:r>
              <w:rPr>
                <w:rFonts w:cs="Times New Roman"/>
                <w:szCs w:val="24"/>
              </w:rPr>
              <w:t>c</w:t>
            </w:r>
          </w:p>
        </w:tc>
        <w:tc>
          <w:tcPr>
            <w:tcW w:w="2001" w:type="dxa"/>
          </w:tcPr>
          <w:p w14:paraId="7112A349" w14:textId="2F3AB252" w:rsidR="000F7094" w:rsidRDefault="00A137E8" w:rsidP="00BC71AD">
            <w:pPr>
              <w:spacing w:line="240" w:lineRule="auto"/>
              <w:jc w:val="center"/>
              <w:rPr>
                <w:rFonts w:cs="Times New Roman"/>
                <w:szCs w:val="24"/>
              </w:rPr>
            </w:pPr>
            <w:r>
              <w:rPr>
                <w:rFonts w:cs="Times New Roman"/>
                <w:szCs w:val="24"/>
              </w:rPr>
              <w:t>0.037</w:t>
            </w:r>
            <w:r w:rsidR="000F7094">
              <w:rPr>
                <w:rFonts w:cs="Times New Roman"/>
                <w:szCs w:val="24"/>
              </w:rPr>
              <w:t xml:space="preserve"> </w:t>
            </w:r>
            <w:proofErr w:type="spellStart"/>
            <w:r w:rsidR="000F7094">
              <w:rPr>
                <w:rFonts w:ascii="Calibri" w:hAnsi="Calibri" w:cs="Calibri"/>
                <w:szCs w:val="24"/>
              </w:rPr>
              <w:t>μ</w:t>
            </w:r>
            <w:r w:rsidR="000F7094">
              <w:rPr>
                <w:rFonts w:cs="Times New Roman"/>
                <w:szCs w:val="24"/>
              </w:rPr>
              <w:t>M</w:t>
            </w:r>
            <w:proofErr w:type="spellEnd"/>
          </w:p>
        </w:tc>
        <w:tc>
          <w:tcPr>
            <w:tcW w:w="2250" w:type="dxa"/>
          </w:tcPr>
          <w:p w14:paraId="730F2C97" w14:textId="77777777" w:rsidR="000F7094" w:rsidRDefault="000F7094" w:rsidP="00BC71AD">
            <w:pPr>
              <w:spacing w:line="240" w:lineRule="auto"/>
              <w:jc w:val="center"/>
              <w:rPr>
                <w:rFonts w:cs="Times New Roman"/>
                <w:szCs w:val="24"/>
              </w:rPr>
            </w:pPr>
            <w:r>
              <w:rPr>
                <w:rFonts w:cs="Times New Roman"/>
                <w:szCs w:val="24"/>
              </w:rPr>
              <w:t xml:space="preserve">&gt;100 </w:t>
            </w:r>
            <w:proofErr w:type="spellStart"/>
            <w:r>
              <w:rPr>
                <w:rFonts w:ascii="Calibri" w:hAnsi="Calibri" w:cs="Calibri"/>
                <w:szCs w:val="24"/>
              </w:rPr>
              <w:t>μ</w:t>
            </w:r>
            <w:r>
              <w:rPr>
                <w:rFonts w:cs="Times New Roman"/>
                <w:szCs w:val="24"/>
              </w:rPr>
              <w:t>M</w:t>
            </w:r>
            <w:proofErr w:type="spellEnd"/>
          </w:p>
        </w:tc>
        <w:tc>
          <w:tcPr>
            <w:tcW w:w="1989" w:type="dxa"/>
          </w:tcPr>
          <w:p w14:paraId="282E8D79" w14:textId="77777777" w:rsidR="000F7094" w:rsidRDefault="000F7094" w:rsidP="00BC71AD">
            <w:pPr>
              <w:spacing w:line="240" w:lineRule="auto"/>
              <w:jc w:val="center"/>
              <w:rPr>
                <w:rFonts w:cs="Times New Roman"/>
                <w:szCs w:val="24"/>
              </w:rPr>
            </w:pPr>
            <w:r>
              <w:rPr>
                <w:rFonts w:cs="Times New Roman"/>
                <w:szCs w:val="24"/>
              </w:rPr>
              <w:t xml:space="preserve">&gt;100 </w:t>
            </w:r>
            <w:proofErr w:type="spellStart"/>
            <w:r>
              <w:rPr>
                <w:rFonts w:ascii="Calibri" w:hAnsi="Calibri" w:cs="Calibri"/>
                <w:szCs w:val="24"/>
              </w:rPr>
              <w:t>μ</w:t>
            </w:r>
            <w:r>
              <w:rPr>
                <w:rFonts w:cs="Times New Roman"/>
                <w:szCs w:val="24"/>
              </w:rPr>
              <w:t>M</w:t>
            </w:r>
            <w:proofErr w:type="spellEnd"/>
          </w:p>
        </w:tc>
      </w:tr>
      <w:tr w:rsidR="000F7094" w14:paraId="7512F0C8" w14:textId="77777777" w:rsidTr="00BC71AD">
        <w:trPr>
          <w:trHeight w:val="277"/>
        </w:trPr>
        <w:tc>
          <w:tcPr>
            <w:tcW w:w="1788" w:type="dxa"/>
          </w:tcPr>
          <w:p w14:paraId="2C5FC744" w14:textId="6961A5A4" w:rsidR="000F7094" w:rsidRDefault="00446AFD" w:rsidP="00BC71AD">
            <w:pPr>
              <w:spacing w:line="240" w:lineRule="auto"/>
              <w:rPr>
                <w:rFonts w:cs="Times New Roman"/>
                <w:szCs w:val="24"/>
              </w:rPr>
            </w:pPr>
            <w:r>
              <w:rPr>
                <w:rFonts w:cs="Times New Roman"/>
                <w:szCs w:val="24"/>
              </w:rPr>
              <w:t>A</w:t>
            </w:r>
            <w:r w:rsidR="000F7094">
              <w:rPr>
                <w:rFonts w:cs="Times New Roman"/>
                <w:szCs w:val="24"/>
              </w:rPr>
              <w:t>22</w:t>
            </w:r>
            <w:r w:rsidR="000F7094">
              <w:rPr>
                <w:rFonts w:cs="Times New Roman"/>
                <w:szCs w:val="24"/>
              </w:rPr>
              <w:fldChar w:fldCharType="begin"/>
            </w:r>
            <w:r>
              <w:rPr>
                <w:rFonts w:cs="Times New Roman"/>
                <w:szCs w:val="24"/>
              </w:rPr>
              <w:instrText xml:space="preserve"> ADDIN ZOTERO_ITEM CSL_CITATION {"citationID":"XLfFXGAE","properties":{"formattedCitation":"\\super 84\\nosupersub{}","plainCitation":"84","noteIndex":0},"citationItems":[{"id":631,"uris":["http://zotero.org/users/6503767/items/5IR8HV3P"],"itemData":{"id":631,"type":"article-journal","container-title":"Bioorganic &amp; Medicinal Chemistry Letters","DOI":"10.1016/j.bmcl.2018.03.010","ISSN":"0960894X","issue":"16","journalAbbreviation":"Bioorganic &amp; Medicinal Chemistry Letters","language":"en","page":"2717-2722","source":"DOI.org (Crossref)","title":"Structure-guided evolution of a 2-phenyl-4-carboxyquinoline chemotype into PPARα selective agonists: New leads for oculovascular conditions","title-short":"Structure-guided evolution of a 2-phenyl-4-carboxyquinoline chemotype into PPARα selective agonists","volume":"28","author":[{"family":"Dou","given":"Xiao-Zheng"},{"family":"Nath","given":"Dinesh"},{"family":"Shin","given":"Younghwa"},{"family":"Ma","given":"Jian-Xing"},{"family":"Duerfeldt","given":"Adam S."}],"issued":{"date-parts":[["2018",9]]}}}],"schema":"https://github.com/citation-style-language/schema/raw/master/csl-citation.json"} </w:instrText>
            </w:r>
            <w:r w:rsidR="000F7094">
              <w:rPr>
                <w:rFonts w:cs="Times New Roman"/>
                <w:szCs w:val="24"/>
              </w:rPr>
              <w:fldChar w:fldCharType="separate"/>
            </w:r>
            <w:r w:rsidRPr="00446AFD">
              <w:rPr>
                <w:rFonts w:cs="Times New Roman"/>
                <w:szCs w:val="24"/>
                <w:vertAlign w:val="superscript"/>
              </w:rPr>
              <w:t>84</w:t>
            </w:r>
            <w:r w:rsidR="000F7094">
              <w:rPr>
                <w:rFonts w:cs="Times New Roman"/>
                <w:szCs w:val="24"/>
              </w:rPr>
              <w:fldChar w:fldCharType="end"/>
            </w:r>
          </w:p>
        </w:tc>
        <w:tc>
          <w:tcPr>
            <w:tcW w:w="1336" w:type="dxa"/>
          </w:tcPr>
          <w:p w14:paraId="716C449B" w14:textId="77777777" w:rsidR="000F7094" w:rsidRDefault="000F7094" w:rsidP="00BC71AD">
            <w:pPr>
              <w:spacing w:line="240" w:lineRule="auto"/>
              <w:jc w:val="center"/>
              <w:rPr>
                <w:rFonts w:cs="Times New Roman"/>
                <w:szCs w:val="24"/>
              </w:rPr>
            </w:pPr>
            <w:r>
              <w:rPr>
                <w:rFonts w:cs="Times New Roman"/>
                <w:szCs w:val="24"/>
              </w:rPr>
              <w:t>c</w:t>
            </w:r>
          </w:p>
        </w:tc>
        <w:tc>
          <w:tcPr>
            <w:tcW w:w="2001" w:type="dxa"/>
          </w:tcPr>
          <w:p w14:paraId="6190E465" w14:textId="77777777" w:rsidR="000F7094" w:rsidRDefault="000F7094" w:rsidP="00BC71AD">
            <w:pPr>
              <w:spacing w:line="240" w:lineRule="auto"/>
              <w:jc w:val="center"/>
              <w:rPr>
                <w:rFonts w:cs="Times New Roman"/>
                <w:szCs w:val="24"/>
              </w:rPr>
            </w:pPr>
            <w:r>
              <w:rPr>
                <w:rFonts w:cs="Times New Roman"/>
                <w:szCs w:val="24"/>
              </w:rPr>
              <w:t xml:space="preserve">25.3 </w:t>
            </w:r>
            <w:proofErr w:type="spellStart"/>
            <w:r>
              <w:rPr>
                <w:rFonts w:ascii="Calibri" w:hAnsi="Calibri" w:cs="Calibri"/>
                <w:szCs w:val="24"/>
              </w:rPr>
              <w:t>μ</w:t>
            </w:r>
            <w:r>
              <w:rPr>
                <w:rFonts w:cs="Times New Roman"/>
                <w:szCs w:val="24"/>
              </w:rPr>
              <w:t>M</w:t>
            </w:r>
            <w:proofErr w:type="spellEnd"/>
          </w:p>
        </w:tc>
        <w:tc>
          <w:tcPr>
            <w:tcW w:w="2250" w:type="dxa"/>
          </w:tcPr>
          <w:p w14:paraId="0E96DAB9" w14:textId="77777777" w:rsidR="000F7094" w:rsidRDefault="000F7094" w:rsidP="00BC71AD">
            <w:pPr>
              <w:spacing w:line="240" w:lineRule="auto"/>
              <w:jc w:val="center"/>
              <w:rPr>
                <w:rFonts w:cs="Times New Roman"/>
                <w:szCs w:val="24"/>
              </w:rPr>
            </w:pPr>
            <w:r>
              <w:rPr>
                <w:rFonts w:cs="Times New Roman"/>
                <w:szCs w:val="24"/>
              </w:rPr>
              <w:t xml:space="preserve">38.6 </w:t>
            </w:r>
            <w:proofErr w:type="spellStart"/>
            <w:r>
              <w:rPr>
                <w:rFonts w:ascii="Calibri" w:hAnsi="Calibri" w:cs="Calibri"/>
                <w:szCs w:val="24"/>
              </w:rPr>
              <w:t>μ</w:t>
            </w:r>
            <w:r>
              <w:rPr>
                <w:rFonts w:cs="Times New Roman"/>
                <w:szCs w:val="24"/>
              </w:rPr>
              <w:t>M</w:t>
            </w:r>
            <w:proofErr w:type="spellEnd"/>
          </w:p>
        </w:tc>
        <w:tc>
          <w:tcPr>
            <w:tcW w:w="1989" w:type="dxa"/>
          </w:tcPr>
          <w:p w14:paraId="4C51B17D" w14:textId="77777777" w:rsidR="000F7094" w:rsidRDefault="000F7094" w:rsidP="00BC71AD">
            <w:pPr>
              <w:spacing w:line="240" w:lineRule="auto"/>
              <w:jc w:val="center"/>
              <w:rPr>
                <w:rFonts w:cs="Times New Roman"/>
                <w:szCs w:val="24"/>
              </w:rPr>
            </w:pPr>
            <w:r>
              <w:rPr>
                <w:rFonts w:cs="Times New Roman"/>
                <w:szCs w:val="24"/>
              </w:rPr>
              <w:t xml:space="preserve">18.3 </w:t>
            </w:r>
            <w:proofErr w:type="spellStart"/>
            <w:r>
              <w:rPr>
                <w:rFonts w:ascii="Calibri" w:hAnsi="Calibri" w:cs="Calibri"/>
                <w:szCs w:val="24"/>
              </w:rPr>
              <w:t>μ</w:t>
            </w:r>
            <w:r>
              <w:rPr>
                <w:rFonts w:cs="Times New Roman"/>
                <w:szCs w:val="24"/>
              </w:rPr>
              <w:t>M</w:t>
            </w:r>
            <w:proofErr w:type="spellEnd"/>
          </w:p>
        </w:tc>
      </w:tr>
      <w:tr w:rsidR="000F7094" w14:paraId="46C50EAA" w14:textId="77777777" w:rsidTr="00BC71AD">
        <w:trPr>
          <w:trHeight w:val="277"/>
        </w:trPr>
        <w:tc>
          <w:tcPr>
            <w:tcW w:w="1788" w:type="dxa"/>
          </w:tcPr>
          <w:p w14:paraId="72AC29D4" w14:textId="251561F0" w:rsidR="000F7094" w:rsidRDefault="000F7094" w:rsidP="00BC71AD">
            <w:pPr>
              <w:spacing w:line="240" w:lineRule="auto"/>
              <w:rPr>
                <w:rFonts w:cs="Times New Roman"/>
                <w:szCs w:val="24"/>
              </w:rPr>
            </w:pPr>
            <w:r>
              <w:rPr>
                <w:rFonts w:cs="Times New Roman"/>
                <w:szCs w:val="24"/>
              </w:rPr>
              <w:t>Y-0452</w:t>
            </w:r>
            <w:r>
              <w:rPr>
                <w:rFonts w:cs="Times New Roman"/>
                <w:szCs w:val="24"/>
              </w:rPr>
              <w:fldChar w:fldCharType="begin"/>
            </w:r>
            <w:r w:rsidR="00446AFD">
              <w:rPr>
                <w:rFonts w:cs="Times New Roman"/>
                <w:szCs w:val="24"/>
              </w:rPr>
              <w:instrText xml:space="preserve"> ADDIN ZOTERO_ITEM CSL_CITATION {"citationID":"A37FLrD9","properties":{"formattedCitation":"\\super 84\\nosupersub{}","plainCitation":"84","noteIndex":0},"citationItems":[{"id":631,"uris":["http://zotero.org/users/6503767/items/5IR8HV3P"],"itemData":{"id":631,"type":"article-journal","container-title":"Bioorganic &amp; Medicinal Chemistry Letters","DOI":"10.1016/j.bmcl.2018.03.010","ISSN":"0960894X","issue":"16","journalAbbreviation":"Bioorganic &amp; Medicinal Chemistry Letters","language":"en","page":"2717-2722","source":"DOI.org (Crossref)","title":"Structure-guided evolution of a 2-phenyl-4-carboxyquinoline chemotype into PPARα selective agonists: New leads for oculovascular conditions","title-short":"Structure-guided evolution of a 2-phenyl-4-carboxyquinoline chemotype into PPARα selective agonists","volume":"28","author":[{"family":"Dou","given":"Xiao-Zheng"},{"family":"Nath","given":"Dinesh"},{"family":"Shin","given":"Younghwa"},{"family":"Ma","given":"Jian-Xing"},{"family":"Duerfeldt","given":"Adam S."}],"issued":{"date-parts":[["2018",9]]}}}],"schema":"https://github.com/citation-style-language/schema/raw/master/csl-citation.json"} </w:instrText>
            </w:r>
            <w:r>
              <w:rPr>
                <w:rFonts w:cs="Times New Roman"/>
                <w:szCs w:val="24"/>
              </w:rPr>
              <w:fldChar w:fldCharType="separate"/>
            </w:r>
            <w:r w:rsidR="00446AFD" w:rsidRPr="00446AFD">
              <w:rPr>
                <w:rFonts w:cs="Times New Roman"/>
                <w:szCs w:val="24"/>
                <w:vertAlign w:val="superscript"/>
              </w:rPr>
              <w:t>84</w:t>
            </w:r>
            <w:r>
              <w:rPr>
                <w:rFonts w:cs="Times New Roman"/>
                <w:szCs w:val="24"/>
              </w:rPr>
              <w:fldChar w:fldCharType="end"/>
            </w:r>
          </w:p>
        </w:tc>
        <w:tc>
          <w:tcPr>
            <w:tcW w:w="1336" w:type="dxa"/>
          </w:tcPr>
          <w:p w14:paraId="51CDAFE9" w14:textId="77777777" w:rsidR="000F7094" w:rsidRDefault="000F7094" w:rsidP="00BC71AD">
            <w:pPr>
              <w:spacing w:line="240" w:lineRule="auto"/>
              <w:jc w:val="center"/>
              <w:rPr>
                <w:rFonts w:cs="Times New Roman"/>
                <w:szCs w:val="24"/>
              </w:rPr>
            </w:pPr>
            <w:r>
              <w:rPr>
                <w:rFonts w:cs="Times New Roman"/>
                <w:szCs w:val="24"/>
              </w:rPr>
              <w:t>c</w:t>
            </w:r>
          </w:p>
        </w:tc>
        <w:tc>
          <w:tcPr>
            <w:tcW w:w="2001" w:type="dxa"/>
          </w:tcPr>
          <w:p w14:paraId="5AE26E43" w14:textId="77777777" w:rsidR="000F7094" w:rsidRDefault="000F7094" w:rsidP="00BC71AD">
            <w:pPr>
              <w:spacing w:line="240" w:lineRule="auto"/>
              <w:jc w:val="center"/>
              <w:rPr>
                <w:rFonts w:cs="Times New Roman"/>
                <w:szCs w:val="24"/>
              </w:rPr>
            </w:pPr>
            <w:r>
              <w:rPr>
                <w:rFonts w:cs="Times New Roman"/>
                <w:szCs w:val="24"/>
              </w:rPr>
              <w:t xml:space="preserve">52.4 </w:t>
            </w:r>
            <w:proofErr w:type="spellStart"/>
            <w:r>
              <w:rPr>
                <w:rFonts w:ascii="Calibri" w:hAnsi="Calibri" w:cs="Calibri"/>
                <w:szCs w:val="24"/>
              </w:rPr>
              <w:t>μ</w:t>
            </w:r>
            <w:r>
              <w:rPr>
                <w:rFonts w:cs="Times New Roman"/>
                <w:szCs w:val="24"/>
              </w:rPr>
              <w:t>M</w:t>
            </w:r>
            <w:proofErr w:type="spellEnd"/>
          </w:p>
        </w:tc>
        <w:tc>
          <w:tcPr>
            <w:tcW w:w="2250" w:type="dxa"/>
          </w:tcPr>
          <w:p w14:paraId="3BACDA67" w14:textId="77777777" w:rsidR="000F7094" w:rsidRDefault="000F7094" w:rsidP="00BC71AD">
            <w:pPr>
              <w:spacing w:line="240" w:lineRule="auto"/>
              <w:jc w:val="center"/>
              <w:rPr>
                <w:rFonts w:cs="Times New Roman"/>
                <w:szCs w:val="24"/>
              </w:rPr>
            </w:pPr>
            <w:r>
              <w:rPr>
                <w:rFonts w:cs="Times New Roman"/>
                <w:szCs w:val="24"/>
              </w:rPr>
              <w:t>ND</w:t>
            </w:r>
          </w:p>
        </w:tc>
        <w:tc>
          <w:tcPr>
            <w:tcW w:w="1989" w:type="dxa"/>
          </w:tcPr>
          <w:p w14:paraId="714387FE" w14:textId="77777777" w:rsidR="000F7094" w:rsidRDefault="000F7094" w:rsidP="00BC71AD">
            <w:pPr>
              <w:spacing w:line="240" w:lineRule="auto"/>
              <w:jc w:val="center"/>
              <w:rPr>
                <w:rFonts w:cs="Times New Roman"/>
                <w:szCs w:val="24"/>
              </w:rPr>
            </w:pPr>
            <w:r>
              <w:rPr>
                <w:rFonts w:cs="Times New Roman"/>
                <w:szCs w:val="24"/>
              </w:rPr>
              <w:t>ND</w:t>
            </w:r>
          </w:p>
        </w:tc>
      </w:tr>
      <w:tr w:rsidR="000F7094" w14:paraId="02EB7CC0" w14:textId="77777777" w:rsidTr="00BC71AD">
        <w:trPr>
          <w:trHeight w:val="290"/>
        </w:trPr>
        <w:tc>
          <w:tcPr>
            <w:tcW w:w="1788" w:type="dxa"/>
          </w:tcPr>
          <w:p w14:paraId="10D05F1C" w14:textId="3EB8BEC4" w:rsidR="000F7094" w:rsidRDefault="000F7094" w:rsidP="00BC71AD">
            <w:pPr>
              <w:spacing w:line="240" w:lineRule="auto"/>
              <w:rPr>
                <w:rFonts w:cs="Times New Roman"/>
                <w:szCs w:val="24"/>
              </w:rPr>
            </w:pPr>
            <w:r>
              <w:rPr>
                <w:rFonts w:cs="Times New Roman"/>
                <w:szCs w:val="24"/>
              </w:rPr>
              <w:t>Picrasidine C</w:t>
            </w:r>
            <w:r>
              <w:rPr>
                <w:rFonts w:cs="Times New Roman"/>
                <w:szCs w:val="24"/>
              </w:rPr>
              <w:fldChar w:fldCharType="begin"/>
            </w:r>
            <w:r w:rsidR="00B26382">
              <w:rPr>
                <w:rFonts w:cs="Times New Roman"/>
                <w:szCs w:val="24"/>
              </w:rPr>
              <w:instrText xml:space="preserve"> ADDIN ZOTERO_ITEM CSL_CITATION {"citationID":"7j1lRwRy","properties":{"formattedCitation":"\\super 88\\nosupersub{}","plainCitation":"88","noteIndex":0},"citationItems":[{"id":253,"uris":["http://zotero.org/users/6503767/items/6QWFZRX9"],"itemData":{"id":253,"type":"article-journal","abstract":"Picrasidine C (1), a dimeric β-carboline-type alkaloid isolated from the root of Picrasma quassioides, was identiﬁed to have PPARα agonistic activity by a mammalian one-hybrid assay from a compound library. Among the PPAR subtypes, 1 selectively activated PPARα in a concentrationdependent manner. Remarkably, 1 also promoted PPARα transcriptional activity by a peroxisome proliferator response element-driven luciferase reporter assay. Furthermore, 1 induced the expression of PPARα-regulated genes involved in lipid, glucose, and cholesterol metabolism, such as CPT-1, PPARα, PDK4, and ABCA1, which was abrogated by the PPARα antagonist MK-886, indicating that the eﬀect of 1 was dependent on PPARα activation. This is the ﬁrst report to demonstrate 1 to be a subtype-selective PPARα agonist with potential application in treating metabolic diseases, such as hyperlipidemia, atherosclerosis, and hypercholesterolemia.","container-title":"Journal of Natural Products","DOI":"10.1021/acs.jnatprod.6b00883","ISSN":"0163-3864, 1520-6025","issue":"12","journalAbbreviation":"J. Nat. Prod.","language":"en","page":"3127-3133","source":"DOI.org (Crossref)","title":"Identification of Picrasidine C as a Subtype-Selective PPARα Agonist","volume":"79","author":[{"family":"Zhao","given":"Shuai"},{"family":"Kanno","given":"Yuichiro"},{"family":"Li","given":"Wei"},{"family":"Sasaki","given":"Tatsunori"},{"family":"Zhang","given":"Xiangyu"},{"family":"Wang","given":"Jian"},{"family":"Cheng","given":"Maosheng"},{"family":"Koike","given":"Kazuo"},{"family":"Nemoto","given":"Kiyomitsu"},{"family":"Li","given":"Huicheng"}],"issued":{"date-parts":[["2016",12,23]]}}}],"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88</w:t>
            </w:r>
            <w:r>
              <w:rPr>
                <w:rFonts w:cs="Times New Roman"/>
                <w:szCs w:val="24"/>
              </w:rPr>
              <w:fldChar w:fldCharType="end"/>
            </w:r>
          </w:p>
        </w:tc>
        <w:tc>
          <w:tcPr>
            <w:tcW w:w="1336" w:type="dxa"/>
          </w:tcPr>
          <w:p w14:paraId="24DD765D" w14:textId="77777777" w:rsidR="000F7094" w:rsidRDefault="000F7094" w:rsidP="00BC71AD">
            <w:pPr>
              <w:spacing w:line="240" w:lineRule="auto"/>
              <w:jc w:val="center"/>
              <w:rPr>
                <w:rFonts w:cs="Times New Roman"/>
                <w:szCs w:val="24"/>
              </w:rPr>
            </w:pPr>
            <w:r>
              <w:rPr>
                <w:rFonts w:cs="Times New Roman"/>
                <w:szCs w:val="24"/>
              </w:rPr>
              <w:t>c</w:t>
            </w:r>
          </w:p>
        </w:tc>
        <w:tc>
          <w:tcPr>
            <w:tcW w:w="2001" w:type="dxa"/>
          </w:tcPr>
          <w:p w14:paraId="5F12824F" w14:textId="77777777" w:rsidR="000F7094" w:rsidRDefault="000F7094" w:rsidP="00BC71AD">
            <w:pPr>
              <w:spacing w:line="240" w:lineRule="auto"/>
              <w:jc w:val="center"/>
              <w:rPr>
                <w:rFonts w:cs="Times New Roman"/>
                <w:szCs w:val="24"/>
              </w:rPr>
            </w:pPr>
            <w:r>
              <w:rPr>
                <w:rFonts w:cs="Times New Roman"/>
                <w:szCs w:val="24"/>
              </w:rPr>
              <w:t xml:space="preserve">10 </w:t>
            </w:r>
            <w:proofErr w:type="spellStart"/>
            <w:r>
              <w:rPr>
                <w:rFonts w:ascii="Calibri" w:hAnsi="Calibri" w:cs="Calibri"/>
                <w:szCs w:val="24"/>
              </w:rPr>
              <w:t>μ</w:t>
            </w:r>
            <w:r>
              <w:rPr>
                <w:rFonts w:cs="Times New Roman"/>
                <w:szCs w:val="24"/>
              </w:rPr>
              <w:t>M</w:t>
            </w:r>
            <w:proofErr w:type="spellEnd"/>
          </w:p>
        </w:tc>
        <w:tc>
          <w:tcPr>
            <w:tcW w:w="2250" w:type="dxa"/>
          </w:tcPr>
          <w:p w14:paraId="641DF733" w14:textId="77777777" w:rsidR="000F7094" w:rsidRDefault="000F7094" w:rsidP="00BC71AD">
            <w:pPr>
              <w:spacing w:line="240" w:lineRule="auto"/>
              <w:jc w:val="center"/>
              <w:rPr>
                <w:rFonts w:cs="Times New Roman"/>
                <w:szCs w:val="24"/>
              </w:rPr>
            </w:pPr>
            <w:r>
              <w:rPr>
                <w:rFonts w:cs="Times New Roman"/>
                <w:szCs w:val="24"/>
              </w:rPr>
              <w:t>ND</w:t>
            </w:r>
          </w:p>
        </w:tc>
        <w:tc>
          <w:tcPr>
            <w:tcW w:w="1989" w:type="dxa"/>
          </w:tcPr>
          <w:p w14:paraId="6CA14BF2" w14:textId="77777777" w:rsidR="000F7094" w:rsidRDefault="000F7094" w:rsidP="00BC71AD">
            <w:pPr>
              <w:spacing w:line="240" w:lineRule="auto"/>
              <w:jc w:val="center"/>
              <w:rPr>
                <w:rFonts w:cs="Times New Roman"/>
                <w:szCs w:val="24"/>
              </w:rPr>
            </w:pPr>
            <w:r>
              <w:rPr>
                <w:rFonts w:cs="Times New Roman"/>
                <w:szCs w:val="24"/>
              </w:rPr>
              <w:t>ND</w:t>
            </w:r>
          </w:p>
        </w:tc>
      </w:tr>
      <w:tr w:rsidR="000F7094" w14:paraId="7D5E1D1B" w14:textId="77777777" w:rsidTr="00BC71AD">
        <w:trPr>
          <w:trHeight w:val="277"/>
        </w:trPr>
        <w:tc>
          <w:tcPr>
            <w:tcW w:w="1788" w:type="dxa"/>
          </w:tcPr>
          <w:p w14:paraId="1F1D92B7" w14:textId="6AB7C45B" w:rsidR="000F7094" w:rsidRDefault="000F7094" w:rsidP="00BC71AD">
            <w:pPr>
              <w:spacing w:line="240" w:lineRule="auto"/>
              <w:rPr>
                <w:rFonts w:cs="Times New Roman"/>
                <w:szCs w:val="24"/>
              </w:rPr>
            </w:pPr>
            <w:r>
              <w:rPr>
                <w:rFonts w:cs="Times New Roman"/>
                <w:szCs w:val="24"/>
              </w:rPr>
              <w:t>Rosiglitazone</w:t>
            </w:r>
            <w:r>
              <w:rPr>
                <w:rFonts w:cs="Times New Roman"/>
                <w:szCs w:val="24"/>
              </w:rPr>
              <w:fldChar w:fldCharType="begin"/>
            </w:r>
            <w:r w:rsidR="00446AFD">
              <w:rPr>
                <w:rFonts w:cs="Times New Roman"/>
                <w:szCs w:val="24"/>
              </w:rPr>
              <w:instrText xml:space="preserve"> ADDIN ZOTERO_ITEM CSL_CITATION {"citationID":"bht7hu68","properties":{"formattedCitation":"\\super 82\\nosupersub{}","plainCitation":"82","noteIndex":0},"citationItems":[{"id":617,"uris":["http://zotero.org/users/6503767/items/6WIPRG2V"],"itemData":{"id":617,"type":"article-journal","container-title":"Proceedings of the National Academy of Sciences","DOI":"10.1073/pnas.241410198","ISSN":"0027-8424, 1091-6490","issue":"24","journalAbbreviation":"Proceedings of the National Academy of Sciences","language":"en","page":"13919-13924","source":"DOI.org (Crossref)","title":"Structural determinants of ligand binding selectivity between the peroxisome proliferator-activated receptors","volume":"98","author":[{"family":"Xu","given":"H. E."},{"family":"Lambert","given":"M. H."},{"family":"Montana","given":"V. G."},{"family":"Plunket","given":"K. D."},{"family":"Moore","given":"L. B."},{"family":"Collins","given":"J. L."},{"family":"Oplinger","given":"J. A."},{"family":"Kliewer","given":"S. A."},{"family":"Gampe","given":"R. T."},{"family":"McKee","given":"D. D."},{"family":"Moore","given":"J. T."},{"family":"Willson","given":"T. M."}],"issued":{"date-parts":[["2001",11,20]]}}}],"schema":"https://github.com/citation-style-language/schema/raw/master/csl-citation.json"} </w:instrText>
            </w:r>
            <w:r>
              <w:rPr>
                <w:rFonts w:cs="Times New Roman"/>
                <w:szCs w:val="24"/>
              </w:rPr>
              <w:fldChar w:fldCharType="separate"/>
            </w:r>
            <w:r w:rsidR="00446AFD" w:rsidRPr="00446AFD">
              <w:rPr>
                <w:rFonts w:cs="Times New Roman"/>
                <w:szCs w:val="24"/>
                <w:vertAlign w:val="superscript"/>
              </w:rPr>
              <w:t>82</w:t>
            </w:r>
            <w:r>
              <w:rPr>
                <w:rFonts w:cs="Times New Roman"/>
                <w:szCs w:val="24"/>
              </w:rPr>
              <w:fldChar w:fldCharType="end"/>
            </w:r>
          </w:p>
        </w:tc>
        <w:tc>
          <w:tcPr>
            <w:tcW w:w="1336" w:type="dxa"/>
          </w:tcPr>
          <w:p w14:paraId="4C923C77" w14:textId="77777777" w:rsidR="000F7094" w:rsidRDefault="000F7094" w:rsidP="00BC71AD">
            <w:pPr>
              <w:spacing w:line="240" w:lineRule="auto"/>
              <w:jc w:val="center"/>
              <w:rPr>
                <w:rFonts w:cs="Times New Roman"/>
                <w:szCs w:val="24"/>
              </w:rPr>
            </w:pPr>
            <w:r>
              <w:rPr>
                <w:rFonts w:cs="Times New Roman"/>
                <w:szCs w:val="24"/>
              </w:rPr>
              <w:t>b</w:t>
            </w:r>
          </w:p>
        </w:tc>
        <w:tc>
          <w:tcPr>
            <w:tcW w:w="2001" w:type="dxa"/>
          </w:tcPr>
          <w:p w14:paraId="212684BD" w14:textId="77777777" w:rsidR="000F7094" w:rsidRDefault="000F7094" w:rsidP="00BC71AD">
            <w:pPr>
              <w:spacing w:line="240" w:lineRule="auto"/>
              <w:jc w:val="center"/>
              <w:rPr>
                <w:rFonts w:cs="Times New Roman"/>
                <w:szCs w:val="24"/>
              </w:rPr>
            </w:pPr>
            <w:r>
              <w:rPr>
                <w:rFonts w:cs="Times New Roman"/>
                <w:szCs w:val="24"/>
              </w:rPr>
              <w:t xml:space="preserve">&gt;10 </w:t>
            </w:r>
            <w:proofErr w:type="spellStart"/>
            <w:r>
              <w:rPr>
                <w:rFonts w:ascii="Calibri" w:hAnsi="Calibri" w:cs="Calibri"/>
                <w:szCs w:val="24"/>
              </w:rPr>
              <w:t>μ</w:t>
            </w:r>
            <w:r>
              <w:rPr>
                <w:rFonts w:cs="Times New Roman"/>
                <w:szCs w:val="24"/>
              </w:rPr>
              <w:t>M</w:t>
            </w:r>
            <w:proofErr w:type="spellEnd"/>
          </w:p>
        </w:tc>
        <w:tc>
          <w:tcPr>
            <w:tcW w:w="2250" w:type="dxa"/>
          </w:tcPr>
          <w:p w14:paraId="5DBF0287" w14:textId="77777777" w:rsidR="000F7094" w:rsidRDefault="000F7094" w:rsidP="00BC71AD">
            <w:pPr>
              <w:spacing w:line="240" w:lineRule="auto"/>
              <w:jc w:val="center"/>
              <w:rPr>
                <w:rFonts w:cs="Times New Roman"/>
                <w:szCs w:val="24"/>
              </w:rPr>
            </w:pPr>
            <w:r>
              <w:rPr>
                <w:rFonts w:cs="Times New Roman"/>
                <w:szCs w:val="24"/>
              </w:rPr>
              <w:t xml:space="preserve">&gt;10 </w:t>
            </w:r>
            <w:proofErr w:type="spellStart"/>
            <w:r>
              <w:rPr>
                <w:rFonts w:ascii="Calibri" w:hAnsi="Calibri" w:cs="Calibri"/>
                <w:szCs w:val="24"/>
              </w:rPr>
              <w:t>μ</w:t>
            </w:r>
            <w:r>
              <w:rPr>
                <w:rFonts w:cs="Times New Roman"/>
                <w:szCs w:val="24"/>
              </w:rPr>
              <w:t>M</w:t>
            </w:r>
            <w:proofErr w:type="spellEnd"/>
          </w:p>
        </w:tc>
        <w:tc>
          <w:tcPr>
            <w:tcW w:w="1989" w:type="dxa"/>
          </w:tcPr>
          <w:p w14:paraId="03D0D3E8" w14:textId="77777777" w:rsidR="000F7094" w:rsidRDefault="000F7094" w:rsidP="00BC71AD">
            <w:pPr>
              <w:spacing w:line="240" w:lineRule="auto"/>
              <w:jc w:val="center"/>
              <w:rPr>
                <w:rFonts w:cs="Times New Roman"/>
                <w:szCs w:val="24"/>
              </w:rPr>
            </w:pPr>
            <w:r>
              <w:rPr>
                <w:rFonts w:cs="Times New Roman"/>
                <w:szCs w:val="24"/>
              </w:rPr>
              <w:t xml:space="preserve">0.018 </w:t>
            </w:r>
            <w:proofErr w:type="spellStart"/>
            <w:r>
              <w:rPr>
                <w:rFonts w:ascii="Calibri" w:hAnsi="Calibri" w:cs="Calibri"/>
                <w:szCs w:val="24"/>
              </w:rPr>
              <w:t>μ</w:t>
            </w:r>
            <w:r>
              <w:rPr>
                <w:rFonts w:cs="Times New Roman"/>
                <w:szCs w:val="24"/>
              </w:rPr>
              <w:t>M</w:t>
            </w:r>
            <w:proofErr w:type="spellEnd"/>
          </w:p>
        </w:tc>
      </w:tr>
    </w:tbl>
    <w:p w14:paraId="1E8F8CFF" w14:textId="77777777" w:rsidR="000F7094" w:rsidRDefault="000F7094" w:rsidP="000F7094">
      <w:pPr>
        <w:spacing w:line="240" w:lineRule="auto"/>
        <w:rPr>
          <w:rFonts w:cs="Times New Roman"/>
          <w:szCs w:val="24"/>
        </w:rPr>
      </w:pPr>
      <w:r>
        <w:rPr>
          <w:rFonts w:cs="Times New Roman"/>
          <w:szCs w:val="24"/>
        </w:rPr>
        <w:t>Data are represented as the EC</w:t>
      </w:r>
      <w:r w:rsidRPr="00226CF7">
        <w:rPr>
          <w:rFonts w:cs="Times New Roman"/>
          <w:szCs w:val="24"/>
          <w:vertAlign w:val="subscript"/>
        </w:rPr>
        <w:t>50</w:t>
      </w:r>
      <w:r>
        <w:rPr>
          <w:rFonts w:cs="Times New Roman"/>
          <w:szCs w:val="24"/>
        </w:rPr>
        <w:t xml:space="preserve"> of the corresponding (a) activation of mouse PPAR-GAL4 chimeric receptor, (b) activation of human PPAR-GAL4 chimeric receptor, or (c) human PPAR agonism in luciferase reporter cell lines. ND = No Data. </w:t>
      </w:r>
    </w:p>
    <w:p w14:paraId="0420D39B" w14:textId="77777777" w:rsidR="000F7094" w:rsidRPr="00CB36A3" w:rsidRDefault="000F7094" w:rsidP="000F7094">
      <w:pPr>
        <w:spacing w:line="240" w:lineRule="auto"/>
        <w:rPr>
          <w:rFonts w:cs="Times New Roman"/>
          <w:szCs w:val="24"/>
        </w:rPr>
      </w:pPr>
    </w:p>
    <w:p w14:paraId="7A6280ED" w14:textId="4AC92264" w:rsidR="000F7094" w:rsidRPr="006C01D9" w:rsidRDefault="000F7094" w:rsidP="0042307F">
      <w:pPr>
        <w:ind w:firstLine="720"/>
        <w:rPr>
          <w:rFonts w:cs="Times New Roman"/>
          <w:szCs w:val="24"/>
        </w:rPr>
      </w:pPr>
      <w:r>
        <w:rPr>
          <w:rFonts w:cs="Times New Roman"/>
          <w:szCs w:val="24"/>
        </w:rPr>
        <w:t>With our interest in developing selective PPARα agonists, we became interested in the natural product p</w:t>
      </w:r>
      <w:r w:rsidRPr="003E5113">
        <w:rPr>
          <w:rFonts w:cs="Times New Roman"/>
          <w:szCs w:val="24"/>
        </w:rPr>
        <w:t xml:space="preserve">icrasidine C </w:t>
      </w:r>
      <w:r>
        <w:rPr>
          <w:rFonts w:cs="Times New Roman"/>
          <w:szCs w:val="24"/>
        </w:rPr>
        <w:t>(</w:t>
      </w:r>
      <w:r w:rsidR="006D7CF1" w:rsidRPr="006D7CF1">
        <w:rPr>
          <w:rFonts w:cs="Times New Roman"/>
          <w:b/>
          <w:bCs/>
          <w:szCs w:val="24"/>
        </w:rPr>
        <w:t>3.</w:t>
      </w:r>
      <w:r w:rsidRPr="00972450">
        <w:rPr>
          <w:rFonts w:cs="Times New Roman"/>
          <w:b/>
          <w:bCs/>
          <w:szCs w:val="24"/>
        </w:rPr>
        <w:t>1</w:t>
      </w:r>
      <w:r>
        <w:rPr>
          <w:rFonts w:cs="Times New Roman"/>
          <w:szCs w:val="24"/>
        </w:rPr>
        <w:t xml:space="preserve">), which </w:t>
      </w:r>
      <w:r w:rsidRPr="003E5113">
        <w:rPr>
          <w:rFonts w:cs="Times New Roman"/>
          <w:szCs w:val="24"/>
        </w:rPr>
        <w:t xml:space="preserve">was recently </w:t>
      </w:r>
      <w:r>
        <w:rPr>
          <w:rFonts w:cs="Times New Roman"/>
          <w:szCs w:val="24"/>
        </w:rPr>
        <w:t>reported</w:t>
      </w:r>
      <w:r w:rsidRPr="003E5113">
        <w:rPr>
          <w:rFonts w:cs="Times New Roman"/>
          <w:szCs w:val="24"/>
        </w:rPr>
        <w:t xml:space="preserve"> to selectively induce mRNA expression of PPARα-regulated genes in a concentration-dependent manner.</w:t>
      </w:r>
      <w:r>
        <w:rPr>
          <w:rFonts w:cs="Times New Roman"/>
          <w:szCs w:val="24"/>
        </w:rPr>
        <w:fldChar w:fldCharType="begin"/>
      </w:r>
      <w:r w:rsidR="00B26382">
        <w:rPr>
          <w:rFonts w:cs="Times New Roman"/>
          <w:szCs w:val="24"/>
        </w:rPr>
        <w:instrText xml:space="preserve"> ADDIN ZOTERO_ITEM CSL_CITATION {"citationID":"HlyTf1TT","properties":{"formattedCitation":"\\super 88\\nosupersub{}","plainCitation":"88","noteIndex":0},"citationItems":[{"id":253,"uris":["http://zotero.org/users/6503767/items/6QWFZRX9"],"itemData":{"id":253,"type":"article-journal","abstract":"Picrasidine C (1), a dimeric β-carboline-type alkaloid isolated from the root of Picrasma quassioides, was identiﬁed to have PPARα agonistic activity by a mammalian one-hybrid assay from a compound library. Among the PPAR subtypes, 1 selectively activated PPARα in a concentrationdependent manner. Remarkably, 1 also promoted PPARα transcriptional activity by a peroxisome proliferator response element-driven luciferase reporter assay. Furthermore, 1 induced the expression of PPARα-regulated genes involved in lipid, glucose, and cholesterol metabolism, such as CPT-1, PPARα, PDK4, and ABCA1, which was abrogated by the PPARα antagonist MK-886, indicating that the eﬀect of 1 was dependent on PPARα activation. This is the ﬁrst report to demonstrate 1 to be a subtype-selective PPARα agonist with potential application in treating metabolic diseases, such as hyperlipidemia, atherosclerosis, and hypercholesterolemia.","container-title":"Journal of Natural Products","DOI":"10.1021/acs.jnatprod.6b00883","ISSN":"0163-3864, 1520-6025","issue":"12","journalAbbreviation":"J. Nat. Prod.","language":"en","page":"3127-3133","source":"DOI.org (Crossref)","title":"Identification of Picrasidine C as a Subtype-Selective PPARα Agonist","volume":"79","author":[{"family":"Zhao","given":"Shuai"},{"family":"Kanno","given":"Yuichiro"},{"family":"Li","given":"Wei"},{"family":"Sasaki","given":"Tatsunori"},{"family":"Zhang","given":"Xiangyu"},{"family":"Wang","given":"Jian"},{"family":"Cheng","given":"Maosheng"},{"family":"Koike","given":"Kazuo"},{"family":"Nemoto","given":"Kiyomitsu"},{"family":"Li","given":"Huicheng"}],"issued":{"date-parts":[["2016",12,23]]}}}],"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88</w:t>
      </w:r>
      <w:r>
        <w:rPr>
          <w:rFonts w:cs="Times New Roman"/>
          <w:szCs w:val="24"/>
        </w:rPr>
        <w:fldChar w:fldCharType="end"/>
      </w:r>
      <w:r>
        <w:rPr>
          <w:rFonts w:cs="Times New Roman"/>
          <w:szCs w:val="24"/>
        </w:rPr>
        <w:t xml:space="preserve"> Compound </w:t>
      </w:r>
      <w:r w:rsidRPr="009F7085">
        <w:rPr>
          <w:rFonts w:cs="Times New Roman"/>
          <w:b/>
          <w:bCs/>
          <w:szCs w:val="24"/>
        </w:rPr>
        <w:t>1</w:t>
      </w:r>
      <w:r>
        <w:rPr>
          <w:rFonts w:cs="Times New Roman"/>
          <w:szCs w:val="24"/>
        </w:rPr>
        <w:t xml:space="preserve"> is a </w:t>
      </w:r>
      <w:r>
        <w:rPr>
          <w:rFonts w:cs="Times New Roman"/>
          <w:szCs w:val="24"/>
        </w:rPr>
        <w:lastRenderedPageBreak/>
        <w:t xml:space="preserve">pseudo dimeric β-carboline alkaloid first isolated from the root wood of </w:t>
      </w:r>
      <w:r w:rsidRPr="008B4165">
        <w:rPr>
          <w:rFonts w:cs="Times New Roman"/>
          <w:i/>
          <w:iCs/>
          <w:szCs w:val="24"/>
        </w:rPr>
        <w:t xml:space="preserve">Picrasma </w:t>
      </w:r>
      <w:proofErr w:type="spellStart"/>
      <w:r w:rsidRPr="008B4165">
        <w:rPr>
          <w:rFonts w:cs="Times New Roman"/>
          <w:i/>
          <w:iCs/>
          <w:szCs w:val="24"/>
        </w:rPr>
        <w:t>quassioides</w:t>
      </w:r>
      <w:proofErr w:type="spellEnd"/>
      <w:r>
        <w:rPr>
          <w:rFonts w:cs="Times New Roman"/>
          <w:szCs w:val="24"/>
        </w:rPr>
        <w:t xml:space="preserve"> (Simaroubaceae, Japanese name “</w:t>
      </w:r>
      <w:proofErr w:type="spellStart"/>
      <w:r>
        <w:rPr>
          <w:rFonts w:cs="Times New Roman"/>
          <w:szCs w:val="24"/>
        </w:rPr>
        <w:t>Nigaki</w:t>
      </w:r>
      <w:proofErr w:type="spellEnd"/>
      <w:r>
        <w:rPr>
          <w:rFonts w:cs="Times New Roman"/>
          <w:szCs w:val="24"/>
        </w:rPr>
        <w:t>”) in 1983.</w:t>
      </w:r>
      <w:r>
        <w:rPr>
          <w:rFonts w:cs="Times New Roman"/>
          <w:szCs w:val="24"/>
        </w:rPr>
        <w:fldChar w:fldCharType="begin"/>
      </w:r>
      <w:r w:rsidR="00B26382">
        <w:rPr>
          <w:rFonts w:cs="Times New Roman"/>
          <w:szCs w:val="24"/>
        </w:rPr>
        <w:instrText xml:space="preserve"> ADDIN ZOTERO_ITEM CSL_CITATION {"citationID":"Cuaeytbo","properties":{"formattedCitation":"\\super 89\\nosupersub{}","plainCitation":"89","noteIndex":0},"citationItems":[{"id":613,"uris":["http://zotero.org/users/6503767/items/MY26P9SS"],"itemData":{"id":613,"type":"article-journal","container-title":"Chemical and Pharmaceutical Bulletin","DOI":"10.1248/cpb.31.3198","ISSN":"0009-2363, 1347-5223","issue":"9","journalAbbreviation":"Chem. Pharm. Bull.","language":"en","page":"3198-3204","source":"DOI.org (Crossref)","title":"Studies on the constituents of Picrasma quassioides BENNET. II. On the alkaloidal constituents.","volume":"31","author":[{"family":"Ohmoto","given":"Taichi"},{"family":"Koike","given":"Kazuo"}],"issued":{"date-parts":[["1983"]]}}}],"schema":"https://github.com/citation-style-language/schema/raw/master/csl-citation.json"}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89</w:t>
      </w:r>
      <w:r>
        <w:rPr>
          <w:rFonts w:cs="Times New Roman"/>
          <w:szCs w:val="24"/>
        </w:rPr>
        <w:fldChar w:fldCharType="end"/>
      </w:r>
      <w:r>
        <w:rPr>
          <w:rFonts w:cs="Times New Roman"/>
          <w:szCs w:val="24"/>
        </w:rPr>
        <w:t xml:space="preserve"> </w:t>
      </w:r>
      <w:r w:rsidRPr="003E5113">
        <w:rPr>
          <w:rFonts w:cs="Times New Roman"/>
          <w:szCs w:val="24"/>
        </w:rPr>
        <w:t>Interestingly, picrasidine C is structurally different from</w:t>
      </w:r>
      <w:r>
        <w:rPr>
          <w:rFonts w:cs="Times New Roman"/>
          <w:szCs w:val="24"/>
        </w:rPr>
        <w:t xml:space="preserve"> traditional</w:t>
      </w:r>
      <w:r w:rsidRPr="003E5113">
        <w:rPr>
          <w:rFonts w:cs="Times New Roman"/>
          <w:szCs w:val="24"/>
        </w:rPr>
        <w:t xml:space="preserve"> PPARα agonists</w:t>
      </w:r>
      <w:r>
        <w:rPr>
          <w:rFonts w:cs="Times New Roman"/>
          <w:szCs w:val="24"/>
        </w:rPr>
        <w:t>,</w:t>
      </w:r>
      <w:r w:rsidRPr="003E5113">
        <w:rPr>
          <w:rFonts w:cs="Times New Roman"/>
          <w:szCs w:val="24"/>
        </w:rPr>
        <w:t xml:space="preserve"> as it does not include the seemingly integral carboxylic acid pharmacophore</w:t>
      </w:r>
      <w:r>
        <w:rPr>
          <w:rFonts w:cs="Times New Roman"/>
          <w:szCs w:val="24"/>
        </w:rPr>
        <w:t xml:space="preserve"> (atoms labeled in red in </w:t>
      </w:r>
      <w:r w:rsidR="00BB2970" w:rsidRPr="00BB2970">
        <w:rPr>
          <w:rFonts w:cs="Times New Roman"/>
          <w:b/>
          <w:bCs/>
          <w:szCs w:val="24"/>
        </w:rPr>
        <w:fldChar w:fldCharType="begin"/>
      </w:r>
      <w:r w:rsidR="00BB2970" w:rsidRPr="00BB2970">
        <w:rPr>
          <w:rFonts w:cs="Times New Roman"/>
          <w:b/>
          <w:bCs/>
          <w:szCs w:val="24"/>
        </w:rPr>
        <w:instrText xml:space="preserve"> REF _Ref100742950 \h </w:instrText>
      </w:r>
      <w:r w:rsidR="00BB2970">
        <w:rPr>
          <w:rFonts w:cs="Times New Roman"/>
          <w:b/>
          <w:bCs/>
          <w:szCs w:val="24"/>
        </w:rPr>
        <w:instrText xml:space="preserve"> \* MERGEFORMAT </w:instrText>
      </w:r>
      <w:r w:rsidR="00BB2970" w:rsidRPr="00BB2970">
        <w:rPr>
          <w:rFonts w:cs="Times New Roman"/>
          <w:b/>
          <w:bCs/>
          <w:szCs w:val="24"/>
        </w:rPr>
      </w:r>
      <w:r w:rsidR="00BB2970" w:rsidRPr="00BB2970">
        <w:rPr>
          <w:rFonts w:cs="Times New Roman"/>
          <w:b/>
          <w:bCs/>
          <w:szCs w:val="24"/>
        </w:rPr>
        <w:fldChar w:fldCharType="separate"/>
      </w:r>
      <w:r w:rsidR="00AA5AAC" w:rsidRPr="00AA5AAC">
        <w:rPr>
          <w:b/>
          <w:bCs/>
        </w:rPr>
        <w:t>Figure 1.9</w:t>
      </w:r>
      <w:r w:rsidR="00BB2970" w:rsidRPr="00BB2970">
        <w:rPr>
          <w:rFonts w:cs="Times New Roman"/>
          <w:b/>
          <w:bCs/>
          <w:szCs w:val="24"/>
        </w:rPr>
        <w:fldChar w:fldCharType="end"/>
      </w:r>
      <w:r>
        <w:rPr>
          <w:rFonts w:cs="Times New Roman"/>
          <w:szCs w:val="24"/>
        </w:rPr>
        <w:t xml:space="preserve">). Because of the stark structural difference of </w:t>
      </w:r>
      <w:r w:rsidR="006D7CF1" w:rsidRPr="006D7CF1">
        <w:rPr>
          <w:rFonts w:cs="Times New Roman"/>
          <w:b/>
          <w:bCs/>
          <w:szCs w:val="24"/>
        </w:rPr>
        <w:t>3.</w:t>
      </w:r>
      <w:r w:rsidRPr="00AE0E0C">
        <w:rPr>
          <w:rFonts w:cs="Times New Roman"/>
          <w:b/>
          <w:bCs/>
          <w:szCs w:val="24"/>
        </w:rPr>
        <w:t>1</w:t>
      </w:r>
      <w:r>
        <w:rPr>
          <w:rFonts w:cs="Times New Roman"/>
          <w:szCs w:val="24"/>
        </w:rPr>
        <w:t xml:space="preserve"> compared to prototypical PPARα agonists, this natural product opens new chemical space for the development of </w:t>
      </w:r>
      <w:r w:rsidRPr="003E5113">
        <w:rPr>
          <w:rFonts w:cs="Times New Roman"/>
          <w:szCs w:val="24"/>
        </w:rPr>
        <w:t>PPARα agonists</w:t>
      </w:r>
      <w:r>
        <w:rPr>
          <w:rFonts w:cs="Times New Roman"/>
          <w:szCs w:val="24"/>
        </w:rPr>
        <w:t xml:space="preserve">. This, along with the poor isolation yields (see </w:t>
      </w:r>
      <w:r w:rsidR="00BB2970" w:rsidRPr="00BB2970">
        <w:rPr>
          <w:rFonts w:cs="Times New Roman"/>
          <w:b/>
          <w:bCs/>
          <w:szCs w:val="24"/>
        </w:rPr>
        <w:fldChar w:fldCharType="begin"/>
      </w:r>
      <w:r w:rsidR="00BB2970" w:rsidRPr="00BB2970">
        <w:rPr>
          <w:rFonts w:cs="Times New Roman"/>
          <w:b/>
          <w:bCs/>
          <w:szCs w:val="24"/>
        </w:rPr>
        <w:instrText xml:space="preserve"> REF _Ref100742582 \h  \* MERGEFORMAT </w:instrText>
      </w:r>
      <w:r w:rsidR="00BB2970" w:rsidRPr="00BB2970">
        <w:rPr>
          <w:rFonts w:cs="Times New Roman"/>
          <w:b/>
          <w:bCs/>
          <w:szCs w:val="24"/>
        </w:rPr>
      </w:r>
      <w:r w:rsidR="00BB2970" w:rsidRPr="00BB2970">
        <w:rPr>
          <w:rFonts w:cs="Times New Roman"/>
          <w:b/>
          <w:bCs/>
          <w:szCs w:val="24"/>
        </w:rPr>
        <w:fldChar w:fldCharType="separate"/>
      </w:r>
      <w:r w:rsidR="00AA5AAC" w:rsidRPr="00AA5AAC">
        <w:rPr>
          <w:b/>
          <w:bCs/>
        </w:rPr>
        <w:t>Figure 1.7</w:t>
      </w:r>
      <w:r w:rsidR="00BB2970" w:rsidRPr="00BB2970">
        <w:rPr>
          <w:rFonts w:cs="Times New Roman"/>
          <w:b/>
          <w:bCs/>
          <w:szCs w:val="24"/>
        </w:rPr>
        <w:fldChar w:fldCharType="end"/>
      </w:r>
      <w:r w:rsidR="00BB2970">
        <w:rPr>
          <w:rFonts w:cs="Times New Roman"/>
          <w:b/>
          <w:bCs/>
          <w:szCs w:val="24"/>
        </w:rPr>
        <w:t xml:space="preserve"> </w:t>
      </w:r>
      <w:r>
        <w:rPr>
          <w:rFonts w:cs="Times New Roman"/>
          <w:szCs w:val="24"/>
        </w:rPr>
        <w:t xml:space="preserve">and section </w:t>
      </w:r>
      <w:r w:rsidRPr="008B4165">
        <w:rPr>
          <w:rFonts w:cs="Times New Roman"/>
          <w:b/>
          <w:bCs/>
          <w:szCs w:val="24"/>
        </w:rPr>
        <w:t>1.2.1</w:t>
      </w:r>
      <w:r>
        <w:rPr>
          <w:rFonts w:cs="Times New Roman"/>
          <w:szCs w:val="24"/>
        </w:rPr>
        <w:t xml:space="preserve">) of </w:t>
      </w:r>
      <w:r w:rsidR="006D7CF1" w:rsidRPr="006D7CF1">
        <w:rPr>
          <w:rFonts w:cs="Times New Roman"/>
          <w:b/>
          <w:bCs/>
          <w:szCs w:val="24"/>
        </w:rPr>
        <w:t>3.</w:t>
      </w:r>
      <w:r>
        <w:rPr>
          <w:rFonts w:cs="Times New Roman"/>
          <w:b/>
          <w:szCs w:val="24"/>
        </w:rPr>
        <w:t>1</w:t>
      </w:r>
      <w:r>
        <w:rPr>
          <w:rFonts w:cs="Times New Roman"/>
          <w:szCs w:val="24"/>
        </w:rPr>
        <w:t xml:space="preserve"> provide for an attractive total synthesis project. </w:t>
      </w:r>
      <w:r w:rsidRPr="003E5113">
        <w:rPr>
          <w:rFonts w:cs="Times New Roman"/>
          <w:szCs w:val="24"/>
        </w:rPr>
        <w:t xml:space="preserve">The </w:t>
      </w:r>
      <w:r>
        <w:rPr>
          <w:rFonts w:cs="Times New Roman"/>
          <w:szCs w:val="24"/>
        </w:rPr>
        <w:t xml:space="preserve">successful completion of the </w:t>
      </w:r>
      <w:r w:rsidRPr="003E5113">
        <w:rPr>
          <w:rFonts w:cs="Times New Roman"/>
          <w:szCs w:val="24"/>
        </w:rPr>
        <w:t xml:space="preserve">total synthesis of </w:t>
      </w:r>
      <w:r w:rsidRPr="003E5113">
        <w:rPr>
          <w:rFonts w:cs="Times New Roman"/>
          <w:bCs/>
          <w:szCs w:val="24"/>
        </w:rPr>
        <w:t>this compound</w:t>
      </w:r>
      <w:r w:rsidRPr="003E5113">
        <w:rPr>
          <w:rFonts w:cs="Times New Roman"/>
          <w:szCs w:val="24"/>
        </w:rPr>
        <w:t xml:space="preserve"> w</w:t>
      </w:r>
      <w:r>
        <w:rPr>
          <w:rFonts w:cs="Times New Roman"/>
          <w:szCs w:val="24"/>
        </w:rPr>
        <w:t>ould not only</w:t>
      </w:r>
      <w:r w:rsidRPr="003E5113">
        <w:rPr>
          <w:rFonts w:cs="Times New Roman"/>
          <w:szCs w:val="24"/>
        </w:rPr>
        <w:t xml:space="preserve"> help to elucidate its absolute stereochemistry</w:t>
      </w:r>
      <w:r>
        <w:rPr>
          <w:rFonts w:cs="Times New Roman"/>
          <w:szCs w:val="24"/>
        </w:rPr>
        <w:t xml:space="preserve"> (active enantiomer is unknown)</w:t>
      </w:r>
      <w:r w:rsidRPr="003E5113">
        <w:rPr>
          <w:rFonts w:cs="Times New Roman"/>
          <w:szCs w:val="24"/>
        </w:rPr>
        <w:t xml:space="preserve">, but also </w:t>
      </w:r>
      <w:r>
        <w:rPr>
          <w:rFonts w:cs="Times New Roman"/>
          <w:szCs w:val="24"/>
        </w:rPr>
        <w:t>enable structure-activity relationship studies expected to lead to more optimal leads</w:t>
      </w:r>
      <w:r w:rsidRPr="003E5113">
        <w:rPr>
          <w:rFonts w:cs="Times New Roman"/>
          <w:szCs w:val="24"/>
        </w:rPr>
        <w:t xml:space="preserve">. </w:t>
      </w:r>
    </w:p>
    <w:p w14:paraId="2FF8F6F7" w14:textId="77777777" w:rsidR="000F7094" w:rsidRDefault="000F7094" w:rsidP="000F7094">
      <w:pPr>
        <w:pStyle w:val="Subsection"/>
      </w:pPr>
      <w:bookmarkStart w:id="80" w:name="_Toc100241879"/>
      <w:bookmarkStart w:id="81" w:name="_Toc102586243"/>
      <w:r>
        <w:t xml:space="preserve">1.2.4 Overview of </w:t>
      </w:r>
      <w:r w:rsidRPr="00E8191B">
        <w:rPr>
          <w:i/>
          <w:iCs/>
        </w:rPr>
        <w:t>Picrasma</w:t>
      </w:r>
      <w:r>
        <w:t xml:space="preserve"> alkaloids and picrasidine family members.</w:t>
      </w:r>
      <w:bookmarkEnd w:id="80"/>
      <w:bookmarkEnd w:id="81"/>
      <w:r>
        <w:t xml:space="preserve"> </w:t>
      </w:r>
    </w:p>
    <w:p w14:paraId="7D2726BC" w14:textId="5FA17178" w:rsidR="000F7094" w:rsidRDefault="000F7094" w:rsidP="000F7094">
      <w:pPr>
        <w:ind w:firstLine="720"/>
        <w:rPr>
          <w:rFonts w:cs="Times New Roman"/>
          <w:szCs w:val="24"/>
        </w:rPr>
      </w:pPr>
      <w:r>
        <w:rPr>
          <w:rFonts w:cs="Times New Roman"/>
          <w:szCs w:val="24"/>
        </w:rPr>
        <w:t xml:space="preserve">Picrasidine C is only one member of the large family of </w:t>
      </w:r>
      <w:r w:rsidRPr="00E8191B">
        <w:rPr>
          <w:rFonts w:cs="Times New Roman"/>
          <w:i/>
          <w:iCs/>
          <w:szCs w:val="24"/>
        </w:rPr>
        <w:t>Picrasma</w:t>
      </w:r>
      <w:r>
        <w:rPr>
          <w:rFonts w:cs="Times New Roman"/>
          <w:szCs w:val="24"/>
        </w:rPr>
        <w:t xml:space="preserve"> alkaloids. The various pharmacological benefits exhibited by </w:t>
      </w:r>
      <w:r w:rsidRPr="00A16D09">
        <w:rPr>
          <w:rFonts w:cs="Times New Roman"/>
          <w:i/>
          <w:iCs/>
          <w:szCs w:val="24"/>
        </w:rPr>
        <w:t xml:space="preserve">P. </w:t>
      </w:r>
      <w:proofErr w:type="spellStart"/>
      <w:r w:rsidRPr="00A16D09">
        <w:rPr>
          <w:rFonts w:cs="Times New Roman"/>
          <w:i/>
          <w:iCs/>
          <w:szCs w:val="24"/>
        </w:rPr>
        <w:t>quassioides</w:t>
      </w:r>
      <w:proofErr w:type="spellEnd"/>
      <w:r>
        <w:rPr>
          <w:rFonts w:cs="Times New Roman"/>
          <w:szCs w:val="24"/>
        </w:rPr>
        <w:t xml:space="preserve"> extracts are attributed to approximately 94 distinct phytochemicals</w:t>
      </w:r>
      <w:r>
        <w:rPr>
          <w:rFonts w:cs="Times New Roman"/>
          <w:szCs w:val="24"/>
        </w:rPr>
        <w:fldChar w:fldCharType="begin"/>
      </w:r>
      <w:r w:rsidR="00B26382">
        <w:rPr>
          <w:rFonts w:cs="Times New Roman"/>
          <w:szCs w:val="24"/>
        </w:rPr>
        <w:instrText xml:space="preserve"> ADDIN ZOTERO_ITEM CSL_CITATION {"citationID":"bNL4aGxt","properties":{"formattedCitation":"\\super 90\\nosupersub{}","plainCitation":"90","noteIndex":0},"citationItems":[{"id":342,"uris":["http://zotero.org/users/6503767/items/X63SKJA8"],"itemData":{"id":342,"type":"article-journal","abstract":"Picrasma quassioides is a member of the Simaroubaceae family commonly grown in the regions of Asia, the Himalayas, and India and has been used as a traditional herbal medicine to treat various illnesses such as fever, gastric discomfort, and pediculosis. This study aims to critically review the presence of phytochemicals in P. quassioides and correlate their pharmacological activities with the significance of its use as traditional medicine. Data were collected by reviewing numerous scientific articles from several journal databases on the pharmacological activities of P. quassioides using certain keywords. As a result, approximately 94 phytochemicals extracted from P. quassioides were found to be associated with quassinoids, β-carbolines and canthinones. These molecules exhibited various pharmacological benefits such as anti-inflammatory, antioxidant, anti-cancer, anti-microbial, and anti-parasitic activities which help to treat different diseases. However, P. quassioides were also found to have several toxicity effects in high doses, although the evidence regarding these effects is limited in proving its safe use and efficacy as herbal medicine. Accordingly, while it can be concluded that P. quassioides may have many potential pharmacological benefits with more phytochemistry discoveries, further research is required to determine its real value in terms of quality, safety, and efficacy of use.","container-title":"Nutrients","DOI":"10.3390/nu12092584","ISSN":"2072-6643","issue":"9","journalAbbreviation":"Nutrients","note":"PMID: 32858812\nPMCID: PMC7551903","page":"2584","source":"PubMed Central","title":"Phytochemistry, Traditional Use and Pharmacological Activity of Picrasma quassioides: A Critical Reviews","title-short":"Phytochemistry, Traditional Use and Pharmacological Activity of Picrasma quassioides","volume":"12","author":[{"family":"Mohd Jamil","given":"Muhammad Daniel Hakim"},{"family":"Taher","given":"Muhammad"},{"family":"Susanti","given":"Deny"},{"family":"Rahman","given":"Md Atiar"},{"family":"Zakaria","given":"Zainul Amiruddin"}],"issued":{"date-parts":[["2020",8,26]]}}}],"schema":"https://github.com/citation-style-language/schema/raw/master/csl-citation.json"}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90</w:t>
      </w:r>
      <w:r>
        <w:rPr>
          <w:rFonts w:cs="Times New Roman"/>
          <w:szCs w:val="24"/>
        </w:rPr>
        <w:fldChar w:fldCharType="end"/>
      </w:r>
      <w:r>
        <w:rPr>
          <w:rFonts w:cs="Times New Roman"/>
          <w:szCs w:val="24"/>
        </w:rPr>
        <w:t xml:space="preserve"> that are structurally categorized as quassinoids,</w:t>
      </w:r>
      <w:r>
        <w:rPr>
          <w:rFonts w:cs="Times New Roman"/>
          <w:szCs w:val="24"/>
        </w:rPr>
        <w:fldChar w:fldCharType="begin"/>
      </w:r>
      <w:r w:rsidR="00B26382">
        <w:rPr>
          <w:rFonts w:cs="Times New Roman"/>
          <w:szCs w:val="24"/>
        </w:rPr>
        <w:instrText xml:space="preserve"> ADDIN ZOTERO_ITEM CSL_CITATION {"citationID":"t9uRTr40","properties":{"formattedCitation":"\\super 91\\nosupersub{}","plainCitation":"91","noteIndex":0},"citationItems":[{"id":361,"uris":["http://zotero.org/users/6503767/items/E6Q69E89"],"itemData":{"id":361,"type":"article-journal","abstract":"Quassinoids are a class of highly oxygenated degraded triterpenoids exclusively discovered from plants of the Simaroubaceae family. In this study, eight new (1–8) and 15 known quassinoids (9–23) were isolated from an extract of the stems of Picrasma quassioides. The structures were elucidated by spectroscopic analysis and electronic circular dichroism spectra combined with quantum chemical calculations. Compounds 4 and 5 represent the first examples of 18-nor-quassinoids from P. quassioides. All isolates were screened for their neuroprotective activities toward H2O2-induced cell damage in SH-SY5Y cells. Further study revealed that the potential protective activities of these compounds appeared to occur via the suppression of cell apoptosis and downregulation of caspase-3 activation.","container-title":"Journal of Natural Products","DOI":"10.1021/acs.jnatprod.8b00470","ISSN":"0163-3864","issue":"4","journalAbbreviation":"J. Nat. Prod.","note":"publisher: American Chemical Society","page":"714-723","source":"ACS Publications","title":"Quassinoids from Picrasma quassioides and Their Neuroprotective Effects","volume":"82","author":[{"family":"Zhao","given":"Wen-Yu"},{"family":"Song","given":"Xiao-Yu"},{"family":"Zhao","given":"Lu"},{"family":"Zou","given":"Chun-Xin"},{"family":"Zhou","given":"Wei-Yu"},{"family":"Lin","given":"Bin"},{"family":"Yao","given":"Guo-Dong"},{"family":"Huang","given":"Xiao-Xiao"},{"family":"Song","given":"Shao-Jiang"}],"issued":{"date-parts":[["2019",4,26]]}}}],"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91</w:t>
      </w:r>
      <w:r>
        <w:rPr>
          <w:rFonts w:cs="Times New Roman"/>
          <w:szCs w:val="24"/>
        </w:rPr>
        <w:fldChar w:fldCharType="end"/>
      </w:r>
      <w:r>
        <w:rPr>
          <w:rFonts w:cs="Times New Roman"/>
          <w:szCs w:val="24"/>
        </w:rPr>
        <w:t xml:space="preserve"> β-carbolines,</w:t>
      </w:r>
      <w:r>
        <w:rPr>
          <w:rFonts w:cs="Times New Roman"/>
          <w:szCs w:val="24"/>
        </w:rPr>
        <w:fldChar w:fldCharType="begin"/>
      </w:r>
      <w:r w:rsidR="00B26382">
        <w:rPr>
          <w:rFonts w:cs="Times New Roman"/>
          <w:szCs w:val="24"/>
        </w:rPr>
        <w:instrText xml:space="preserve"> ADDIN ZOTERO_ITEM CSL_CITATION {"citationID":"xViIwuKB","properties":{"formattedCitation":"\\super 92,93\\nosupersub{}","plainCitation":"92,93","noteIndex":0},"citationItems":[{"id":275,"uris":["http://zotero.org/users/6503767/items/TVZLWL4D"],"itemData":{"id":275,"type":"article-journal","container-title":"Chinese Traditional and Herbal Drugs","DOI":"10.7501/j.issn.0253-2670.2015.06.004","issue":"6","page":"803-807","title":"Three bis-β-carboline alkaloids from Picrasma quassioides and their bioactivities","volume":"46","author":[{"family":"Guo-hua","given":"Shi"},{"family":"Wei-hua","given":"Jiao"},{"family":"Fan","given":"Yang"},{"family":"Hou-wen","given":"Lin"}],"issued":{"date-parts":[["2015"]]}}},{"id":245,"uris":["http://zotero.org/users/6503767/items/YU36IP3V"],"itemData":{"id":245,"type":"article-journal","abstract":"1-Acetyl-β-carboline (I), 4, 8-dimethoxy-1-ethyl-β-carboline (II), and three new alkaloids, 4, 8-dimethoxy-1-(2-methoxyethyl)-β-carboline (III), β-carbolin-1-yl 4, 8-dimethoxy-β-carbolin-1-yl-ethyl ketone (IV) and 3-methylcanthin-2, 6-dione (V), were isolated from the root of Picrasma quassioides BENNET (Simaroubaceae). The structures were elucidated on the basis of spectroscopic studies and chemical evidence.","container-title":"Chemical &amp; Pharmaceutical Bulletin","DOI":"10.1248/cpb.30.1204","issue":"4","page":"1204-1209","source":"J-Stage","title":"Studies on the Constituents of Picrasma quassioides BENNET. I. On the Alkaloidal Constituents","volume":"30","author":[{"family":"Ohmoto","given":"Taichi"},{"family":"Koike","given":"Kazuo"}],"issued":{"date-parts":[["1982"]]}}}],"schema":"https://github.com/citation-style-language/schema/raw/master/csl-citation.json"}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92,93</w:t>
      </w:r>
      <w:r>
        <w:rPr>
          <w:rFonts w:cs="Times New Roman"/>
          <w:szCs w:val="24"/>
        </w:rPr>
        <w:fldChar w:fldCharType="end"/>
      </w:r>
      <w:r>
        <w:rPr>
          <w:rFonts w:cs="Times New Roman"/>
          <w:szCs w:val="24"/>
        </w:rPr>
        <w:t xml:space="preserve"> canthinones,</w:t>
      </w:r>
      <w:r>
        <w:rPr>
          <w:rFonts w:cs="Times New Roman"/>
          <w:szCs w:val="24"/>
        </w:rPr>
        <w:fldChar w:fldCharType="begin"/>
      </w:r>
      <w:r w:rsidR="00B26382">
        <w:rPr>
          <w:rFonts w:cs="Times New Roman"/>
          <w:szCs w:val="24"/>
        </w:rPr>
        <w:instrText xml:space="preserve"> ADDIN ZOTERO_ITEM CSL_CITATION {"citationID":"EnwXpnlA","properties":{"formattedCitation":"\\super 94\\nosupersub{}","plainCitation":"94","noteIndex":0},"citationItems":[{"id":364,"uris":["http://zotero.org/users/6503767/items/3EDN3V5V"],"itemData":{"id":364,"type":"article-journal","abstract":"A new alkaloid, 4,5-dimethoxy-10-hydroxycanthin-6-one (1), was isolated from the stem of Picrasma quassioides Bennet (Simaroubaceae) together with four known canthin-6-one alkaloids, 8-hydroxycanthin-6-one (2), 4,5-dimethoxycanthin-6-one (3), 5-hydroxy-4-methoxycanthin-6-one (4), and 3-methylcanthin-5,6-dione (5). Their structures were elucidated on the basis of spectroscopic data. The cytotoxic activity of the canthin-6-one alkaloids was evaluated using human nasopharyngeal carcinoma (CNE2) and human liver cancer (Bel-7402) cell lines. Among these isolates, compounds 1-4 exhibited significant cytotoxic activity against CNE2 cell line.","container-title":"Journal of Asian Natural Products Research","DOI":"10.1080/10286020802277956","ISSN":"1028-6020","issue":"11-12","journalAbbreviation":"J Asian Nat Prod Res","language":"eng","note":"PMID: 19031238","page":"1009-1012","source":"PubMed","title":"Canthin-6-one alkaloids from Picrasma quassioides and their cytotoxic activity","volume":"10","author":[{"family":"Jiang","given":"Mei-Xiang"},{"family":"Zhou","given":"Ying-Jun"}],"issued":{"date-parts":[["2008",12]]}}}],"schema":"https://github.com/citation-style-language/schema/raw/master/csl-citation.json"}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94</w:t>
      </w:r>
      <w:r>
        <w:rPr>
          <w:rFonts w:cs="Times New Roman"/>
          <w:szCs w:val="24"/>
        </w:rPr>
        <w:fldChar w:fldCharType="end"/>
      </w:r>
      <w:r>
        <w:rPr>
          <w:rFonts w:cs="Times New Roman"/>
          <w:szCs w:val="24"/>
        </w:rPr>
        <w:t xml:space="preserve"> and neolignans,</w:t>
      </w:r>
      <w:r>
        <w:rPr>
          <w:rFonts w:cs="Times New Roman"/>
          <w:szCs w:val="24"/>
        </w:rPr>
        <w:fldChar w:fldCharType="begin"/>
      </w:r>
      <w:r w:rsidR="00B26382">
        <w:rPr>
          <w:rFonts w:cs="Times New Roman"/>
          <w:szCs w:val="24"/>
        </w:rPr>
        <w:instrText xml:space="preserve"> ADDIN ZOTERO_ITEM CSL_CITATION {"citationID":"1pnnWDc9","properties":{"formattedCitation":"\\super 95\\nosupersub{}","plainCitation":"95","noteIndex":0},"citationItems":[{"id":358,"uris":["http://zotero.org/users/6503767/items/BPYZ8WTW"],"itemData":{"id":358,"type":"article-journal","container-title":"Chemical &amp; Pharmaceutical Bulletin","DOI":"10.1248/cpb.32.1872","ISSN":"0009-2363","issue":"5","journalAbbreviation":"Chem Pharm Bull (Tokyo)","language":"eng","note":"PMID: 6088097","page":"1872-1877","source":"PubMed","title":"Inhibitors of cyclic AMP phosphodiesterase in Picrasma quassioides Bennet, and inhibitory activities of related beta-carboline alkaloids","volume":"32","author":[{"family":"Sung","given":"Y."},{"family":"Koike","given":"K."},{"family":"Nikaido","given":"T."},{"family":"Ohmoto","given":"T."},{"family":"Sankawa","given":"U."}],"issued":{"date-parts":[["1984",5]]}}}],"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95</w:t>
      </w:r>
      <w:r>
        <w:rPr>
          <w:rFonts w:cs="Times New Roman"/>
          <w:szCs w:val="24"/>
        </w:rPr>
        <w:fldChar w:fldCharType="end"/>
      </w:r>
      <w:r>
        <w:rPr>
          <w:rFonts w:cs="Times New Roman"/>
          <w:szCs w:val="24"/>
        </w:rPr>
        <w:t xml:space="preserve"> among others. </w:t>
      </w:r>
      <w:r w:rsidRPr="005C3ABB">
        <w:rPr>
          <w:rFonts w:cs="Times New Roman"/>
          <w:b/>
          <w:bCs/>
          <w:szCs w:val="24"/>
        </w:rPr>
        <w:t>Chapter 3</w:t>
      </w:r>
      <w:r>
        <w:rPr>
          <w:rFonts w:cs="Times New Roman"/>
          <w:szCs w:val="24"/>
        </w:rPr>
        <w:t xml:space="preserve"> will specifically focus on the bis-β-carboline-containing alkaloids (</w:t>
      </w:r>
      <w:r w:rsidR="006D7CF1" w:rsidRPr="006D7CF1">
        <w:rPr>
          <w:rFonts w:cs="Times New Roman"/>
          <w:b/>
          <w:bCs/>
          <w:szCs w:val="24"/>
        </w:rPr>
        <w:t>3.</w:t>
      </w:r>
      <w:r w:rsidRPr="00D34D64">
        <w:rPr>
          <w:rFonts w:cs="Times New Roman"/>
          <w:b/>
          <w:bCs/>
          <w:szCs w:val="24"/>
        </w:rPr>
        <w:t>1</w:t>
      </w:r>
      <w:r>
        <w:rPr>
          <w:rFonts w:cs="Times New Roman"/>
          <w:szCs w:val="24"/>
        </w:rPr>
        <w:t xml:space="preserve"> – </w:t>
      </w:r>
      <w:r w:rsidR="006D7CF1" w:rsidRPr="006D7CF1">
        <w:rPr>
          <w:rFonts w:cs="Times New Roman"/>
          <w:b/>
          <w:bCs/>
          <w:szCs w:val="24"/>
        </w:rPr>
        <w:t>3.</w:t>
      </w:r>
      <w:r w:rsidRPr="00D34D64">
        <w:rPr>
          <w:rFonts w:cs="Times New Roman"/>
          <w:b/>
          <w:bCs/>
          <w:szCs w:val="24"/>
        </w:rPr>
        <w:t>17</w:t>
      </w:r>
      <w:r>
        <w:rPr>
          <w:rFonts w:cs="Times New Roman"/>
          <w:szCs w:val="24"/>
        </w:rPr>
        <w:t xml:space="preserve">). Representative structures and biological relevance of such compounds are shown in </w:t>
      </w:r>
      <w:r w:rsidR="00BB2970" w:rsidRPr="00BB2970">
        <w:rPr>
          <w:rFonts w:cs="Times New Roman"/>
          <w:b/>
          <w:bCs/>
          <w:szCs w:val="24"/>
        </w:rPr>
        <w:fldChar w:fldCharType="begin"/>
      </w:r>
      <w:r w:rsidR="00BB2970" w:rsidRPr="00BB2970">
        <w:rPr>
          <w:rFonts w:cs="Times New Roman"/>
          <w:b/>
          <w:bCs/>
          <w:szCs w:val="24"/>
        </w:rPr>
        <w:instrText xml:space="preserve"> REF _Ref100742700 \h  \* MERGEFORMAT </w:instrText>
      </w:r>
      <w:r w:rsidR="00BB2970" w:rsidRPr="00BB2970">
        <w:rPr>
          <w:rFonts w:cs="Times New Roman"/>
          <w:b/>
          <w:bCs/>
          <w:szCs w:val="24"/>
        </w:rPr>
      </w:r>
      <w:r w:rsidR="00BB2970" w:rsidRPr="00BB2970">
        <w:rPr>
          <w:rFonts w:cs="Times New Roman"/>
          <w:b/>
          <w:bCs/>
          <w:szCs w:val="24"/>
        </w:rPr>
        <w:fldChar w:fldCharType="separate"/>
      </w:r>
      <w:r w:rsidR="00AA5AAC" w:rsidRPr="00AA5AAC">
        <w:rPr>
          <w:b/>
          <w:bCs/>
        </w:rPr>
        <w:t>Figure 1.10</w:t>
      </w:r>
      <w:r w:rsidR="00BB2970" w:rsidRPr="00BB2970">
        <w:rPr>
          <w:rFonts w:cs="Times New Roman"/>
          <w:b/>
          <w:bCs/>
          <w:szCs w:val="24"/>
        </w:rPr>
        <w:fldChar w:fldCharType="end"/>
      </w:r>
      <w:r w:rsidR="00BB2970">
        <w:rPr>
          <w:rFonts w:cs="Times New Roman"/>
          <w:b/>
          <w:bCs/>
          <w:szCs w:val="24"/>
        </w:rPr>
        <w:t xml:space="preserve"> </w:t>
      </w:r>
      <w:r>
        <w:rPr>
          <w:rFonts w:cs="Times New Roman"/>
          <w:szCs w:val="24"/>
        </w:rPr>
        <w:t xml:space="preserve">and </w:t>
      </w:r>
      <w:r w:rsidRPr="0007057F">
        <w:rPr>
          <w:rFonts w:cs="Times New Roman"/>
          <w:b/>
          <w:bCs/>
          <w:szCs w:val="24"/>
        </w:rPr>
        <w:fldChar w:fldCharType="begin"/>
      </w:r>
      <w:r w:rsidRPr="0007057F">
        <w:rPr>
          <w:rFonts w:cs="Times New Roman"/>
          <w:b/>
          <w:bCs/>
          <w:szCs w:val="24"/>
        </w:rPr>
        <w:instrText xml:space="preserve"> REF _Ref100243462 \h </w:instrText>
      </w:r>
      <w:r>
        <w:rPr>
          <w:rFonts w:cs="Times New Roman"/>
          <w:b/>
          <w:bCs/>
          <w:szCs w:val="24"/>
        </w:rPr>
        <w:instrText xml:space="preserve"> \* MERGEFORMAT </w:instrText>
      </w:r>
      <w:r w:rsidRPr="0007057F">
        <w:rPr>
          <w:rFonts w:cs="Times New Roman"/>
          <w:b/>
          <w:bCs/>
          <w:szCs w:val="24"/>
        </w:rPr>
      </w:r>
      <w:r w:rsidRPr="0007057F">
        <w:rPr>
          <w:rFonts w:cs="Times New Roman"/>
          <w:b/>
          <w:bCs/>
          <w:szCs w:val="24"/>
        </w:rPr>
        <w:fldChar w:fldCharType="separate"/>
      </w:r>
      <w:r w:rsidR="00AA5AAC" w:rsidRPr="00AA5AAC">
        <w:rPr>
          <w:b/>
          <w:bCs/>
        </w:rPr>
        <w:t>Table 1.3</w:t>
      </w:r>
      <w:r w:rsidRPr="0007057F">
        <w:rPr>
          <w:rFonts w:cs="Times New Roman"/>
          <w:b/>
          <w:bCs/>
          <w:szCs w:val="24"/>
        </w:rPr>
        <w:fldChar w:fldCharType="end"/>
      </w:r>
      <w:r w:rsidRPr="0007057F">
        <w:rPr>
          <w:rFonts w:cs="Times New Roman"/>
          <w:szCs w:val="24"/>
        </w:rPr>
        <w:t>,</w:t>
      </w:r>
      <w:r>
        <w:rPr>
          <w:rFonts w:cs="Times New Roman"/>
          <w:szCs w:val="24"/>
        </w:rPr>
        <w:t xml:space="preserve"> respectively. It is important to note that while compounds </w:t>
      </w:r>
      <w:r w:rsidR="006D7CF1" w:rsidRPr="006D7CF1">
        <w:rPr>
          <w:rFonts w:cs="Times New Roman"/>
          <w:b/>
          <w:bCs/>
          <w:szCs w:val="24"/>
        </w:rPr>
        <w:t>3.</w:t>
      </w:r>
      <w:r w:rsidRPr="000770B4">
        <w:rPr>
          <w:rFonts w:cs="Times New Roman"/>
          <w:b/>
          <w:bCs/>
          <w:szCs w:val="24"/>
        </w:rPr>
        <w:t>15</w:t>
      </w:r>
      <w:r>
        <w:rPr>
          <w:rFonts w:cs="Times New Roman"/>
          <w:szCs w:val="24"/>
        </w:rPr>
        <w:t xml:space="preserve"> and </w:t>
      </w:r>
      <w:r w:rsidR="006D7CF1" w:rsidRPr="006D7CF1">
        <w:rPr>
          <w:rFonts w:cs="Times New Roman"/>
          <w:b/>
          <w:bCs/>
          <w:szCs w:val="24"/>
        </w:rPr>
        <w:t>3.</w:t>
      </w:r>
      <w:r w:rsidRPr="000770B4">
        <w:rPr>
          <w:rFonts w:cs="Times New Roman"/>
          <w:b/>
          <w:bCs/>
          <w:szCs w:val="24"/>
        </w:rPr>
        <w:t>16</w:t>
      </w:r>
      <w:r>
        <w:rPr>
          <w:rFonts w:cs="Times New Roman"/>
          <w:szCs w:val="24"/>
        </w:rPr>
        <w:t xml:space="preserve"> contain a bis-β-carboline-type system, they are structurally categorized as </w:t>
      </w:r>
      <w:proofErr w:type="spellStart"/>
      <w:r>
        <w:rPr>
          <w:rFonts w:cs="Times New Roman"/>
          <w:szCs w:val="24"/>
        </w:rPr>
        <w:t>canthinones</w:t>
      </w:r>
      <w:proofErr w:type="spellEnd"/>
      <w:r>
        <w:rPr>
          <w:rFonts w:cs="Times New Roman"/>
          <w:szCs w:val="24"/>
        </w:rPr>
        <w:t xml:space="preserve"> because of their distinct </w:t>
      </w:r>
      <w:proofErr w:type="spellStart"/>
      <w:r>
        <w:rPr>
          <w:rFonts w:cs="Times New Roman"/>
          <w:szCs w:val="24"/>
        </w:rPr>
        <w:t>diketo</w:t>
      </w:r>
      <w:proofErr w:type="spellEnd"/>
      <w:r>
        <w:rPr>
          <w:rFonts w:cs="Times New Roman"/>
          <w:szCs w:val="24"/>
        </w:rPr>
        <w:t xml:space="preserve"> ring fused to the β-carboline skeleton. </w:t>
      </w:r>
    </w:p>
    <w:p w14:paraId="620605A9" w14:textId="77777777" w:rsidR="000F7094" w:rsidRDefault="000F7094" w:rsidP="000F7094">
      <w:pPr>
        <w:spacing w:after="0"/>
        <w:rPr>
          <w:rFonts w:cs="Times New Roman"/>
          <w:b/>
          <w:bCs/>
          <w:szCs w:val="24"/>
        </w:rPr>
      </w:pPr>
      <w:r w:rsidRPr="00957196">
        <w:rPr>
          <w:rFonts w:cs="Times New Roman"/>
          <w:noProof/>
          <w:szCs w:val="24"/>
        </w:rPr>
        <w:lastRenderedPageBreak/>
        <mc:AlternateContent>
          <mc:Choice Requires="wps">
            <w:drawing>
              <wp:inline distT="0" distB="0" distL="0" distR="0" wp14:anchorId="659CB886" wp14:editId="4312002A">
                <wp:extent cx="5943600" cy="4587903"/>
                <wp:effectExtent l="0" t="0" r="19050" b="22225"/>
                <wp:docPr id="37" name="Text Box 2" descr="Structures of β-carboline alkaloids from Picrasma quassioides extra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87903"/>
                        </a:xfrm>
                        <a:prstGeom prst="rect">
                          <a:avLst/>
                        </a:prstGeom>
                        <a:solidFill>
                          <a:srgbClr val="FFFFFF"/>
                        </a:solidFill>
                        <a:ln w="9525">
                          <a:solidFill>
                            <a:srgbClr val="000000"/>
                          </a:solidFill>
                          <a:miter lim="800000"/>
                          <a:headEnd/>
                          <a:tailEnd/>
                        </a:ln>
                      </wps:spPr>
                      <wps:txbx>
                        <w:txbxContent>
                          <w:p w14:paraId="0DCC8A7E" w14:textId="2E9641E6" w:rsidR="000F7094" w:rsidRDefault="006D7CF1" w:rsidP="00971132">
                            <w:pPr>
                              <w:keepNext/>
                              <w:spacing w:line="240" w:lineRule="auto"/>
                              <w:jc w:val="center"/>
                            </w:pPr>
                            <w:r>
                              <w:rPr>
                                <w:noProof/>
                              </w:rPr>
                              <w:drawing>
                                <wp:inline distT="0" distB="0" distL="0" distR="0" wp14:anchorId="556AD631" wp14:editId="32419A59">
                                  <wp:extent cx="5751830" cy="4184015"/>
                                  <wp:effectExtent l="0" t="0" r="1270" b="0"/>
                                  <wp:docPr id="4" name="Picture 4" descr="Structures of β-carboline alkaloids from Picrasma quassioides extr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ructures of β-carboline alkaloids from Picrasma quassioides extracts."/>
                                          <pic:cNvPicPr/>
                                        </pic:nvPicPr>
                                        <pic:blipFill>
                                          <a:blip r:embed="rId98">
                                            <a:extLst>
                                              <a:ext uri="{28A0092B-C50C-407E-A947-70E740481C1C}">
                                                <a14:useLocalDpi xmlns:a14="http://schemas.microsoft.com/office/drawing/2010/main" val="0"/>
                                              </a:ext>
                                            </a:extLst>
                                          </a:blip>
                                          <a:stretch>
                                            <a:fillRect/>
                                          </a:stretch>
                                        </pic:blipFill>
                                        <pic:spPr>
                                          <a:xfrm>
                                            <a:off x="0" y="0"/>
                                            <a:ext cx="5751830" cy="4184015"/>
                                          </a:xfrm>
                                          <a:prstGeom prst="rect">
                                            <a:avLst/>
                                          </a:prstGeom>
                                        </pic:spPr>
                                      </pic:pic>
                                    </a:graphicData>
                                  </a:graphic>
                                </wp:inline>
                              </w:drawing>
                            </w:r>
                          </w:p>
                          <w:p w14:paraId="7AE9B17A" w14:textId="17D6973C" w:rsidR="000F7094" w:rsidRPr="009D4CC5" w:rsidRDefault="000F7094" w:rsidP="00DF51F5">
                            <w:pPr>
                              <w:pStyle w:val="Caption"/>
                            </w:pPr>
                            <w:bookmarkStart w:id="82" w:name="_Ref100742700"/>
                            <w:bookmarkStart w:id="83" w:name="_Toc100243238"/>
                            <w:bookmarkStart w:id="84" w:name="_Toc100748291"/>
                            <w:r>
                              <w:t>Figure 1.</w:t>
                            </w:r>
                            <w:fldSimple w:instr=" SEQ Figure \* ARABIC ">
                              <w:r w:rsidR="00AA5AAC">
                                <w:rPr>
                                  <w:noProof/>
                                </w:rPr>
                                <w:t>10</w:t>
                              </w:r>
                            </w:fldSimple>
                            <w:bookmarkEnd w:id="82"/>
                            <w:r>
                              <w:t xml:space="preserve">. Structures of β-carboline alkaloids from </w:t>
                            </w:r>
                            <w:r w:rsidRPr="00BC1019">
                              <w:rPr>
                                <w:i/>
                              </w:rPr>
                              <w:t xml:space="preserve">Picrasma </w:t>
                            </w:r>
                            <w:proofErr w:type="spellStart"/>
                            <w:r w:rsidRPr="00BC1019">
                              <w:rPr>
                                <w:i/>
                              </w:rPr>
                              <w:t>quassioides</w:t>
                            </w:r>
                            <w:proofErr w:type="spellEnd"/>
                            <w:r>
                              <w:rPr>
                                <w:i/>
                              </w:rPr>
                              <w:t xml:space="preserve"> </w:t>
                            </w:r>
                            <w:r>
                              <w:t>extracts.</w:t>
                            </w:r>
                            <w:bookmarkEnd w:id="83"/>
                            <w:bookmarkEnd w:id="84"/>
                          </w:p>
                          <w:p w14:paraId="724A8DE1" w14:textId="77777777" w:rsidR="000F7094" w:rsidRPr="009D4CC5" w:rsidRDefault="000F7094" w:rsidP="000F7094">
                            <w:pPr>
                              <w:spacing w:line="240" w:lineRule="auto"/>
                            </w:pPr>
                          </w:p>
                        </w:txbxContent>
                      </wps:txbx>
                      <wps:bodyPr rot="0" vert="horz" wrap="square" lIns="91440" tIns="45720" rIns="91440" bIns="45720" anchor="t" anchorCtr="0">
                        <a:noAutofit/>
                      </wps:bodyPr>
                    </wps:wsp>
                  </a:graphicData>
                </a:graphic>
              </wp:inline>
            </w:drawing>
          </mc:Choice>
          <mc:Fallback>
            <w:pict>
              <v:shape w14:anchorId="659CB886" id="_x0000_s1038" type="#_x0000_t202" alt="Structures of β-carboline alkaloids from Picrasma quassioides extracts." style="width:468pt;height:36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">
                <v:textbox>
                  <w:txbxContent>
                    <w:p w14:paraId="0DCC8A7E" w14:textId="2E9641E6" w:rsidR="000F7094" w:rsidRDefault="006D7CF1" w:rsidP="00971132">
                      <w:pPr>
                        <w:keepNext/>
                        <w:spacing w:line="240" w:lineRule="auto"/>
                        <w:jc w:val="center"/>
                      </w:pPr>
                      <w:r>
                        <w:rPr>
                          <w:noProof/>
                        </w:rPr>
                        <w:drawing>
                          <wp:inline distT="0" distB="0" distL="0" distR="0" wp14:anchorId="556AD631" wp14:editId="32419A59">
                            <wp:extent cx="5751830" cy="4184015"/>
                            <wp:effectExtent l="0" t="0" r="1270" b="0"/>
                            <wp:docPr id="4" name="Picture 4" descr="Structures of β-carboline alkaloids from Picrasma quassioides extr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ructures of β-carboline alkaloids from Picrasma quassioides extracts."/>
                                    <pic:cNvPicPr/>
                                  </pic:nvPicPr>
                                  <pic:blipFill>
                                    <a:blip r:embed="rId98">
                                      <a:extLst>
                                        <a:ext uri="{28A0092B-C50C-407E-A947-70E740481C1C}">
                                          <a14:useLocalDpi xmlns:a14="http://schemas.microsoft.com/office/drawing/2010/main" val="0"/>
                                        </a:ext>
                                      </a:extLst>
                                    </a:blip>
                                    <a:stretch>
                                      <a:fillRect/>
                                    </a:stretch>
                                  </pic:blipFill>
                                  <pic:spPr>
                                    <a:xfrm>
                                      <a:off x="0" y="0"/>
                                      <a:ext cx="5751830" cy="4184015"/>
                                    </a:xfrm>
                                    <a:prstGeom prst="rect">
                                      <a:avLst/>
                                    </a:prstGeom>
                                  </pic:spPr>
                                </pic:pic>
                              </a:graphicData>
                            </a:graphic>
                          </wp:inline>
                        </w:drawing>
                      </w:r>
                    </w:p>
                    <w:p w14:paraId="7AE9B17A" w14:textId="17D6973C" w:rsidR="000F7094" w:rsidRPr="009D4CC5" w:rsidRDefault="000F7094" w:rsidP="00DF51F5">
                      <w:pPr>
                        <w:pStyle w:val="Caption"/>
                      </w:pPr>
                      <w:bookmarkStart w:id="85" w:name="_Ref100742700"/>
                      <w:bookmarkStart w:id="86" w:name="_Toc100243238"/>
                      <w:bookmarkStart w:id="87" w:name="_Toc100748291"/>
                      <w:r>
                        <w:t>Figure 1.</w:t>
                      </w:r>
                      <w:fldSimple w:instr=" SEQ Figure \* ARABIC ">
                        <w:r w:rsidR="00AA5AAC">
                          <w:rPr>
                            <w:noProof/>
                          </w:rPr>
                          <w:t>10</w:t>
                        </w:r>
                      </w:fldSimple>
                      <w:bookmarkEnd w:id="85"/>
                      <w:r>
                        <w:t xml:space="preserve">. Structures of β-carboline alkaloids from </w:t>
                      </w:r>
                      <w:r w:rsidRPr="00BC1019">
                        <w:rPr>
                          <w:i/>
                        </w:rPr>
                        <w:t xml:space="preserve">Picrasma </w:t>
                      </w:r>
                      <w:proofErr w:type="spellStart"/>
                      <w:r w:rsidRPr="00BC1019">
                        <w:rPr>
                          <w:i/>
                        </w:rPr>
                        <w:t>quassioides</w:t>
                      </w:r>
                      <w:proofErr w:type="spellEnd"/>
                      <w:r>
                        <w:rPr>
                          <w:i/>
                        </w:rPr>
                        <w:t xml:space="preserve"> </w:t>
                      </w:r>
                      <w:r>
                        <w:t>extracts.</w:t>
                      </w:r>
                      <w:bookmarkEnd w:id="86"/>
                      <w:bookmarkEnd w:id="87"/>
                    </w:p>
                    <w:p w14:paraId="724A8DE1" w14:textId="77777777" w:rsidR="000F7094" w:rsidRPr="009D4CC5" w:rsidRDefault="000F7094" w:rsidP="000F7094">
                      <w:pPr>
                        <w:spacing w:line="240" w:lineRule="auto"/>
                      </w:pPr>
                    </w:p>
                  </w:txbxContent>
                </v:textbox>
                <w10:anchorlock/>
              </v:shape>
            </w:pict>
          </mc:Fallback>
        </mc:AlternateContent>
      </w:r>
    </w:p>
    <w:p w14:paraId="1C141EE8" w14:textId="4D931D9D" w:rsidR="000F7094" w:rsidRPr="00E84AEB" w:rsidRDefault="000F7094" w:rsidP="000F7094">
      <w:pPr>
        <w:spacing w:after="0"/>
        <w:ind w:firstLine="720"/>
        <w:rPr>
          <w:b/>
          <w:bCs/>
        </w:rPr>
      </w:pPr>
      <w:r>
        <w:t>Interestingly, both picrasidine C (</w:t>
      </w:r>
      <w:r w:rsidR="006D7CF1" w:rsidRPr="006D7CF1">
        <w:rPr>
          <w:rFonts w:cs="Times New Roman"/>
          <w:b/>
          <w:bCs/>
          <w:szCs w:val="24"/>
        </w:rPr>
        <w:t>3.</w:t>
      </w:r>
      <w:r w:rsidRPr="00836725">
        <w:rPr>
          <w:b/>
          <w:bCs/>
        </w:rPr>
        <w:t>1</w:t>
      </w:r>
      <w:r>
        <w:t>) and N (</w:t>
      </w:r>
      <w:r w:rsidR="006D7CF1" w:rsidRPr="006D7CF1">
        <w:rPr>
          <w:rFonts w:cs="Times New Roman"/>
          <w:b/>
          <w:bCs/>
          <w:szCs w:val="24"/>
        </w:rPr>
        <w:t>3.</w:t>
      </w:r>
      <w:r w:rsidRPr="00836725">
        <w:rPr>
          <w:b/>
          <w:bCs/>
        </w:rPr>
        <w:t>16</w:t>
      </w:r>
      <w:r>
        <w:t xml:space="preserve">) were found to modulate lipid and glucose homeostasis via peroxisome proliferator-activated receptor (PPAR) agonism. They differ in subtype-selectivity, however, as </w:t>
      </w:r>
      <w:r w:rsidR="006D7CF1" w:rsidRPr="006D7CF1">
        <w:rPr>
          <w:rFonts w:cs="Times New Roman"/>
          <w:b/>
          <w:bCs/>
          <w:szCs w:val="24"/>
        </w:rPr>
        <w:t>3.</w:t>
      </w:r>
      <w:r w:rsidRPr="001C2BC3">
        <w:rPr>
          <w:b/>
          <w:bCs/>
        </w:rPr>
        <w:t>1</w:t>
      </w:r>
      <w:r>
        <w:t xml:space="preserve"> promotes PPAR</w:t>
      </w:r>
      <w:r>
        <w:rPr>
          <w:rFonts w:cs="Times New Roman"/>
        </w:rPr>
        <w:t>α</w:t>
      </w:r>
      <w:r>
        <w:t xml:space="preserve"> transcriptional activity</w:t>
      </w:r>
      <w:r>
        <w:fldChar w:fldCharType="begin"/>
      </w:r>
      <w:r w:rsidR="00B26382">
        <w:instrText xml:space="preserve"> ADDIN ZOTERO_ITEM CSL_CITATION {"citationID":"UBCOhIFe","properties":{"formattedCitation":"\\super 88\\nosupersub{}","plainCitation":"88","noteIndex":0},"citationItems":[{"id":253,"uris":["http://zotero.org/users/6503767/items/6QWFZRX9"],"itemData":{"id":253,"type":"article-journal","abstract":"Picrasidine C (1), a dimeric β-carboline-type alkaloid isolated from the root of Picrasma quassioides, was identiﬁed to have PPARα agonistic activity by a mammalian one-hybrid assay from a compound library. Among the PPAR subtypes, 1 selectively activated PPARα in a concentrationdependent manner. Remarkably, 1 also promoted PPARα transcriptional activity by a peroxisome proliferator response element-driven luciferase reporter assay. Furthermore, 1 induced the expression of PPARα-regulated genes involved in lipid, glucose, and cholesterol metabolism, such as CPT-1, PPARα, PDK4, and ABCA1, which was abrogated by the PPARα antagonist MK-886, indicating that the eﬀect of 1 was dependent on PPARα activation. This is the ﬁrst report to demonstrate 1 to be a subtype-selective PPARα agonist with potential application in treating metabolic diseases, such as hyperlipidemia, atherosclerosis, and hypercholesterolemia.","container-title":"Journal of Natural Products","DOI":"10.1021/acs.jnatprod.6b00883","ISSN":"0163-3864, 1520-6025","issue":"12","journalAbbreviation":"J. Nat. Prod.","language":"en","page":"3127-3133","source":"DOI.org (Crossref)","title":"Identification of Picrasidine C as a Subtype-Selective PPARα Agonist","volume":"79","author":[{"family":"Zhao","given":"Shuai"},{"family":"Kanno","given":"Yuichiro"},{"family":"Li","given":"Wei"},{"family":"Sasaki","given":"Tatsunori"},{"family":"Zhang","given":"Xiangyu"},{"family":"Wang","given":"Jian"},{"family":"Cheng","given":"Maosheng"},{"family":"Koike","given":"Kazuo"},{"family":"Nemoto","given":"Kiyomitsu"},{"family":"Li","given":"Huicheng"}],"issued":{"date-parts":[["2016",12,23]]}}}],"schema":"https://github.com/citation-style-language/schema/raw/master/csl-citation.json"} </w:instrText>
      </w:r>
      <w:r>
        <w:fldChar w:fldCharType="separate"/>
      </w:r>
      <w:r w:rsidR="00B26382" w:rsidRPr="00B26382">
        <w:rPr>
          <w:rFonts w:cs="Times New Roman"/>
          <w:szCs w:val="24"/>
          <w:vertAlign w:val="superscript"/>
        </w:rPr>
        <w:t>88</w:t>
      </w:r>
      <w:r>
        <w:fldChar w:fldCharType="end"/>
      </w:r>
      <w:r>
        <w:t xml:space="preserve"> while </w:t>
      </w:r>
      <w:r w:rsidR="006D7CF1" w:rsidRPr="006D7CF1">
        <w:rPr>
          <w:rFonts w:cs="Times New Roman"/>
          <w:b/>
          <w:bCs/>
          <w:szCs w:val="24"/>
        </w:rPr>
        <w:t>3.</w:t>
      </w:r>
      <w:r w:rsidRPr="001C2BC3">
        <w:rPr>
          <w:b/>
          <w:bCs/>
        </w:rPr>
        <w:t>16</w:t>
      </w:r>
      <w:r>
        <w:t xml:space="preserve"> is a selective PPAR</w:t>
      </w:r>
      <w:r>
        <w:rPr>
          <w:rFonts w:cs="Times New Roman"/>
        </w:rPr>
        <w:t>β</w:t>
      </w:r>
      <w:r>
        <w:t>/</w:t>
      </w:r>
      <w:r>
        <w:rPr>
          <w:rFonts w:cs="Times New Roman"/>
        </w:rPr>
        <w:t>δ</w:t>
      </w:r>
      <w:r>
        <w:t xml:space="preserve"> agonist.</w:t>
      </w:r>
      <w:r>
        <w:fldChar w:fldCharType="begin"/>
      </w:r>
      <w:r w:rsidR="00B26382">
        <w:instrText xml:space="preserve"> ADDIN ZOTERO_ITEM CSL_CITATION {"citationID":"Dg3bcV6F","properties":{"formattedCitation":"\\super 96\\nosupersub{}","plainCitation":"96","noteIndex":0},"citationItems":[{"id":271,"uris":["http://zotero.org/users/6503767/items/VKZJGAVR"],"itemData":{"id":271,"type":"article-journal","abstract":"Recently, growing evidence of the pivotal roles of peroxisome proliferator-activated receptor (PPAR) β/δ in various physiological functions, including lipid homeostasis, cancer, and inﬂammation, has raised interest in this receptor. In this study, the naturally occurring dimeric alkaloid picrasidine N (1) from Picrasma quassioides was identiﬁed as a novel PPARβ/δ agonist from a library consisting of plant extracts and natural compounds using a mammalian one-hybrid assay, and this compound was characterized. Compound 1 activated PPARβ/δ but did not activate or slightly activated PPARα and PPARγ. Furthermore, a peroxisome proliferator response element-driven luciferase reporter gene assay demonstrated that 1 enhanced PPARβ/δ transcriptional activity. Moreover, 1 selectively induced mRNA expression of ANGPTL4, which is a PPAR target gene. This observation is quite diﬀerent from previously identiﬁed synthetic PPARβ/δ agonists, which can induce the expression of not only ANGPTL4 but also other PPAR target genes, such as ADRP, PDK4, and CPT-1. These results demonstrate that 1 is a potent subtype-selective and gene-selective PPARβ/δ agonist, suggesting its potential as a lead compound for further drug development. This compound would also be a useful chemical tool for elucidating the mechanism of PPARβ/δ-regulated speciﬁc gene expression and the biological signiﬁcance of PPARβ/δ.","container-title":"Journal of Natural Products","DOI":"10.1021/acs.jnatprod.5b00909","ISSN":"0163-3864, 1520-6025","issue":"4","journalAbbreviation":"J. Nat. Prod.","language":"en","page":"879-885","source":"DOI.org (Crossref)","title":"Picrasidine N Is a Subtype-Selective PPARβ/δ Agonist","volume":"79","author":[{"family":"Zhao","given":"Shuai"},{"family":"Kanno","given":"Yuichiro"},{"family":"Li","given":"Wei"},{"family":"Wakatabi","given":"Honami"},{"family":"Sasaki","given":"Tatsunori"},{"family":"Koike","given":"Kazuo"},{"family":"Nemoto","given":"Kiyomitsu"},{"family":"Li","given":"Huicheng"}],"issued":{"date-parts":[["2016",4,22]]}}}],"schema":"https://github.com/citation-style-language/schema/raw/master/csl-citation.json"} </w:instrText>
      </w:r>
      <w:r>
        <w:fldChar w:fldCharType="separate"/>
      </w:r>
      <w:r w:rsidR="00B26382" w:rsidRPr="00B26382">
        <w:rPr>
          <w:rFonts w:cs="Times New Roman"/>
          <w:szCs w:val="24"/>
          <w:vertAlign w:val="superscript"/>
        </w:rPr>
        <w:t>96</w:t>
      </w:r>
      <w:r>
        <w:fldChar w:fldCharType="end"/>
      </w:r>
      <w:r>
        <w:t xml:space="preserve"> </w:t>
      </w:r>
      <w:r>
        <w:rPr>
          <w:rFonts w:cs="Times New Roman"/>
          <w:szCs w:val="24"/>
        </w:rPr>
        <w:t xml:space="preserve">Structure-activity relationship (SAR) studies within the </w:t>
      </w:r>
      <w:r>
        <w:rPr>
          <w:rFonts w:cs="Times New Roman"/>
          <w:i/>
          <w:iCs/>
          <w:szCs w:val="24"/>
        </w:rPr>
        <w:t xml:space="preserve">Picrasma </w:t>
      </w:r>
      <w:r>
        <w:rPr>
          <w:rFonts w:cs="Times New Roman"/>
          <w:szCs w:val="24"/>
        </w:rPr>
        <w:t xml:space="preserve">alkaloid class are integral to identify key structural motifs that dictate biological activity and target specificity. Effective SAR studies require synthetic derivatives of bioactive molecules. The work towards the total synthesis of </w:t>
      </w:r>
      <w:r w:rsidR="006D7CF1" w:rsidRPr="006D7CF1">
        <w:rPr>
          <w:rFonts w:cs="Times New Roman"/>
          <w:b/>
          <w:bCs/>
          <w:szCs w:val="24"/>
        </w:rPr>
        <w:t>3.</w:t>
      </w:r>
      <w:r w:rsidRPr="005C3ABB">
        <w:rPr>
          <w:rFonts w:cs="Times New Roman"/>
          <w:b/>
          <w:bCs/>
          <w:szCs w:val="24"/>
        </w:rPr>
        <w:t>1</w:t>
      </w:r>
      <w:r>
        <w:rPr>
          <w:rFonts w:cs="Times New Roman"/>
          <w:szCs w:val="24"/>
        </w:rPr>
        <w:t xml:space="preserve"> and other </w:t>
      </w:r>
      <w:r w:rsidRPr="005C3ABB">
        <w:rPr>
          <w:rFonts w:cs="Times New Roman"/>
          <w:i/>
          <w:iCs/>
          <w:szCs w:val="24"/>
        </w:rPr>
        <w:t>Picrasma</w:t>
      </w:r>
      <w:r>
        <w:rPr>
          <w:rFonts w:cs="Times New Roman"/>
          <w:szCs w:val="24"/>
        </w:rPr>
        <w:t xml:space="preserve"> family members will be discussed in </w:t>
      </w:r>
      <w:r w:rsidRPr="005C3ABB">
        <w:rPr>
          <w:rFonts w:cs="Times New Roman"/>
          <w:b/>
          <w:bCs/>
          <w:szCs w:val="24"/>
        </w:rPr>
        <w:t>Chapter 3</w:t>
      </w:r>
      <w:r>
        <w:rPr>
          <w:rFonts w:cs="Times New Roman"/>
          <w:szCs w:val="24"/>
        </w:rPr>
        <w:t xml:space="preserve">. </w:t>
      </w:r>
    </w:p>
    <w:p w14:paraId="4AF25D15" w14:textId="1C0E047C" w:rsidR="000F7094" w:rsidRDefault="000F7094" w:rsidP="000F7094">
      <w:pPr>
        <w:spacing w:after="0"/>
      </w:pPr>
    </w:p>
    <w:p w14:paraId="60CED120" w14:textId="77777777" w:rsidR="00A32784" w:rsidRPr="00E84AEB" w:rsidRDefault="00A32784" w:rsidP="000F7094">
      <w:pPr>
        <w:spacing w:after="0"/>
      </w:pPr>
    </w:p>
    <w:p w14:paraId="4EE9CE50" w14:textId="4089B53F" w:rsidR="000F7094" w:rsidRDefault="000F7094" w:rsidP="00DF51F5">
      <w:pPr>
        <w:pStyle w:val="Caption"/>
      </w:pPr>
      <w:bookmarkStart w:id="88" w:name="_Ref100243462"/>
      <w:r>
        <w:lastRenderedPageBreak/>
        <w:t>Table 1.</w:t>
      </w:r>
      <w:fldSimple w:instr=" SEQ Table \* ARABIC ">
        <w:r w:rsidR="00AA5AAC">
          <w:rPr>
            <w:noProof/>
          </w:rPr>
          <w:t>3</w:t>
        </w:r>
      </w:fldSimple>
      <w:bookmarkEnd w:id="88"/>
      <w:r>
        <w:t>. Source and biological relevance of bis-</w:t>
      </w:r>
      <w:r>
        <w:rPr>
          <w:rFonts w:cs="Times New Roman"/>
          <w:szCs w:val="24"/>
        </w:rPr>
        <w:t xml:space="preserve">β-carboline alkaloids from </w:t>
      </w:r>
      <w:r w:rsidRPr="00BC1019">
        <w:rPr>
          <w:rFonts w:cs="Times New Roman"/>
          <w:i/>
          <w:szCs w:val="24"/>
        </w:rPr>
        <w:t xml:space="preserve">Picrasma </w:t>
      </w:r>
      <w:proofErr w:type="spellStart"/>
      <w:r w:rsidRPr="00BC1019">
        <w:rPr>
          <w:rFonts w:cs="Times New Roman"/>
          <w:i/>
          <w:szCs w:val="24"/>
        </w:rPr>
        <w:t>quassioides</w:t>
      </w:r>
      <w:proofErr w:type="spellEnd"/>
      <w:r>
        <w:rPr>
          <w:rFonts w:cs="Times New Roman"/>
          <w:szCs w:val="24"/>
        </w:rPr>
        <w:t xml:space="preserve"> plant extracts.</w:t>
      </w:r>
    </w:p>
    <w:tbl>
      <w:tblPr>
        <w:tblStyle w:val="TableGrid"/>
        <w:tblW w:w="9350" w:type="dxa"/>
        <w:tblLook w:val="04A0" w:firstRow="1" w:lastRow="0" w:firstColumn="1" w:lastColumn="0" w:noHBand="0" w:noVBand="1"/>
      </w:tblPr>
      <w:tblGrid>
        <w:gridCol w:w="1795"/>
        <w:gridCol w:w="2160"/>
        <w:gridCol w:w="1880"/>
        <w:gridCol w:w="3515"/>
      </w:tblGrid>
      <w:tr w:rsidR="000F7094" w14:paraId="520178B1" w14:textId="77777777" w:rsidTr="00BC71AD">
        <w:tc>
          <w:tcPr>
            <w:tcW w:w="1795" w:type="dxa"/>
            <w:shd w:val="clear" w:color="auto" w:fill="E7E6E6" w:themeFill="background2"/>
            <w:vAlign w:val="center"/>
          </w:tcPr>
          <w:p w14:paraId="7A9CAB2D" w14:textId="77777777" w:rsidR="000F7094" w:rsidRPr="00B74030" w:rsidRDefault="000F7094" w:rsidP="00BC71AD">
            <w:pPr>
              <w:spacing w:line="240" w:lineRule="auto"/>
              <w:jc w:val="center"/>
              <w:rPr>
                <w:rFonts w:cs="Times New Roman"/>
                <w:b/>
                <w:bCs/>
                <w:szCs w:val="24"/>
              </w:rPr>
            </w:pPr>
            <w:r>
              <w:rPr>
                <w:rFonts w:cs="Times New Roman"/>
                <w:b/>
                <w:bCs/>
                <w:szCs w:val="24"/>
              </w:rPr>
              <w:t>Compound No.</w:t>
            </w:r>
          </w:p>
        </w:tc>
        <w:tc>
          <w:tcPr>
            <w:tcW w:w="2160" w:type="dxa"/>
            <w:shd w:val="clear" w:color="auto" w:fill="E7E6E6" w:themeFill="background2"/>
            <w:vAlign w:val="center"/>
          </w:tcPr>
          <w:p w14:paraId="675FCE90" w14:textId="77777777" w:rsidR="000F7094" w:rsidRPr="00B74030" w:rsidRDefault="000F7094" w:rsidP="00BC71AD">
            <w:pPr>
              <w:spacing w:line="240" w:lineRule="auto"/>
              <w:jc w:val="left"/>
              <w:rPr>
                <w:rFonts w:cs="Times New Roman"/>
                <w:b/>
                <w:bCs/>
                <w:szCs w:val="24"/>
              </w:rPr>
            </w:pPr>
            <w:r w:rsidRPr="00B74030">
              <w:rPr>
                <w:rFonts w:cs="Times New Roman"/>
                <w:b/>
                <w:bCs/>
                <w:szCs w:val="24"/>
              </w:rPr>
              <w:t>Compound Name</w:t>
            </w:r>
          </w:p>
        </w:tc>
        <w:tc>
          <w:tcPr>
            <w:tcW w:w="1880" w:type="dxa"/>
            <w:shd w:val="clear" w:color="auto" w:fill="E7E6E6" w:themeFill="background2"/>
          </w:tcPr>
          <w:p w14:paraId="618455D5" w14:textId="77777777" w:rsidR="000F7094" w:rsidRPr="00B74030" w:rsidRDefault="000F7094" w:rsidP="00BC71AD">
            <w:pPr>
              <w:spacing w:line="240" w:lineRule="auto"/>
              <w:jc w:val="left"/>
              <w:rPr>
                <w:rFonts w:cs="Times New Roman"/>
                <w:b/>
                <w:bCs/>
                <w:szCs w:val="24"/>
              </w:rPr>
            </w:pPr>
            <w:r>
              <w:rPr>
                <w:rFonts w:cs="Times New Roman"/>
                <w:b/>
                <w:bCs/>
                <w:szCs w:val="24"/>
              </w:rPr>
              <w:t>Extract Source</w:t>
            </w:r>
          </w:p>
        </w:tc>
        <w:tc>
          <w:tcPr>
            <w:tcW w:w="3515" w:type="dxa"/>
            <w:shd w:val="clear" w:color="auto" w:fill="E7E6E6" w:themeFill="background2"/>
            <w:vAlign w:val="center"/>
          </w:tcPr>
          <w:p w14:paraId="2CDDBF52" w14:textId="77777777" w:rsidR="000F7094" w:rsidRPr="00B74030" w:rsidRDefault="000F7094" w:rsidP="00BC71AD">
            <w:pPr>
              <w:spacing w:line="240" w:lineRule="auto"/>
              <w:jc w:val="left"/>
              <w:rPr>
                <w:rFonts w:cs="Times New Roman"/>
                <w:b/>
                <w:bCs/>
                <w:szCs w:val="24"/>
              </w:rPr>
            </w:pPr>
            <w:r w:rsidRPr="00B74030">
              <w:rPr>
                <w:rFonts w:cs="Times New Roman"/>
                <w:b/>
                <w:bCs/>
                <w:szCs w:val="24"/>
              </w:rPr>
              <w:t>Significance or Activity</w:t>
            </w:r>
          </w:p>
        </w:tc>
      </w:tr>
      <w:tr w:rsidR="000F7094" w14:paraId="2FC53775" w14:textId="77777777" w:rsidTr="00BC71AD">
        <w:tc>
          <w:tcPr>
            <w:tcW w:w="1795" w:type="dxa"/>
          </w:tcPr>
          <w:p w14:paraId="1D7FF838" w14:textId="533CEB54" w:rsidR="000F7094" w:rsidRPr="00A70DEA"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1</w:t>
            </w:r>
          </w:p>
        </w:tc>
        <w:tc>
          <w:tcPr>
            <w:tcW w:w="2160" w:type="dxa"/>
          </w:tcPr>
          <w:p w14:paraId="51622E9F" w14:textId="77777777" w:rsidR="000F7094" w:rsidRDefault="000F7094" w:rsidP="00BC71AD">
            <w:pPr>
              <w:spacing w:line="240" w:lineRule="auto"/>
              <w:rPr>
                <w:rFonts w:cs="Times New Roman"/>
                <w:szCs w:val="24"/>
              </w:rPr>
            </w:pPr>
            <w:r>
              <w:rPr>
                <w:rFonts w:cs="Times New Roman"/>
                <w:szCs w:val="24"/>
              </w:rPr>
              <w:t>Picrasidine C</w:t>
            </w:r>
          </w:p>
        </w:tc>
        <w:tc>
          <w:tcPr>
            <w:tcW w:w="1880" w:type="dxa"/>
          </w:tcPr>
          <w:p w14:paraId="3EA35F08" w14:textId="77777777" w:rsidR="000F7094" w:rsidRDefault="000F7094" w:rsidP="00BC71AD">
            <w:pPr>
              <w:spacing w:line="240" w:lineRule="auto"/>
              <w:rPr>
                <w:rFonts w:cs="Times New Roman"/>
                <w:szCs w:val="24"/>
              </w:rPr>
            </w:pPr>
            <w:r>
              <w:rPr>
                <w:rFonts w:cs="Times New Roman"/>
                <w:szCs w:val="24"/>
              </w:rPr>
              <w:t>Stem or bark</w:t>
            </w:r>
          </w:p>
        </w:tc>
        <w:tc>
          <w:tcPr>
            <w:tcW w:w="3515" w:type="dxa"/>
          </w:tcPr>
          <w:p w14:paraId="1C818482" w14:textId="08A7C62D" w:rsidR="000F7094" w:rsidRDefault="000F7094" w:rsidP="00BC71AD">
            <w:pPr>
              <w:spacing w:line="240" w:lineRule="auto"/>
              <w:jc w:val="left"/>
              <w:rPr>
                <w:rFonts w:cs="Times New Roman"/>
                <w:szCs w:val="24"/>
              </w:rPr>
            </w:pPr>
            <w:r>
              <w:rPr>
                <w:rFonts w:cs="Times New Roman"/>
                <w:szCs w:val="24"/>
              </w:rPr>
              <w:t>Glucose and lipid homeostasis</w:t>
            </w:r>
            <w:r>
              <w:rPr>
                <w:rFonts w:cs="Times New Roman"/>
                <w:szCs w:val="24"/>
              </w:rPr>
              <w:fldChar w:fldCharType="begin"/>
            </w:r>
            <w:r w:rsidR="00B26382">
              <w:rPr>
                <w:rFonts w:cs="Times New Roman"/>
                <w:szCs w:val="24"/>
              </w:rPr>
              <w:instrText xml:space="preserve"> ADDIN ZOTERO_ITEM CSL_CITATION {"citationID":"GGimPeUH","properties":{"formattedCitation":"\\super 88\\nosupersub{}","plainCitation":"88","noteIndex":0},"citationItems":[{"id":253,"uris":["http://zotero.org/users/6503767/items/6QWFZRX9"],"itemData":{"id":253,"type":"article-journal","abstract":"Picrasidine C (1), a dimeric β-carboline-type alkaloid isolated from the root of Picrasma quassioides, was identiﬁed to have PPARα agonistic activity by a mammalian one-hybrid assay from a compound library. Among the PPAR subtypes, 1 selectively activated PPARα in a concentrationdependent manner. Remarkably, 1 also promoted PPARα transcriptional activity by a peroxisome proliferator response element-driven luciferase reporter assay. Furthermore, 1 induced the expression of PPARα-regulated genes involved in lipid, glucose, and cholesterol metabolism, such as CPT-1, PPARα, PDK4, and ABCA1, which was abrogated by the PPARα antagonist MK-886, indicating that the eﬀect of 1 was dependent on PPARα activation. This is the ﬁrst report to demonstrate 1 to be a subtype-selective PPARα agonist with potential application in treating metabolic diseases, such as hyperlipidemia, atherosclerosis, and hypercholesterolemia.","container-title":"Journal of Natural Products","DOI":"10.1021/acs.jnatprod.6b00883","ISSN":"0163-3864, 1520-6025","issue":"12","journalAbbreviation":"J. Nat. Prod.","language":"en","page":"3127-3133","source":"DOI.org (Crossref)","title":"Identification of Picrasidine C as a Subtype-Selective PPARα Agonist","volume":"79","author":[{"family":"Zhao","given":"Shuai"},{"family":"Kanno","given":"Yuichiro"},{"family":"Li","given":"Wei"},{"family":"Sasaki","given":"Tatsunori"},{"family":"Zhang","given":"Xiangyu"},{"family":"Wang","given":"Jian"},{"family":"Cheng","given":"Maosheng"},{"family":"Koike","given":"Kazuo"},{"family":"Nemoto","given":"Kiyomitsu"},{"family":"Li","given":"Huicheng"}],"issued":{"date-parts":[["2016",12,23]]}}}],"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88</w:t>
            </w:r>
            <w:r>
              <w:rPr>
                <w:rFonts w:cs="Times New Roman"/>
                <w:szCs w:val="24"/>
              </w:rPr>
              <w:fldChar w:fldCharType="end"/>
            </w:r>
          </w:p>
        </w:tc>
      </w:tr>
      <w:tr w:rsidR="000F7094" w14:paraId="7D57AABA" w14:textId="77777777" w:rsidTr="00BC71AD">
        <w:tc>
          <w:tcPr>
            <w:tcW w:w="1795" w:type="dxa"/>
          </w:tcPr>
          <w:p w14:paraId="3BED613D" w14:textId="61D5B160" w:rsidR="000F7094"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2</w:t>
            </w:r>
          </w:p>
        </w:tc>
        <w:tc>
          <w:tcPr>
            <w:tcW w:w="2160" w:type="dxa"/>
          </w:tcPr>
          <w:p w14:paraId="1CB843EB" w14:textId="77777777" w:rsidR="000F7094" w:rsidRDefault="000F7094" w:rsidP="00BC71AD">
            <w:pPr>
              <w:spacing w:line="240" w:lineRule="auto"/>
              <w:rPr>
                <w:rFonts w:cs="Times New Roman"/>
                <w:szCs w:val="24"/>
              </w:rPr>
            </w:pPr>
            <w:r>
              <w:rPr>
                <w:rFonts w:cs="Times New Roman"/>
                <w:szCs w:val="24"/>
              </w:rPr>
              <w:t>Picrasidine R</w:t>
            </w:r>
          </w:p>
        </w:tc>
        <w:tc>
          <w:tcPr>
            <w:tcW w:w="1880" w:type="dxa"/>
          </w:tcPr>
          <w:p w14:paraId="64125148" w14:textId="77777777" w:rsidR="000F7094" w:rsidRDefault="000F7094" w:rsidP="00BC71AD">
            <w:pPr>
              <w:spacing w:line="240" w:lineRule="auto"/>
              <w:rPr>
                <w:rFonts w:cs="Times New Roman"/>
                <w:szCs w:val="24"/>
              </w:rPr>
            </w:pPr>
            <w:r>
              <w:rPr>
                <w:rFonts w:cs="Times New Roman"/>
                <w:szCs w:val="24"/>
              </w:rPr>
              <w:t>Root bark</w:t>
            </w:r>
          </w:p>
        </w:tc>
        <w:tc>
          <w:tcPr>
            <w:tcW w:w="3515" w:type="dxa"/>
          </w:tcPr>
          <w:p w14:paraId="2DC518DD" w14:textId="4F8F91D2" w:rsidR="000F7094" w:rsidRDefault="000F7094" w:rsidP="00BC71AD">
            <w:pPr>
              <w:spacing w:line="240" w:lineRule="auto"/>
              <w:rPr>
                <w:rFonts w:cs="Times New Roman"/>
                <w:szCs w:val="24"/>
              </w:rPr>
            </w:pPr>
            <w:r>
              <w:rPr>
                <w:rFonts w:cs="Times New Roman"/>
                <w:szCs w:val="24"/>
              </w:rPr>
              <w:t>Unknown</w:t>
            </w:r>
            <w:r>
              <w:rPr>
                <w:rFonts w:cs="Times New Roman"/>
                <w:szCs w:val="24"/>
              </w:rPr>
              <w:fldChar w:fldCharType="begin"/>
            </w:r>
            <w:r w:rsidR="00B26382">
              <w:rPr>
                <w:rFonts w:cs="Times New Roman"/>
                <w:szCs w:val="24"/>
              </w:rPr>
              <w:instrText xml:space="preserve"> ADDIN ZOTERO_ITEM CSL_CITATION {"citationID":"Iwv2B8w9","properties":{"formattedCitation":"\\super 97\\nosupersub{}","plainCitation":"97","noteIndex":0},"citationItems":[{"id":255,"uris":["http://zotero.org/users/6503767/items/4RUU49HA"],"itemData":{"id":255,"type":"article-journal","abstract":"Two new β-carboline dimer alkaloids, picrasidines-H (1) and (2), have been isolated from the root bark of Picrasma quassioides BENNET (Simaroubaceae). The structures were determined on the basis of spectral analysis.","container-title":"Chemical &amp; Pharmaceutical Bulletin","DOI":"10.1248/cpb.34.2090","issue":"5","page":"2090-2093","source":"J-Stage","title":"Studies on the Alkaloids from Picrasma quassioides BENNET.VII. : Structures of β-Carboline Dimer Alkaloids, Picrasidines-H and -R","title-short":"Studies on the Alkaloids from Picrasma quassioides BENNET.VII.","volume":"34","author":[{"family":"Koike","given":"Kazuo"},{"family":"Ohmoto","given":"Taichi"}],"issued":{"date-parts":[["1986"]]}}}],"schema":"https://github.com/citation-style-language/schema/raw/master/csl-citation.json"}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97</w:t>
            </w:r>
            <w:r>
              <w:rPr>
                <w:rFonts w:cs="Times New Roman"/>
                <w:szCs w:val="24"/>
              </w:rPr>
              <w:fldChar w:fldCharType="end"/>
            </w:r>
          </w:p>
        </w:tc>
      </w:tr>
      <w:tr w:rsidR="000F7094" w14:paraId="4C775D46" w14:textId="77777777" w:rsidTr="00BC71AD">
        <w:tc>
          <w:tcPr>
            <w:tcW w:w="1795" w:type="dxa"/>
          </w:tcPr>
          <w:p w14:paraId="273D969C" w14:textId="72A79BA6" w:rsidR="000F7094"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3</w:t>
            </w:r>
          </w:p>
        </w:tc>
        <w:tc>
          <w:tcPr>
            <w:tcW w:w="2160" w:type="dxa"/>
          </w:tcPr>
          <w:p w14:paraId="00C7AE06" w14:textId="77777777" w:rsidR="000F7094" w:rsidRDefault="000F7094" w:rsidP="00BC71AD">
            <w:pPr>
              <w:spacing w:line="240" w:lineRule="auto"/>
              <w:rPr>
                <w:rFonts w:cs="Times New Roman"/>
                <w:szCs w:val="24"/>
              </w:rPr>
            </w:pPr>
            <w:r>
              <w:rPr>
                <w:rFonts w:cs="Times New Roman"/>
                <w:szCs w:val="24"/>
              </w:rPr>
              <w:t>Picrasidine H</w:t>
            </w:r>
          </w:p>
        </w:tc>
        <w:tc>
          <w:tcPr>
            <w:tcW w:w="1880" w:type="dxa"/>
          </w:tcPr>
          <w:p w14:paraId="076BDD5F" w14:textId="77777777" w:rsidR="000F7094" w:rsidRDefault="000F7094" w:rsidP="00BC71AD">
            <w:pPr>
              <w:spacing w:line="240" w:lineRule="auto"/>
              <w:rPr>
                <w:rFonts w:cs="Times New Roman"/>
                <w:szCs w:val="24"/>
              </w:rPr>
            </w:pPr>
            <w:r>
              <w:rPr>
                <w:rFonts w:cs="Times New Roman"/>
                <w:szCs w:val="24"/>
              </w:rPr>
              <w:t>Root bark</w:t>
            </w:r>
          </w:p>
        </w:tc>
        <w:tc>
          <w:tcPr>
            <w:tcW w:w="3515" w:type="dxa"/>
          </w:tcPr>
          <w:p w14:paraId="50183A09" w14:textId="537C04B8" w:rsidR="000F7094" w:rsidRDefault="000F7094" w:rsidP="00BC71AD">
            <w:pPr>
              <w:spacing w:line="240" w:lineRule="auto"/>
              <w:rPr>
                <w:rFonts w:cs="Times New Roman"/>
                <w:szCs w:val="24"/>
              </w:rPr>
            </w:pPr>
            <w:r>
              <w:rPr>
                <w:rFonts w:cs="Times New Roman"/>
                <w:szCs w:val="24"/>
              </w:rPr>
              <w:t>Unknown</w:t>
            </w:r>
            <w:r>
              <w:rPr>
                <w:rFonts w:cs="Times New Roman"/>
                <w:szCs w:val="24"/>
              </w:rPr>
              <w:fldChar w:fldCharType="begin"/>
            </w:r>
            <w:r w:rsidR="00B26382">
              <w:rPr>
                <w:rFonts w:cs="Times New Roman"/>
                <w:szCs w:val="24"/>
              </w:rPr>
              <w:instrText xml:space="preserve"> ADDIN ZOTERO_ITEM CSL_CITATION {"citationID":"zeNvddG6","properties":{"formattedCitation":"\\super 97\\nosupersub{}","plainCitation":"97","noteIndex":0},"citationItems":[{"id":255,"uris":["http://zotero.org/users/6503767/items/4RUU49HA"],"itemData":{"id":255,"type":"article-journal","abstract":"Two new β-carboline dimer alkaloids, picrasidines-H (1) and (2), have been isolated from the root bark of Picrasma quassioides BENNET (Simaroubaceae). The structures were determined on the basis of spectral analysis.","container-title":"Chemical &amp; Pharmaceutical Bulletin","DOI":"10.1248/cpb.34.2090","issue":"5","page":"2090-2093","source":"J-Stage","title":"Studies on the Alkaloids from Picrasma quassioides BENNET.VII. : Structures of β-Carboline Dimer Alkaloids, Picrasidines-H and -R","title-short":"Studies on the Alkaloids from Picrasma quassioides BENNET.VII.","volume":"34","author":[{"family":"Koike","given":"Kazuo"},{"family":"Ohmoto","given":"Taichi"}],"issued":{"date-parts":[["1986"]]}}}],"schema":"https://github.com/citation-style-language/schema/raw/master/csl-citation.json"}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97</w:t>
            </w:r>
            <w:r>
              <w:rPr>
                <w:rFonts w:cs="Times New Roman"/>
                <w:szCs w:val="24"/>
              </w:rPr>
              <w:fldChar w:fldCharType="end"/>
            </w:r>
          </w:p>
        </w:tc>
      </w:tr>
      <w:tr w:rsidR="000F7094" w14:paraId="05125DA6" w14:textId="77777777" w:rsidTr="00BC71AD">
        <w:tc>
          <w:tcPr>
            <w:tcW w:w="1795" w:type="dxa"/>
          </w:tcPr>
          <w:p w14:paraId="1A421B1A" w14:textId="66480A6B" w:rsidR="000F7094"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4</w:t>
            </w:r>
          </w:p>
        </w:tc>
        <w:tc>
          <w:tcPr>
            <w:tcW w:w="2160" w:type="dxa"/>
          </w:tcPr>
          <w:p w14:paraId="751671A9" w14:textId="77777777" w:rsidR="000F7094" w:rsidRDefault="000F7094" w:rsidP="00BC71AD">
            <w:pPr>
              <w:spacing w:line="240" w:lineRule="auto"/>
              <w:rPr>
                <w:rFonts w:cs="Times New Roman"/>
                <w:szCs w:val="24"/>
              </w:rPr>
            </w:pPr>
            <w:r>
              <w:rPr>
                <w:rFonts w:cs="Times New Roman"/>
                <w:szCs w:val="24"/>
              </w:rPr>
              <w:t>Quassidine B</w:t>
            </w:r>
          </w:p>
        </w:tc>
        <w:tc>
          <w:tcPr>
            <w:tcW w:w="1880" w:type="dxa"/>
          </w:tcPr>
          <w:p w14:paraId="79134997" w14:textId="77777777" w:rsidR="000F7094" w:rsidRDefault="000F7094" w:rsidP="00BC71AD">
            <w:pPr>
              <w:spacing w:line="240" w:lineRule="auto"/>
              <w:rPr>
                <w:rFonts w:cs="Times New Roman"/>
                <w:szCs w:val="24"/>
              </w:rPr>
            </w:pPr>
            <w:r>
              <w:rPr>
                <w:rFonts w:cs="Times New Roman"/>
                <w:szCs w:val="24"/>
              </w:rPr>
              <w:t>Stem</w:t>
            </w:r>
          </w:p>
        </w:tc>
        <w:tc>
          <w:tcPr>
            <w:tcW w:w="3515" w:type="dxa"/>
          </w:tcPr>
          <w:p w14:paraId="73FB26F4" w14:textId="77777777" w:rsidR="000F7094" w:rsidRDefault="000F7094" w:rsidP="00BC71AD">
            <w:pPr>
              <w:spacing w:line="240" w:lineRule="auto"/>
              <w:rPr>
                <w:rFonts w:cs="Times New Roman"/>
                <w:szCs w:val="24"/>
              </w:rPr>
            </w:pPr>
            <w:r>
              <w:rPr>
                <w:rFonts w:cs="Times New Roman"/>
                <w:szCs w:val="24"/>
              </w:rPr>
              <w:t>Anti-inflammatory</w:t>
            </w:r>
            <w:r>
              <w:rPr>
                <w:rFonts w:cs="Times New Roman"/>
                <w:szCs w:val="24"/>
              </w:rPr>
              <w:fldChar w:fldCharType="begin"/>
            </w:r>
            <w:r>
              <w:rPr>
                <w:rFonts w:cs="Times New Roman"/>
                <w:szCs w:val="24"/>
              </w:rPr>
              <w:instrText xml:space="preserve"> ADDIN ZOTERO_ITEM CSL_CITATION {"citationID":"zN89JNlE","properties":{"formattedCitation":"\\super 35\\nosupersub{}","plainCitation":"35","noteIndex":0},"citationItems":[{"id":347,"uris":["http://zotero.org/users/6503767/items/PNWG4FBH"],"itemData":{"id":347,"type":"article-journal","abstract":"Four new bis-β-carboline alkaloids, quassidines A−D (1−4), together with a known alkaloid, picrasidine C (5), were isolated from the stems of Picrasma quassioides. Quassidine A (1) is the first reported bis-β-carboline alkaloid possessing a novel cyclobutane moiety. The structures of the new compounds were determined on the basis of their 1D and 2D NMR and X-ray diffraction data. A possible biogenetic pathway for these alkaloids was proposed, and all compounds were evaluated for anti-inflammatory activity. Only quassidine A (1) showed weak activity.","container-title":"Journal of Natural Products","DOI":"10.1021/np900538r","ISSN":"0163-3864","issue":"2","journalAbbreviation":"J. Nat. Prod.","note":"publisher: American Chemical Society","page":"167-171","source":"ACS Publications","title":"Quassidines A−D, Bis-β-carboline Alkaloids from the Stems of Picrasma quassioides","volume":"73","author":[{"family":"Jiao","given":"Wei-Hua"},{"family":"Gao","given":"Hao"},{"family":"Li","given":"Chen-Yang"},{"family":"Zhao","given":"Feng"},{"family":"Jiang","given":"Ren-Wang"},{"family":"Wang","given":"Ying"},{"family":"Zhou","given":"Guang-Xiong"},{"family":"Yao","given":"Xin-Sheng"}],"issued":{"date-parts":[["2010",2,26]]}}}],"schema":"https://github.com/citation-style-language/schema/raw/master/csl-citation.json"} </w:instrText>
            </w:r>
            <w:r>
              <w:rPr>
                <w:rFonts w:cs="Times New Roman"/>
                <w:szCs w:val="24"/>
              </w:rPr>
              <w:fldChar w:fldCharType="separate"/>
            </w:r>
            <w:r w:rsidRPr="00D37B8A">
              <w:rPr>
                <w:rFonts w:cs="Times New Roman"/>
                <w:szCs w:val="24"/>
                <w:vertAlign w:val="superscript"/>
              </w:rPr>
              <w:t>35</w:t>
            </w:r>
            <w:r>
              <w:rPr>
                <w:rFonts w:cs="Times New Roman"/>
                <w:szCs w:val="24"/>
              </w:rPr>
              <w:fldChar w:fldCharType="end"/>
            </w:r>
          </w:p>
        </w:tc>
      </w:tr>
      <w:tr w:rsidR="000F7094" w14:paraId="5C13EBB5" w14:textId="77777777" w:rsidTr="00BC71AD">
        <w:tc>
          <w:tcPr>
            <w:tcW w:w="1795" w:type="dxa"/>
          </w:tcPr>
          <w:p w14:paraId="2C9F5849" w14:textId="74314085" w:rsidR="000F7094"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5</w:t>
            </w:r>
          </w:p>
        </w:tc>
        <w:tc>
          <w:tcPr>
            <w:tcW w:w="2160" w:type="dxa"/>
          </w:tcPr>
          <w:p w14:paraId="780ABE16" w14:textId="77777777" w:rsidR="000F7094" w:rsidRDefault="000F7094" w:rsidP="00BC71AD">
            <w:pPr>
              <w:spacing w:line="240" w:lineRule="auto"/>
              <w:rPr>
                <w:rFonts w:cs="Times New Roman"/>
                <w:szCs w:val="24"/>
              </w:rPr>
            </w:pPr>
            <w:r>
              <w:rPr>
                <w:rFonts w:cs="Times New Roman"/>
                <w:szCs w:val="24"/>
              </w:rPr>
              <w:t>Quassidine C</w:t>
            </w:r>
          </w:p>
        </w:tc>
        <w:tc>
          <w:tcPr>
            <w:tcW w:w="1880" w:type="dxa"/>
          </w:tcPr>
          <w:p w14:paraId="4F2B3C77" w14:textId="77777777" w:rsidR="000F7094" w:rsidRDefault="000F7094" w:rsidP="00BC71AD">
            <w:pPr>
              <w:spacing w:line="240" w:lineRule="auto"/>
              <w:rPr>
                <w:rFonts w:cs="Times New Roman"/>
                <w:szCs w:val="24"/>
              </w:rPr>
            </w:pPr>
            <w:r>
              <w:rPr>
                <w:rFonts w:cs="Times New Roman"/>
                <w:szCs w:val="24"/>
              </w:rPr>
              <w:t>Stem</w:t>
            </w:r>
          </w:p>
        </w:tc>
        <w:tc>
          <w:tcPr>
            <w:tcW w:w="3515" w:type="dxa"/>
          </w:tcPr>
          <w:p w14:paraId="48BB7F6A" w14:textId="77777777" w:rsidR="000F7094" w:rsidRDefault="000F7094" w:rsidP="00BC71AD">
            <w:pPr>
              <w:spacing w:line="240" w:lineRule="auto"/>
              <w:rPr>
                <w:rFonts w:cs="Times New Roman"/>
                <w:szCs w:val="24"/>
              </w:rPr>
            </w:pPr>
            <w:r>
              <w:rPr>
                <w:rFonts w:cs="Times New Roman"/>
                <w:szCs w:val="24"/>
              </w:rPr>
              <w:t>Anti-inflammatory</w:t>
            </w:r>
            <w:r>
              <w:rPr>
                <w:rFonts w:cs="Times New Roman"/>
                <w:szCs w:val="24"/>
              </w:rPr>
              <w:fldChar w:fldCharType="begin"/>
            </w:r>
            <w:r>
              <w:rPr>
                <w:rFonts w:cs="Times New Roman"/>
                <w:szCs w:val="24"/>
              </w:rPr>
              <w:instrText xml:space="preserve"> ADDIN ZOTERO_ITEM CSL_CITATION {"citationID":"BbnW3GTN","properties":{"formattedCitation":"\\super 35\\nosupersub{}","plainCitation":"35","noteIndex":0},"citationItems":[{"id":347,"uris":["http://zotero.org/users/6503767/items/PNWG4FBH"],"itemData":{"id":347,"type":"article-journal","abstract":"Four new bis-β-carboline alkaloids, quassidines A−D (1−4), together with a known alkaloid, picrasidine C (5), were isolated from the stems of Picrasma quassioides. Quassidine A (1) is the first reported bis-β-carboline alkaloid possessing a novel cyclobutane moiety. The structures of the new compounds were determined on the basis of their 1D and 2D NMR and X-ray diffraction data. A possible biogenetic pathway for these alkaloids was proposed, and all compounds were evaluated for anti-inflammatory activity. Only quassidine A (1) showed weak activity.","container-title":"Journal of Natural Products","DOI":"10.1021/np900538r","ISSN":"0163-3864","issue":"2","journalAbbreviation":"J. Nat. Prod.","note":"publisher: American Chemical Society","page":"167-171","source":"ACS Publications","title":"Quassidines A−D, Bis-β-carboline Alkaloids from the Stems of Picrasma quassioides","volume":"73","author":[{"family":"Jiao","given":"Wei-Hua"},{"family":"Gao","given":"Hao"},{"family":"Li","given":"Chen-Yang"},{"family":"Zhao","given":"Feng"},{"family":"Jiang","given":"Ren-Wang"},{"family":"Wang","given":"Ying"},{"family":"Zhou","given":"Guang-Xiong"},{"family":"Yao","given":"Xin-Sheng"}],"issued":{"date-parts":[["2010",2,26]]}}}],"schema":"https://github.com/citation-style-language/schema/raw/master/csl-citation.json"} </w:instrText>
            </w:r>
            <w:r>
              <w:rPr>
                <w:rFonts w:cs="Times New Roman"/>
                <w:szCs w:val="24"/>
              </w:rPr>
              <w:fldChar w:fldCharType="separate"/>
            </w:r>
            <w:r w:rsidRPr="00D37B8A">
              <w:rPr>
                <w:rFonts w:cs="Times New Roman"/>
                <w:szCs w:val="24"/>
                <w:vertAlign w:val="superscript"/>
              </w:rPr>
              <w:t>35</w:t>
            </w:r>
            <w:r>
              <w:rPr>
                <w:rFonts w:cs="Times New Roman"/>
                <w:szCs w:val="24"/>
              </w:rPr>
              <w:fldChar w:fldCharType="end"/>
            </w:r>
          </w:p>
        </w:tc>
      </w:tr>
      <w:tr w:rsidR="000F7094" w14:paraId="48A0AE42" w14:textId="77777777" w:rsidTr="00BC71AD">
        <w:tc>
          <w:tcPr>
            <w:tcW w:w="1795" w:type="dxa"/>
          </w:tcPr>
          <w:p w14:paraId="034675AB" w14:textId="19DB5238" w:rsidR="000F7094"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6</w:t>
            </w:r>
          </w:p>
        </w:tc>
        <w:tc>
          <w:tcPr>
            <w:tcW w:w="2160" w:type="dxa"/>
          </w:tcPr>
          <w:p w14:paraId="411CDEB6" w14:textId="77777777" w:rsidR="000F7094" w:rsidRDefault="000F7094" w:rsidP="00BC71AD">
            <w:pPr>
              <w:spacing w:line="240" w:lineRule="auto"/>
              <w:rPr>
                <w:rFonts w:cs="Times New Roman"/>
                <w:szCs w:val="24"/>
              </w:rPr>
            </w:pPr>
            <w:r>
              <w:rPr>
                <w:rFonts w:cs="Times New Roman"/>
                <w:szCs w:val="24"/>
              </w:rPr>
              <w:t>Quassidine D</w:t>
            </w:r>
          </w:p>
        </w:tc>
        <w:tc>
          <w:tcPr>
            <w:tcW w:w="1880" w:type="dxa"/>
          </w:tcPr>
          <w:p w14:paraId="0B98D1CD" w14:textId="77777777" w:rsidR="000F7094" w:rsidRDefault="000F7094" w:rsidP="00BC71AD">
            <w:pPr>
              <w:spacing w:line="240" w:lineRule="auto"/>
              <w:rPr>
                <w:rFonts w:cs="Times New Roman"/>
                <w:szCs w:val="24"/>
              </w:rPr>
            </w:pPr>
            <w:r>
              <w:rPr>
                <w:rFonts w:cs="Times New Roman"/>
                <w:szCs w:val="24"/>
              </w:rPr>
              <w:t>Stem</w:t>
            </w:r>
          </w:p>
        </w:tc>
        <w:tc>
          <w:tcPr>
            <w:tcW w:w="3515" w:type="dxa"/>
          </w:tcPr>
          <w:p w14:paraId="00B55C40" w14:textId="77777777" w:rsidR="000F7094" w:rsidRDefault="000F7094" w:rsidP="00BC71AD">
            <w:pPr>
              <w:spacing w:line="240" w:lineRule="auto"/>
              <w:rPr>
                <w:rFonts w:cs="Times New Roman"/>
                <w:szCs w:val="24"/>
              </w:rPr>
            </w:pPr>
            <w:r>
              <w:rPr>
                <w:rFonts w:cs="Times New Roman"/>
                <w:szCs w:val="24"/>
              </w:rPr>
              <w:t>Anti-inflammatory</w:t>
            </w:r>
            <w:r>
              <w:rPr>
                <w:rFonts w:cs="Times New Roman"/>
                <w:szCs w:val="24"/>
              </w:rPr>
              <w:fldChar w:fldCharType="begin"/>
            </w:r>
            <w:r>
              <w:rPr>
                <w:rFonts w:cs="Times New Roman"/>
                <w:szCs w:val="24"/>
              </w:rPr>
              <w:instrText xml:space="preserve"> ADDIN ZOTERO_ITEM CSL_CITATION {"citationID":"PD07HXSM","properties":{"formattedCitation":"\\super 35\\nosupersub{}","plainCitation":"35","noteIndex":0},"citationItems":[{"id":347,"uris":["http://zotero.org/users/6503767/items/PNWG4FBH"],"itemData":{"id":347,"type":"article-journal","abstract":"Four new bis-β-carboline alkaloids, quassidines A−D (1−4), together with a known alkaloid, picrasidine C (5), were isolated from the stems of Picrasma quassioides. Quassidine A (1) is the first reported bis-β-carboline alkaloid possessing a novel cyclobutane moiety. The structures of the new compounds were determined on the basis of their 1D and 2D NMR and X-ray diffraction data. A possible biogenetic pathway for these alkaloids was proposed, and all compounds were evaluated for anti-inflammatory activity. Only quassidine A (1) showed weak activity.","container-title":"Journal of Natural Products","DOI":"10.1021/np900538r","ISSN":"0163-3864","issue":"2","journalAbbreviation":"J. Nat. Prod.","note":"publisher: American Chemical Society","page":"167-171","source":"ACS Publications","title":"Quassidines A−D, Bis-β-carboline Alkaloids from the Stems of Picrasma quassioides","volume":"73","author":[{"family":"Jiao","given":"Wei-Hua"},{"family":"Gao","given":"Hao"},{"family":"Li","given":"Chen-Yang"},{"family":"Zhao","given":"Feng"},{"family":"Jiang","given":"Ren-Wang"},{"family":"Wang","given":"Ying"},{"family":"Zhou","given":"Guang-Xiong"},{"family":"Yao","given":"Xin-Sheng"}],"issued":{"date-parts":[["2010",2,26]]}}}],"schema":"https://github.com/citation-style-language/schema/raw/master/csl-citation.json"} </w:instrText>
            </w:r>
            <w:r>
              <w:rPr>
                <w:rFonts w:cs="Times New Roman"/>
                <w:szCs w:val="24"/>
              </w:rPr>
              <w:fldChar w:fldCharType="separate"/>
            </w:r>
            <w:r w:rsidRPr="00D37B8A">
              <w:rPr>
                <w:rFonts w:cs="Times New Roman"/>
                <w:szCs w:val="24"/>
                <w:vertAlign w:val="superscript"/>
              </w:rPr>
              <w:t>35</w:t>
            </w:r>
            <w:r>
              <w:rPr>
                <w:rFonts w:cs="Times New Roman"/>
                <w:szCs w:val="24"/>
              </w:rPr>
              <w:fldChar w:fldCharType="end"/>
            </w:r>
          </w:p>
        </w:tc>
      </w:tr>
      <w:tr w:rsidR="000F7094" w14:paraId="103A1DCC" w14:textId="77777777" w:rsidTr="00BC71AD">
        <w:tc>
          <w:tcPr>
            <w:tcW w:w="1795" w:type="dxa"/>
          </w:tcPr>
          <w:p w14:paraId="5749FDDB" w14:textId="3AD8F071" w:rsidR="000F7094" w:rsidRPr="00A70DEA"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7</w:t>
            </w:r>
          </w:p>
        </w:tc>
        <w:tc>
          <w:tcPr>
            <w:tcW w:w="2160" w:type="dxa"/>
          </w:tcPr>
          <w:p w14:paraId="4C9CA4BB" w14:textId="77777777" w:rsidR="000F7094" w:rsidRDefault="000F7094" w:rsidP="00BC71AD">
            <w:pPr>
              <w:spacing w:line="240" w:lineRule="auto"/>
              <w:rPr>
                <w:rFonts w:cs="Times New Roman"/>
                <w:szCs w:val="24"/>
              </w:rPr>
            </w:pPr>
            <w:r>
              <w:rPr>
                <w:rFonts w:cs="Times New Roman"/>
                <w:szCs w:val="24"/>
              </w:rPr>
              <w:t>Picrasidine F</w:t>
            </w:r>
          </w:p>
        </w:tc>
        <w:tc>
          <w:tcPr>
            <w:tcW w:w="1880" w:type="dxa"/>
          </w:tcPr>
          <w:p w14:paraId="30688289" w14:textId="77777777" w:rsidR="000F7094" w:rsidRDefault="000F7094" w:rsidP="00BC71AD">
            <w:pPr>
              <w:spacing w:line="240" w:lineRule="auto"/>
              <w:rPr>
                <w:rFonts w:cs="Times New Roman"/>
                <w:szCs w:val="24"/>
              </w:rPr>
            </w:pPr>
            <w:r>
              <w:rPr>
                <w:rFonts w:cs="Times New Roman"/>
                <w:szCs w:val="24"/>
              </w:rPr>
              <w:t>Stem or bark</w:t>
            </w:r>
          </w:p>
        </w:tc>
        <w:tc>
          <w:tcPr>
            <w:tcW w:w="3515" w:type="dxa"/>
          </w:tcPr>
          <w:p w14:paraId="34648B20" w14:textId="5F6D49BA" w:rsidR="000F7094" w:rsidRDefault="000F7094" w:rsidP="00BC71AD">
            <w:pPr>
              <w:spacing w:line="240" w:lineRule="auto"/>
              <w:rPr>
                <w:rFonts w:cs="Times New Roman"/>
                <w:szCs w:val="24"/>
              </w:rPr>
            </w:pPr>
            <w:r>
              <w:rPr>
                <w:rFonts w:cs="Times New Roman"/>
                <w:szCs w:val="24"/>
              </w:rPr>
              <w:t>Antibacterial</w:t>
            </w:r>
            <w:r>
              <w:rPr>
                <w:rFonts w:cs="Times New Roman"/>
                <w:szCs w:val="24"/>
              </w:rPr>
              <w:fldChar w:fldCharType="begin"/>
            </w:r>
            <w:r w:rsidR="00B26382">
              <w:rPr>
                <w:rFonts w:cs="Times New Roman"/>
                <w:szCs w:val="24"/>
              </w:rPr>
              <w:instrText xml:space="preserve"> ADDIN ZOTERO_ITEM CSL_CITATION {"citationID":"YwQcvKYQ","properties":{"formattedCitation":"\\super 92\\nosupersub{}","plainCitation":"92","noteIndex":0},"citationItems":[{"id":275,"uris":["http://zotero.org/users/6503767/items/TVZLWL4D"],"itemData":{"id":275,"type":"article-journal","container-title":"Chinese Traditional and Herbal Drugs","DOI":"10.7501/j.issn.0253-2670.2015.06.004","issue":"6","page":"803-807","title":"Three bis-β-carboline alkaloids from Picrasma quassioides and their bioactivities","volume":"46","author":[{"family":"Guo-hua","given":"Shi"},{"family":"Wei-hua","given":"Jiao"},{"family":"Fan","given":"Yang"},{"family":"Hou-wen","given":"Lin"}],"issued":{"date-parts":[["2015"]]}}}],"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92</w:t>
            </w:r>
            <w:r>
              <w:rPr>
                <w:rFonts w:cs="Times New Roman"/>
                <w:szCs w:val="24"/>
              </w:rPr>
              <w:fldChar w:fldCharType="end"/>
            </w:r>
            <w:r>
              <w:rPr>
                <w:rFonts w:cs="Times New Roman"/>
                <w:szCs w:val="24"/>
              </w:rPr>
              <w:t xml:space="preserve"> </w:t>
            </w:r>
          </w:p>
        </w:tc>
      </w:tr>
      <w:tr w:rsidR="000F7094" w14:paraId="6A4BD87F" w14:textId="77777777" w:rsidTr="00BC71AD">
        <w:tc>
          <w:tcPr>
            <w:tcW w:w="1795" w:type="dxa"/>
          </w:tcPr>
          <w:p w14:paraId="2095E66A" w14:textId="5AF2D37F" w:rsidR="000F7094" w:rsidRPr="00A70DEA"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8</w:t>
            </w:r>
          </w:p>
        </w:tc>
        <w:tc>
          <w:tcPr>
            <w:tcW w:w="2160" w:type="dxa"/>
          </w:tcPr>
          <w:p w14:paraId="31B5390A" w14:textId="77777777" w:rsidR="000F7094" w:rsidRDefault="000F7094" w:rsidP="00BC71AD">
            <w:pPr>
              <w:spacing w:line="240" w:lineRule="auto"/>
              <w:rPr>
                <w:rFonts w:cs="Times New Roman"/>
                <w:szCs w:val="24"/>
              </w:rPr>
            </w:pPr>
            <w:r>
              <w:rPr>
                <w:rFonts w:cs="Times New Roman"/>
                <w:szCs w:val="24"/>
              </w:rPr>
              <w:t>Picrasidine G</w:t>
            </w:r>
          </w:p>
        </w:tc>
        <w:tc>
          <w:tcPr>
            <w:tcW w:w="1880" w:type="dxa"/>
          </w:tcPr>
          <w:p w14:paraId="105A07E2" w14:textId="77777777" w:rsidR="000F7094" w:rsidRDefault="000F7094" w:rsidP="00BC71AD">
            <w:pPr>
              <w:spacing w:line="240" w:lineRule="auto"/>
              <w:rPr>
                <w:rFonts w:cs="Times New Roman"/>
                <w:szCs w:val="24"/>
              </w:rPr>
            </w:pPr>
            <w:r>
              <w:rPr>
                <w:rFonts w:cs="Times New Roman"/>
                <w:szCs w:val="24"/>
              </w:rPr>
              <w:t>Stem or bark</w:t>
            </w:r>
          </w:p>
        </w:tc>
        <w:tc>
          <w:tcPr>
            <w:tcW w:w="3515" w:type="dxa"/>
          </w:tcPr>
          <w:p w14:paraId="68ED1502" w14:textId="0FE52911" w:rsidR="000F7094" w:rsidRDefault="000F7094" w:rsidP="00BC71AD">
            <w:pPr>
              <w:spacing w:line="240" w:lineRule="auto"/>
              <w:rPr>
                <w:rFonts w:cs="Times New Roman"/>
                <w:szCs w:val="24"/>
              </w:rPr>
            </w:pPr>
            <w:r>
              <w:rPr>
                <w:rFonts w:cs="Times New Roman"/>
                <w:szCs w:val="24"/>
              </w:rPr>
              <w:t>Antibacterial</w:t>
            </w:r>
            <w:r>
              <w:rPr>
                <w:rFonts w:cs="Times New Roman"/>
                <w:szCs w:val="24"/>
              </w:rPr>
              <w:fldChar w:fldCharType="begin"/>
            </w:r>
            <w:r w:rsidR="00B26382">
              <w:rPr>
                <w:rFonts w:cs="Times New Roman"/>
                <w:szCs w:val="24"/>
              </w:rPr>
              <w:instrText xml:space="preserve"> ADDIN ZOTERO_ITEM CSL_CITATION {"citationID":"WBmmKITG","properties":{"formattedCitation":"\\super 92\\nosupersub{}","plainCitation":"92","noteIndex":0},"citationItems":[{"id":275,"uris":["http://zotero.org/users/6503767/items/TVZLWL4D"],"itemData":{"id":275,"type":"article-journal","container-title":"Chinese Traditional and Herbal Drugs","DOI":"10.7501/j.issn.0253-2670.2015.06.004","issue":"6","page":"803-807","title":"Three bis-β-carboline alkaloids from Picrasma quassioides and their bioactivities","volume":"46","author":[{"family":"Guo-hua","given":"Shi"},{"family":"Wei-hua","given":"Jiao"},{"family":"Fan","given":"Yang"},{"family":"Hou-wen","given":"Lin"}],"issued":{"date-parts":[["2015"]]}}}],"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92</w:t>
            </w:r>
            <w:r>
              <w:rPr>
                <w:rFonts w:cs="Times New Roman"/>
                <w:szCs w:val="24"/>
              </w:rPr>
              <w:fldChar w:fldCharType="end"/>
            </w:r>
            <w:r>
              <w:rPr>
                <w:rFonts w:cs="Times New Roman"/>
                <w:szCs w:val="24"/>
              </w:rPr>
              <w:t>, Cytotoxic</w:t>
            </w:r>
            <w:r>
              <w:rPr>
                <w:rFonts w:cs="Times New Roman"/>
                <w:szCs w:val="24"/>
              </w:rPr>
              <w:fldChar w:fldCharType="begin"/>
            </w:r>
            <w:r w:rsidR="00B26382">
              <w:rPr>
                <w:rFonts w:cs="Times New Roman"/>
                <w:szCs w:val="24"/>
              </w:rPr>
              <w:instrText xml:space="preserve"> ADDIN ZOTERO_ITEM CSL_CITATION {"citationID":"ZUpxVePn","properties":{"formattedCitation":"\\super 98\\nosupersub{}","plainCitation":"98","noteIndex":0},"citationItems":[{"id":244,"uris":["http://zotero.org/users/6503767/items/ID7U4A4L"],"itemData":{"id":244,"type":"article-journal","abstract":"Targeted therapy is unavailable for treating patients with triple-negative breast cancer (TNBC), which accounts for approximately 15% of all breast cancers. Overexpression of epidermal growth factor receptor (EGFR) is observed in approximately 30–60% of TNBCs. Therefore, developing novel strategies for inhibiting EGFR signaling is required. In the present study, a natural compound library was screened to identify molecules that target TNBCs that overexpress EGFR. Picrasidine G (PG), a naturally occurring dimeric alkaloid produced by Picrasma quassioides, decreased the viability of the MDA-MB 468 cell line (TNBCEGFR+) compared with other breast cancer cell lines. PG treatment increased markers of apoptosis, including chromatin condensation, sub-G1 population, cleavage of caspase 3 and cleavage of poly (ADPribose) polymerase (PARP). PG inhibited the phosphorylation of signal transducer and activator of transcription 3 (STAT3) and inhibited transcription of the STAT3-target gene encoding survivin. Further, PG inhibited EGF-induced STAT3 phosphorylation but not interleukin-6 (IL-6)-induced STAT3 phosphorylation. These results suggest that PG may contribute to the development of targeted therapy of patients with EGFR-overexpressing TNBC.","container-title":"Bioorganic &amp; Medicinal Chemistry Letters","DOI":"10.1016/j.bmcl.2017.03.061","ISSN":"0960894X","issue":"11","journalAbbreviation":"Bioorganic &amp; Medicinal Chemistry Letters","language":"en","page":"2608-2612","source":"DOI.org (Crossref)","title":"Picrasidine G decreases viability of MDA-MB 468 EGFR-overexpressing triple-negative breast cancer cells through inhibition of EGFR/STAT3 signaling pathway","volume":"27","author":[{"family":"Yamashita","given":"Naoya"},{"family":"Kondo","given":"Manami"},{"family":"Zhao","given":"Shuai"},{"family":"Li","given":"Wei"},{"family":"Koike","given":"Kazuo"},{"family":"Nemoto","given":"Kiyomitsu"},{"family":"Kanno","given":"Yuichiro"}],"issued":{"date-parts":[["2017",6]]}}}],"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98</w:t>
            </w:r>
            <w:r>
              <w:rPr>
                <w:rFonts w:cs="Times New Roman"/>
                <w:szCs w:val="24"/>
              </w:rPr>
              <w:fldChar w:fldCharType="end"/>
            </w:r>
          </w:p>
        </w:tc>
      </w:tr>
      <w:tr w:rsidR="000F7094" w14:paraId="3A2DACFD" w14:textId="77777777" w:rsidTr="00BC71AD">
        <w:tc>
          <w:tcPr>
            <w:tcW w:w="1795" w:type="dxa"/>
          </w:tcPr>
          <w:p w14:paraId="7ABD7A1E" w14:textId="08035498" w:rsidR="000F7094" w:rsidRPr="00A70DEA"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9</w:t>
            </w:r>
          </w:p>
        </w:tc>
        <w:tc>
          <w:tcPr>
            <w:tcW w:w="2160" w:type="dxa"/>
          </w:tcPr>
          <w:p w14:paraId="5202C603" w14:textId="77777777" w:rsidR="000F7094" w:rsidRDefault="000F7094" w:rsidP="00BC71AD">
            <w:pPr>
              <w:spacing w:line="240" w:lineRule="auto"/>
              <w:rPr>
                <w:rFonts w:cs="Times New Roman"/>
                <w:szCs w:val="24"/>
              </w:rPr>
            </w:pPr>
            <w:r>
              <w:rPr>
                <w:rFonts w:cs="Times New Roman"/>
                <w:szCs w:val="24"/>
              </w:rPr>
              <w:t>Picrasidine S</w:t>
            </w:r>
          </w:p>
        </w:tc>
        <w:tc>
          <w:tcPr>
            <w:tcW w:w="1880" w:type="dxa"/>
          </w:tcPr>
          <w:p w14:paraId="4F733755" w14:textId="77777777" w:rsidR="000F7094" w:rsidRDefault="000F7094" w:rsidP="00BC71AD">
            <w:pPr>
              <w:spacing w:line="240" w:lineRule="auto"/>
              <w:rPr>
                <w:rFonts w:cs="Times New Roman"/>
                <w:szCs w:val="24"/>
              </w:rPr>
            </w:pPr>
            <w:r>
              <w:rPr>
                <w:rFonts w:cs="Times New Roman"/>
                <w:szCs w:val="24"/>
              </w:rPr>
              <w:t>Stem or bark</w:t>
            </w:r>
          </w:p>
        </w:tc>
        <w:tc>
          <w:tcPr>
            <w:tcW w:w="3515" w:type="dxa"/>
          </w:tcPr>
          <w:p w14:paraId="121E9458" w14:textId="13E7C29A" w:rsidR="000F7094" w:rsidRDefault="000F7094" w:rsidP="00BC71AD">
            <w:pPr>
              <w:spacing w:line="240" w:lineRule="auto"/>
              <w:rPr>
                <w:rFonts w:cs="Times New Roman"/>
                <w:szCs w:val="24"/>
              </w:rPr>
            </w:pPr>
            <w:r>
              <w:rPr>
                <w:rFonts w:cs="Times New Roman"/>
                <w:szCs w:val="24"/>
              </w:rPr>
              <w:t>Antibacterial</w:t>
            </w:r>
            <w:r>
              <w:rPr>
                <w:rFonts w:cs="Times New Roman"/>
                <w:szCs w:val="24"/>
              </w:rPr>
              <w:fldChar w:fldCharType="begin"/>
            </w:r>
            <w:r w:rsidR="00B26382">
              <w:rPr>
                <w:rFonts w:cs="Times New Roman"/>
                <w:szCs w:val="24"/>
              </w:rPr>
              <w:instrText xml:space="preserve"> ADDIN ZOTERO_ITEM CSL_CITATION {"citationID":"Cy49DXkk","properties":{"formattedCitation":"\\super 92\\nosupersub{}","plainCitation":"92","noteIndex":0},"citationItems":[{"id":275,"uris":["http://zotero.org/users/6503767/items/TVZLWL4D"],"itemData":{"id":275,"type":"article-journal","container-title":"Chinese Traditional and Herbal Drugs","DOI":"10.7501/j.issn.0253-2670.2015.06.004","issue":"6","page":"803-807","title":"Three bis-β-carboline alkaloids from Picrasma quassioides and their bioactivities","volume":"46","author":[{"family":"Guo-hua","given":"Shi"},{"family":"Wei-hua","given":"Jiao"},{"family":"Fan","given":"Yang"},{"family":"Hou-wen","given":"Lin"}],"issued":{"date-parts":[["2015"]]}}}],"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92</w:t>
            </w:r>
            <w:r>
              <w:rPr>
                <w:rFonts w:cs="Times New Roman"/>
                <w:szCs w:val="24"/>
              </w:rPr>
              <w:fldChar w:fldCharType="end"/>
            </w:r>
            <w:r>
              <w:rPr>
                <w:rFonts w:cs="Times New Roman"/>
                <w:szCs w:val="24"/>
              </w:rPr>
              <w:t xml:space="preserve"> </w:t>
            </w:r>
          </w:p>
        </w:tc>
      </w:tr>
      <w:tr w:rsidR="000F7094" w14:paraId="6FA308B1" w14:textId="77777777" w:rsidTr="00BC71AD">
        <w:tc>
          <w:tcPr>
            <w:tcW w:w="1795" w:type="dxa"/>
          </w:tcPr>
          <w:p w14:paraId="05524885" w14:textId="1E961CFE" w:rsidR="000F7094"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10</w:t>
            </w:r>
          </w:p>
        </w:tc>
        <w:tc>
          <w:tcPr>
            <w:tcW w:w="2160" w:type="dxa"/>
          </w:tcPr>
          <w:p w14:paraId="40B4CB4A" w14:textId="77777777" w:rsidR="000F7094" w:rsidRDefault="000F7094" w:rsidP="00BC71AD">
            <w:pPr>
              <w:spacing w:line="240" w:lineRule="auto"/>
              <w:rPr>
                <w:rFonts w:cs="Times New Roman"/>
                <w:szCs w:val="24"/>
              </w:rPr>
            </w:pPr>
            <w:r>
              <w:rPr>
                <w:rFonts w:cs="Times New Roman"/>
                <w:szCs w:val="24"/>
              </w:rPr>
              <w:t>Picrasidine T</w:t>
            </w:r>
          </w:p>
        </w:tc>
        <w:tc>
          <w:tcPr>
            <w:tcW w:w="1880" w:type="dxa"/>
          </w:tcPr>
          <w:p w14:paraId="72E7BFD4" w14:textId="77777777" w:rsidR="000F7094" w:rsidRDefault="000F7094" w:rsidP="00BC71AD">
            <w:pPr>
              <w:spacing w:line="240" w:lineRule="auto"/>
              <w:rPr>
                <w:rFonts w:cs="Times New Roman"/>
                <w:szCs w:val="24"/>
              </w:rPr>
            </w:pPr>
            <w:r>
              <w:rPr>
                <w:rFonts w:cs="Times New Roman"/>
                <w:szCs w:val="24"/>
              </w:rPr>
              <w:t>Bark</w:t>
            </w:r>
          </w:p>
        </w:tc>
        <w:tc>
          <w:tcPr>
            <w:tcW w:w="3515" w:type="dxa"/>
          </w:tcPr>
          <w:p w14:paraId="3FB72213" w14:textId="1CC38ED7" w:rsidR="000F7094" w:rsidRDefault="000F7094" w:rsidP="00BC71AD">
            <w:pPr>
              <w:spacing w:line="240" w:lineRule="auto"/>
              <w:rPr>
                <w:rFonts w:cs="Times New Roman"/>
                <w:szCs w:val="24"/>
              </w:rPr>
            </w:pPr>
            <w:r>
              <w:rPr>
                <w:rFonts w:cs="Times New Roman"/>
                <w:szCs w:val="24"/>
              </w:rPr>
              <w:t>Synthetically relevant</w:t>
            </w:r>
            <w:r>
              <w:rPr>
                <w:rFonts w:cs="Times New Roman"/>
                <w:szCs w:val="24"/>
              </w:rPr>
              <w:fldChar w:fldCharType="begin"/>
            </w:r>
            <w:r w:rsidR="00B26382">
              <w:rPr>
                <w:rFonts w:cs="Times New Roman"/>
                <w:szCs w:val="24"/>
              </w:rPr>
              <w:instrText xml:space="preserve"> ADDIN ZOTERO_ITEM CSL_CITATION {"citationID":"ri0MXMGB","properties":{"formattedCitation":"\\super 99\\nosupersub{}","plainCitation":"99","noteIndex":0},"citationItems":[{"id":238,"uris":["http://zotero.org/users/6503767/items/537K9GS5"],"itemData":{"id":238,"type":"article-journal","container-title":"Phytochemistry","language":"en","page":"3375-3377","source":"Zotero","title":"Picrasidine-T, a dimeric β-carboline alkaloid from Picrasma quassioides","volume":"26","author":[{"family":"Higuchi","given":"Takeshi"},{"family":"Ohmoto","given":"Taichi"},{"family":"Koike","given":"Kazuo"}],"issued":{"date-parts":[["1987"]]}}}],"schema":"https://github.com/citation-style-language/schema/raw/master/csl-citation.json"}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99</w:t>
            </w:r>
            <w:r>
              <w:rPr>
                <w:rFonts w:cs="Times New Roman"/>
                <w:szCs w:val="24"/>
              </w:rPr>
              <w:fldChar w:fldCharType="end"/>
            </w:r>
          </w:p>
        </w:tc>
      </w:tr>
      <w:tr w:rsidR="000F7094" w14:paraId="163C2BF5" w14:textId="77777777" w:rsidTr="00BC71AD">
        <w:tc>
          <w:tcPr>
            <w:tcW w:w="1795" w:type="dxa"/>
          </w:tcPr>
          <w:p w14:paraId="5C916DAD" w14:textId="50F48A2C" w:rsidR="000F7094" w:rsidRPr="00A70DEA"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11</w:t>
            </w:r>
          </w:p>
        </w:tc>
        <w:tc>
          <w:tcPr>
            <w:tcW w:w="2160" w:type="dxa"/>
          </w:tcPr>
          <w:p w14:paraId="52297DF5" w14:textId="77777777" w:rsidR="000F7094" w:rsidRDefault="000F7094" w:rsidP="00BC71AD">
            <w:pPr>
              <w:spacing w:line="240" w:lineRule="auto"/>
              <w:rPr>
                <w:rFonts w:cs="Times New Roman"/>
                <w:szCs w:val="24"/>
              </w:rPr>
            </w:pPr>
            <w:r>
              <w:rPr>
                <w:rFonts w:cs="Times New Roman"/>
                <w:szCs w:val="24"/>
              </w:rPr>
              <w:t>Quassidine I</w:t>
            </w:r>
          </w:p>
        </w:tc>
        <w:tc>
          <w:tcPr>
            <w:tcW w:w="1880" w:type="dxa"/>
          </w:tcPr>
          <w:p w14:paraId="1CD2005D" w14:textId="77777777" w:rsidR="000F7094" w:rsidRDefault="000F7094" w:rsidP="00BC71AD">
            <w:pPr>
              <w:spacing w:line="240" w:lineRule="auto"/>
              <w:rPr>
                <w:rFonts w:cs="Times New Roman"/>
                <w:szCs w:val="24"/>
              </w:rPr>
            </w:pPr>
            <w:r>
              <w:rPr>
                <w:rFonts w:cs="Times New Roman"/>
                <w:szCs w:val="24"/>
              </w:rPr>
              <w:t>Stem</w:t>
            </w:r>
          </w:p>
        </w:tc>
        <w:tc>
          <w:tcPr>
            <w:tcW w:w="3515" w:type="dxa"/>
          </w:tcPr>
          <w:p w14:paraId="3F64B9E4" w14:textId="5B52A67D" w:rsidR="000F7094" w:rsidRDefault="000F7094" w:rsidP="00BC71AD">
            <w:pPr>
              <w:spacing w:line="240" w:lineRule="auto"/>
              <w:rPr>
                <w:rFonts w:cs="Times New Roman"/>
                <w:szCs w:val="24"/>
              </w:rPr>
            </w:pPr>
            <w:r>
              <w:rPr>
                <w:rFonts w:cs="Times New Roman"/>
                <w:szCs w:val="24"/>
              </w:rPr>
              <w:t>Cytotoxic</w:t>
            </w:r>
            <w:r>
              <w:rPr>
                <w:rFonts w:cs="Times New Roman"/>
                <w:szCs w:val="24"/>
              </w:rPr>
              <w:fldChar w:fldCharType="begin"/>
            </w:r>
            <w:r w:rsidR="00B26382">
              <w:rPr>
                <w:rFonts w:cs="Times New Roman"/>
                <w:szCs w:val="24"/>
              </w:rPr>
              <w:instrText xml:space="preserve"> ADDIN ZOTERO_ITEM CSL_CITATION {"citationID":"ded4GfdG","properties":{"formattedCitation":"\\super 100\\nosupersub{}","plainCitation":"100","noteIndex":0},"citationItems":[{"id":241,"uris":["http://zotero.org/users/6503767/items/DEIXNLNC"],"itemData":{"id":241,"type":"article-journal","abstract":"Quassidines I (1) and J (2), two pairs of new bis-β-carboline alkaloid enantiomers, were isolated from the stems of Picrasma quassioides. Their structures were determined by the analysis of spectroscopic data, including HRESIMS and 2D NMR, and conﬁrmed by single-crystal X-ray diﬀraction analysis. The racemic mixtures of 1 and 2 were resolved into two pairs of enantiomers, (+)-S-1a and (−)-R-1b and (+)-S-2a and (−)-R-2b, by HPLC using a chiral Daicel IB-3 column, respectively, which represents the ﬁrst successful example to resolve bis-β-carboline racemic mixtures. The absolute conﬁgurations of the two pairs of enantiomers were determined by comparison between the calculated and experimental ECD spectra. The cytotoxicity evaluation revealed that (+)-S-1a and (+)-S-2a showed more potent cytotoxicity against human cervical HeLa and gastric MKN28 cancer cell lines with IC50 values of 4.03−6.30 μM than their enantiomers with IC50 values of 9.64−12.3 μM; however, the two (+)-S-quassidines showed similar activities to their enantiomers against the mouse melanoma B-16 cancer cell line.","container-title":"Journal of Natural Products","DOI":"10.1021/np500801s","ISSN":"0163-3864, 1520-6025","issue":"1","journalAbbreviation":"J. Nat. Prod.","language":"en","page":"125-130","source":"DOI.org (Crossref)","title":"(±)-Quassidines I and J, Two Pairs of Cytotoxic Bis-β-carboline Alkaloid Enantiomers from &lt;i&gt;Picrasma quassioides&lt;/i&gt;","volume":"78","author":[{"family":"Jiao","given":"Wei-Hua"},{"family":"Chen","given":"Guo-Dong"},{"family":"Gao","given":"Hao"},{"family":"Li","given":"Jing"},{"family":"Gu","given":"Bin-Bin"},{"family":"Xu","given":"Ting-Ting"},{"family":"Yu","given":"Hao-Bing"},{"family":"Shi","given":"Guo-Hua"},{"family":"Yang","given":"Fan"},{"family":"Yao","given":"Xin-Sheng"},{"family":"Lin","given":"Hou-Wen"}],"issued":{"date-parts":[["2015",1,23]]}}}],"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100</w:t>
            </w:r>
            <w:r>
              <w:rPr>
                <w:rFonts w:cs="Times New Roman"/>
                <w:szCs w:val="24"/>
              </w:rPr>
              <w:fldChar w:fldCharType="end"/>
            </w:r>
          </w:p>
        </w:tc>
      </w:tr>
      <w:tr w:rsidR="000F7094" w14:paraId="09971871" w14:textId="77777777" w:rsidTr="00BC71AD">
        <w:tc>
          <w:tcPr>
            <w:tcW w:w="1795" w:type="dxa"/>
          </w:tcPr>
          <w:p w14:paraId="1D6F1E76" w14:textId="76305065" w:rsidR="000F7094" w:rsidRPr="00A70DEA"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12</w:t>
            </w:r>
          </w:p>
        </w:tc>
        <w:tc>
          <w:tcPr>
            <w:tcW w:w="2160" w:type="dxa"/>
          </w:tcPr>
          <w:p w14:paraId="4AF06125" w14:textId="77777777" w:rsidR="000F7094" w:rsidRDefault="000F7094" w:rsidP="00BC71AD">
            <w:pPr>
              <w:spacing w:line="240" w:lineRule="auto"/>
              <w:rPr>
                <w:rFonts w:cs="Times New Roman"/>
                <w:szCs w:val="24"/>
              </w:rPr>
            </w:pPr>
            <w:r>
              <w:rPr>
                <w:rFonts w:cs="Times New Roman"/>
                <w:szCs w:val="24"/>
              </w:rPr>
              <w:t>Quassidine J</w:t>
            </w:r>
          </w:p>
        </w:tc>
        <w:tc>
          <w:tcPr>
            <w:tcW w:w="1880" w:type="dxa"/>
          </w:tcPr>
          <w:p w14:paraId="02CB9ED6" w14:textId="77777777" w:rsidR="000F7094" w:rsidRDefault="000F7094" w:rsidP="00BC71AD">
            <w:pPr>
              <w:spacing w:line="240" w:lineRule="auto"/>
              <w:rPr>
                <w:rFonts w:cs="Times New Roman"/>
                <w:szCs w:val="24"/>
              </w:rPr>
            </w:pPr>
            <w:r>
              <w:rPr>
                <w:rFonts w:cs="Times New Roman"/>
                <w:szCs w:val="24"/>
              </w:rPr>
              <w:t>Stem</w:t>
            </w:r>
          </w:p>
        </w:tc>
        <w:tc>
          <w:tcPr>
            <w:tcW w:w="3515" w:type="dxa"/>
          </w:tcPr>
          <w:p w14:paraId="58993BC7" w14:textId="6961F091" w:rsidR="000F7094" w:rsidRDefault="000F7094" w:rsidP="00BC71AD">
            <w:pPr>
              <w:spacing w:line="240" w:lineRule="auto"/>
              <w:rPr>
                <w:rFonts w:cs="Times New Roman"/>
                <w:szCs w:val="24"/>
              </w:rPr>
            </w:pPr>
            <w:r>
              <w:rPr>
                <w:rFonts w:cs="Times New Roman"/>
                <w:szCs w:val="24"/>
              </w:rPr>
              <w:t>Cytotoxic</w:t>
            </w:r>
            <w:r>
              <w:rPr>
                <w:rFonts w:cs="Times New Roman"/>
                <w:szCs w:val="24"/>
              </w:rPr>
              <w:fldChar w:fldCharType="begin"/>
            </w:r>
            <w:r w:rsidR="00B26382">
              <w:rPr>
                <w:rFonts w:cs="Times New Roman"/>
                <w:szCs w:val="24"/>
              </w:rPr>
              <w:instrText xml:space="preserve"> ADDIN ZOTERO_ITEM CSL_CITATION {"citationID":"pAG5I2rk","properties":{"formattedCitation":"\\super 100\\nosupersub{}","plainCitation":"100","noteIndex":0},"citationItems":[{"id":241,"uris":["http://zotero.org/users/6503767/items/DEIXNLNC"],"itemData":{"id":241,"type":"article-journal","abstract":"Quassidines I (1) and J (2), two pairs of new bis-β-carboline alkaloid enantiomers, were isolated from the stems of Picrasma quassioides. Their structures were determined by the analysis of spectroscopic data, including HRESIMS and 2D NMR, and conﬁrmed by single-crystal X-ray diﬀraction analysis. The racemic mixtures of 1 and 2 were resolved into two pairs of enantiomers, (+)-S-1a and (−)-R-1b and (+)-S-2a and (−)-R-2b, by HPLC using a chiral Daicel IB-3 column, respectively, which represents the ﬁrst successful example to resolve bis-β-carboline racemic mixtures. The absolute conﬁgurations of the two pairs of enantiomers were determined by comparison between the calculated and experimental ECD spectra. The cytotoxicity evaluation revealed that (+)-S-1a and (+)-S-2a showed more potent cytotoxicity against human cervical HeLa and gastric MKN28 cancer cell lines with IC50 values of 4.03−6.30 μM than their enantiomers with IC50 values of 9.64−12.3 μM; however, the two (+)-S-quassidines showed similar activities to their enantiomers against the mouse melanoma B-16 cancer cell line.","container-title":"Journal of Natural Products","DOI":"10.1021/np500801s","ISSN":"0163-3864, 1520-6025","issue":"1","journalAbbreviation":"J. Nat. Prod.","language":"en","page":"125-130","source":"DOI.org (Crossref)","title":"(±)-Quassidines I and J, Two Pairs of Cytotoxic Bis-β-carboline Alkaloid Enantiomers from &lt;i&gt;Picrasma quassioides&lt;/i&gt;","volume":"78","author":[{"family":"Jiao","given":"Wei-Hua"},{"family":"Chen","given":"Guo-Dong"},{"family":"Gao","given":"Hao"},{"family":"Li","given":"Jing"},{"family":"Gu","given":"Bin-Bin"},{"family":"Xu","given":"Ting-Ting"},{"family":"Yu","given":"Hao-Bing"},{"family":"Shi","given":"Guo-Hua"},{"family":"Yang","given":"Fan"},{"family":"Yao","given":"Xin-Sheng"},{"family":"Lin","given":"Hou-Wen"}],"issued":{"date-parts":[["2015",1,23]]}}}],"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100</w:t>
            </w:r>
            <w:r>
              <w:rPr>
                <w:rFonts w:cs="Times New Roman"/>
                <w:szCs w:val="24"/>
              </w:rPr>
              <w:fldChar w:fldCharType="end"/>
            </w:r>
          </w:p>
        </w:tc>
      </w:tr>
      <w:tr w:rsidR="000F7094" w14:paraId="0DC9E922" w14:textId="77777777" w:rsidTr="00BC71AD">
        <w:tc>
          <w:tcPr>
            <w:tcW w:w="1795" w:type="dxa"/>
          </w:tcPr>
          <w:p w14:paraId="049154B0" w14:textId="2BEDCAEC" w:rsidR="000F7094" w:rsidRPr="00A70DEA"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13</w:t>
            </w:r>
          </w:p>
        </w:tc>
        <w:tc>
          <w:tcPr>
            <w:tcW w:w="2160" w:type="dxa"/>
          </w:tcPr>
          <w:p w14:paraId="566A88CD" w14:textId="77777777" w:rsidR="000F7094" w:rsidRDefault="000F7094" w:rsidP="00BC71AD">
            <w:pPr>
              <w:spacing w:line="240" w:lineRule="auto"/>
              <w:rPr>
                <w:rFonts w:cs="Times New Roman"/>
                <w:szCs w:val="24"/>
              </w:rPr>
            </w:pPr>
            <w:r>
              <w:rPr>
                <w:rFonts w:cs="Times New Roman"/>
                <w:szCs w:val="24"/>
              </w:rPr>
              <w:t>NMCA 1</w:t>
            </w:r>
          </w:p>
        </w:tc>
        <w:tc>
          <w:tcPr>
            <w:tcW w:w="1880" w:type="dxa"/>
          </w:tcPr>
          <w:p w14:paraId="500F0866" w14:textId="77777777" w:rsidR="000F7094" w:rsidRDefault="000F7094" w:rsidP="00BC71AD">
            <w:pPr>
              <w:spacing w:line="240" w:lineRule="auto"/>
              <w:rPr>
                <w:rFonts w:cs="Times New Roman"/>
                <w:szCs w:val="24"/>
              </w:rPr>
            </w:pPr>
            <w:r>
              <w:rPr>
                <w:rFonts w:cs="Times New Roman"/>
                <w:szCs w:val="24"/>
              </w:rPr>
              <w:t>Stem</w:t>
            </w:r>
          </w:p>
        </w:tc>
        <w:tc>
          <w:tcPr>
            <w:tcW w:w="3515" w:type="dxa"/>
          </w:tcPr>
          <w:p w14:paraId="6BC2086B" w14:textId="4E128A23" w:rsidR="000F7094" w:rsidRDefault="000F7094" w:rsidP="00BC71AD">
            <w:pPr>
              <w:spacing w:line="240" w:lineRule="auto"/>
              <w:rPr>
                <w:rFonts w:cs="Times New Roman"/>
                <w:szCs w:val="24"/>
              </w:rPr>
            </w:pPr>
            <w:r>
              <w:rPr>
                <w:rFonts w:cs="Times New Roman"/>
                <w:szCs w:val="24"/>
              </w:rPr>
              <w:t>Neuroprotection</w:t>
            </w:r>
            <w:r>
              <w:rPr>
                <w:rFonts w:cs="Times New Roman"/>
                <w:szCs w:val="24"/>
              </w:rPr>
              <w:fldChar w:fldCharType="begin"/>
            </w:r>
            <w:r w:rsidR="00B26382">
              <w:rPr>
                <w:rFonts w:cs="Times New Roman"/>
                <w:szCs w:val="24"/>
              </w:rPr>
              <w:instrText xml:space="preserve"> ADDIN ZOTERO_ITEM CSL_CITATION {"citationID":"nDVKDvqp","properties":{"formattedCitation":"\\super 101\\nosupersub{}","plainCitation":"101","noteIndex":0},"citationItems":[{"id":243,"uris":["http://zotero.org/users/6503767/items/29Z3CQBV"],"itemData":{"id":243,"type":"article-journal","abstract":"Nine new N-methoxy-β-carboline alkaloids (NMCAs) (1a/1b–3a/3b and 4–6) and two known NMCAs (7 and 8) were isolated from the stems of Picrasma quassioides. Their structures were elucidated by spectroscopic data analyses, quantum chemical calculations, and single-crystal X-ray crystallographic data. An analysis of the 13C NMR chemical shifts of the N-methoxy groups in these NMCAs and 41 gathered known compounds reveals the phenomenon that the chemical shifts of all these N-methoxy groups are greater than δC 62, which can be used to recognize the N-methoxy group rapidly. In addition, the acetylcholinesterase (AChE) and Aβ42 aggregation inhibitory activities of 1–8 were evaluated. Compounds 1, 2, 7, and 8 displayed AChE inhibitory activity with IC50 values of 14.9, 13.2, 17.6, and 43.9 μM, respectively. Compound 2 showed inhibition activity against Aβ42 aggregation with an IC50 value of 10.1 μM.","container-title":"Bioorganic Chemistry","DOI":"10.1016/j.bioorg.2020.104043","ISSN":"00452068","journalAbbreviation":"Bioorganic Chemistry","language":"en","page":"104043","source":"DOI.org (Crossref)","title":"N-methoxy-β-carboline alkaloids with inhibitory activities against Aβ42 aggregation and acetylcholinesterase from the stems of Picrasma quassioides","volume":"101","author":[{"family":"Zhang","given":"Jie"},{"family":"Zhao","given":"Sen-Sen"},{"family":"Xie","given":"Jun"},{"family":"Yang","given":"Jian"},{"family":"Chen","given":"Guo-Dong"},{"family":"Hu","given":"Dan"},{"family":"Zhang","given":"Wei-Guang"},{"family":"Wang","given":"Chuan-Xi"},{"family":"Yao","given":"Xin-Sheng"},{"family":"Gao","given":"Hao"}],"issued":{"date-parts":[["2020",8]]}}}],"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101</w:t>
            </w:r>
            <w:r>
              <w:rPr>
                <w:rFonts w:cs="Times New Roman"/>
                <w:szCs w:val="24"/>
              </w:rPr>
              <w:fldChar w:fldCharType="end"/>
            </w:r>
          </w:p>
        </w:tc>
      </w:tr>
      <w:tr w:rsidR="000F7094" w14:paraId="288D3AE2" w14:textId="77777777" w:rsidTr="00BC71AD">
        <w:tc>
          <w:tcPr>
            <w:tcW w:w="1795" w:type="dxa"/>
          </w:tcPr>
          <w:p w14:paraId="1601855C" w14:textId="7F8DCE2D" w:rsidR="000F7094" w:rsidRPr="00A70DEA"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14</w:t>
            </w:r>
          </w:p>
        </w:tc>
        <w:tc>
          <w:tcPr>
            <w:tcW w:w="2160" w:type="dxa"/>
          </w:tcPr>
          <w:p w14:paraId="5365E340" w14:textId="77777777" w:rsidR="000F7094" w:rsidRDefault="000F7094" w:rsidP="00BC71AD">
            <w:pPr>
              <w:spacing w:line="240" w:lineRule="auto"/>
              <w:rPr>
                <w:rFonts w:cs="Times New Roman"/>
                <w:szCs w:val="24"/>
              </w:rPr>
            </w:pPr>
            <w:r>
              <w:rPr>
                <w:rFonts w:cs="Times New Roman"/>
                <w:szCs w:val="24"/>
              </w:rPr>
              <w:t>NMCA 2</w:t>
            </w:r>
          </w:p>
        </w:tc>
        <w:tc>
          <w:tcPr>
            <w:tcW w:w="1880" w:type="dxa"/>
          </w:tcPr>
          <w:p w14:paraId="06CBFD5F" w14:textId="77777777" w:rsidR="000F7094" w:rsidRDefault="000F7094" w:rsidP="00BC71AD">
            <w:pPr>
              <w:spacing w:line="240" w:lineRule="auto"/>
              <w:rPr>
                <w:rFonts w:cs="Times New Roman"/>
                <w:szCs w:val="24"/>
              </w:rPr>
            </w:pPr>
            <w:r>
              <w:rPr>
                <w:rFonts w:cs="Times New Roman"/>
                <w:szCs w:val="24"/>
              </w:rPr>
              <w:t>Stem</w:t>
            </w:r>
          </w:p>
        </w:tc>
        <w:tc>
          <w:tcPr>
            <w:tcW w:w="3515" w:type="dxa"/>
          </w:tcPr>
          <w:p w14:paraId="5AC3E74C" w14:textId="674FC2A2" w:rsidR="000F7094" w:rsidRDefault="000F7094" w:rsidP="00BC71AD">
            <w:pPr>
              <w:spacing w:line="240" w:lineRule="auto"/>
              <w:rPr>
                <w:rFonts w:cs="Times New Roman"/>
                <w:szCs w:val="24"/>
              </w:rPr>
            </w:pPr>
            <w:r>
              <w:rPr>
                <w:rFonts w:cs="Times New Roman"/>
                <w:szCs w:val="24"/>
              </w:rPr>
              <w:t>Neuroprotection</w:t>
            </w:r>
            <w:r>
              <w:rPr>
                <w:rFonts w:cs="Times New Roman"/>
                <w:szCs w:val="24"/>
              </w:rPr>
              <w:fldChar w:fldCharType="begin"/>
            </w:r>
            <w:r w:rsidR="00B26382">
              <w:rPr>
                <w:rFonts w:cs="Times New Roman"/>
                <w:szCs w:val="24"/>
              </w:rPr>
              <w:instrText xml:space="preserve"> ADDIN ZOTERO_ITEM CSL_CITATION {"citationID":"reUBYvwM","properties":{"formattedCitation":"\\super 101\\nosupersub{}","plainCitation":"101","noteIndex":0},"citationItems":[{"id":243,"uris":["http://zotero.org/users/6503767/items/29Z3CQBV"],"itemData":{"id":243,"type":"article-journal","abstract":"Nine new N-methoxy-β-carboline alkaloids (NMCAs) (1a/1b–3a/3b and 4–6) and two known NMCAs (7 and 8) were isolated from the stems of Picrasma quassioides. Their structures were elucidated by spectroscopic data analyses, quantum chemical calculations, and single-crystal X-ray crystallographic data. An analysis of the 13C NMR chemical shifts of the N-methoxy groups in these NMCAs and 41 gathered known compounds reveals the phenomenon that the chemical shifts of all these N-methoxy groups are greater than δC 62, which can be used to recognize the N-methoxy group rapidly. In addition, the acetylcholinesterase (AChE) and Aβ42 aggregation inhibitory activities of 1–8 were evaluated. Compounds 1, 2, 7, and 8 displayed AChE inhibitory activity with IC50 values of 14.9, 13.2, 17.6, and 43.9 μM, respectively. Compound 2 showed inhibition activity against Aβ42 aggregation with an IC50 value of 10.1 μM.","container-title":"Bioorganic Chemistry","DOI":"10.1016/j.bioorg.2020.104043","ISSN":"00452068","journalAbbreviation":"Bioorganic Chemistry","language":"en","page":"104043","source":"DOI.org (Crossref)","title":"N-methoxy-β-carboline alkaloids with inhibitory activities against Aβ42 aggregation and acetylcholinesterase from the stems of Picrasma quassioides","volume":"101","author":[{"family":"Zhang","given":"Jie"},{"family":"Zhao","given":"Sen-Sen"},{"family":"Xie","given":"Jun"},{"family":"Yang","given":"Jian"},{"family":"Chen","given":"Guo-Dong"},{"family":"Hu","given":"Dan"},{"family":"Zhang","given":"Wei-Guang"},{"family":"Wang","given":"Chuan-Xi"},{"family":"Yao","given":"Xin-Sheng"},{"family":"Gao","given":"Hao"}],"issued":{"date-parts":[["2020",8]]}}}],"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101</w:t>
            </w:r>
            <w:r>
              <w:rPr>
                <w:rFonts w:cs="Times New Roman"/>
                <w:szCs w:val="24"/>
              </w:rPr>
              <w:fldChar w:fldCharType="end"/>
            </w:r>
          </w:p>
        </w:tc>
      </w:tr>
      <w:tr w:rsidR="000F7094" w14:paraId="552D2674" w14:textId="77777777" w:rsidTr="00BC71AD">
        <w:tc>
          <w:tcPr>
            <w:tcW w:w="1795" w:type="dxa"/>
          </w:tcPr>
          <w:p w14:paraId="4D18B5A2" w14:textId="401A69CD" w:rsidR="000F7094" w:rsidRPr="00A70DEA" w:rsidRDefault="006D7CF1" w:rsidP="00BC71AD">
            <w:pPr>
              <w:spacing w:line="240" w:lineRule="auto"/>
              <w:jc w:val="center"/>
              <w:rPr>
                <w:rFonts w:cs="Times New Roman"/>
                <w:b/>
                <w:bCs/>
                <w:szCs w:val="24"/>
              </w:rPr>
            </w:pPr>
            <w:r w:rsidRPr="006D7CF1">
              <w:rPr>
                <w:rFonts w:cs="Times New Roman"/>
                <w:b/>
                <w:bCs/>
                <w:szCs w:val="24"/>
              </w:rPr>
              <w:t>3.</w:t>
            </w:r>
            <w:r w:rsidR="000F7094" w:rsidRPr="00A70DEA">
              <w:rPr>
                <w:rFonts w:cs="Times New Roman"/>
                <w:b/>
                <w:bCs/>
                <w:szCs w:val="24"/>
              </w:rPr>
              <w:t>1</w:t>
            </w:r>
            <w:r w:rsidR="000F7094">
              <w:rPr>
                <w:rFonts w:cs="Times New Roman"/>
                <w:b/>
                <w:bCs/>
                <w:szCs w:val="24"/>
              </w:rPr>
              <w:t>5</w:t>
            </w:r>
          </w:p>
        </w:tc>
        <w:tc>
          <w:tcPr>
            <w:tcW w:w="2160" w:type="dxa"/>
          </w:tcPr>
          <w:p w14:paraId="47FCF745" w14:textId="77777777" w:rsidR="000F7094" w:rsidRDefault="000F7094" w:rsidP="00BC71AD">
            <w:pPr>
              <w:spacing w:line="240" w:lineRule="auto"/>
              <w:rPr>
                <w:rFonts w:cs="Times New Roman"/>
                <w:szCs w:val="24"/>
              </w:rPr>
            </w:pPr>
            <w:r>
              <w:rPr>
                <w:rFonts w:cs="Times New Roman"/>
                <w:szCs w:val="24"/>
              </w:rPr>
              <w:t>Picrasidine M</w:t>
            </w:r>
          </w:p>
        </w:tc>
        <w:tc>
          <w:tcPr>
            <w:tcW w:w="1880" w:type="dxa"/>
          </w:tcPr>
          <w:p w14:paraId="4EA6EFBA" w14:textId="77777777" w:rsidR="000F7094" w:rsidRDefault="000F7094" w:rsidP="00BC71AD">
            <w:pPr>
              <w:spacing w:line="240" w:lineRule="auto"/>
              <w:jc w:val="left"/>
              <w:rPr>
                <w:rFonts w:cs="Times New Roman"/>
                <w:szCs w:val="24"/>
              </w:rPr>
            </w:pPr>
            <w:r>
              <w:rPr>
                <w:rFonts w:cs="Times New Roman"/>
                <w:szCs w:val="24"/>
              </w:rPr>
              <w:t>Root bark</w:t>
            </w:r>
          </w:p>
        </w:tc>
        <w:tc>
          <w:tcPr>
            <w:tcW w:w="3515" w:type="dxa"/>
          </w:tcPr>
          <w:p w14:paraId="75478E5B" w14:textId="42360BDC" w:rsidR="000F7094" w:rsidRDefault="000F7094" w:rsidP="00BC71AD">
            <w:pPr>
              <w:spacing w:line="240" w:lineRule="auto"/>
              <w:jc w:val="left"/>
              <w:rPr>
                <w:rFonts w:cs="Times New Roman"/>
                <w:szCs w:val="24"/>
              </w:rPr>
            </w:pPr>
            <w:r>
              <w:rPr>
                <w:rFonts w:cs="Times New Roman"/>
                <w:szCs w:val="24"/>
              </w:rPr>
              <w:t>Unknown</w:t>
            </w:r>
            <w:r>
              <w:rPr>
                <w:rFonts w:cs="Times New Roman"/>
                <w:szCs w:val="24"/>
              </w:rPr>
              <w:fldChar w:fldCharType="begin"/>
            </w:r>
            <w:r w:rsidR="00B26382">
              <w:rPr>
                <w:rFonts w:cs="Times New Roman"/>
                <w:szCs w:val="24"/>
              </w:rPr>
              <w:instrText xml:space="preserve"> ADDIN ZOTERO_ITEM CSL_CITATION {"citationID":"lGvEr9pJ","properties":{"formattedCitation":"\\super 102\\nosupersub{}","plainCitation":"102","noteIndex":0},"citationItems":[{"id":263,"uris":["http://zotero.org/users/6503767/items/3B2B5EJG"],"itemData":{"id":263,"type":"article-journal","container-title":"Chemical and Pharmaceutical Bulletin","DOI":"10.1248/cpb.33.3847","ISSN":"0009-2363, 1347-5223","issue":"9","journalAbbreviation":"Chem. Pharm. Bull.","language":"en","page":"3847-3851","source":"DOI.org (Crossref)","title":"Studies on the alkaloids from Picrasma quassioides BENNET. V. Structures of picrasidines L, M, and P.","volume":"33","author":[{"family":"Ohmoto","given":"Taichi"},{"family":"Koike","given":"Kazuo"}],"issued":{"date-parts":[["1985"]]}}}],"schema":"https://github.com/citation-style-language/schema/raw/master/csl-citation.json"}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102</w:t>
            </w:r>
            <w:r>
              <w:rPr>
                <w:rFonts w:cs="Times New Roman"/>
                <w:szCs w:val="24"/>
              </w:rPr>
              <w:fldChar w:fldCharType="end"/>
            </w:r>
          </w:p>
        </w:tc>
      </w:tr>
      <w:tr w:rsidR="000F7094" w14:paraId="608DA997" w14:textId="77777777" w:rsidTr="00BC71AD">
        <w:tc>
          <w:tcPr>
            <w:tcW w:w="1795" w:type="dxa"/>
          </w:tcPr>
          <w:p w14:paraId="40291179" w14:textId="141B2151" w:rsidR="000F7094" w:rsidRPr="00A70DEA"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16</w:t>
            </w:r>
          </w:p>
        </w:tc>
        <w:tc>
          <w:tcPr>
            <w:tcW w:w="2160" w:type="dxa"/>
          </w:tcPr>
          <w:p w14:paraId="029026ED" w14:textId="77777777" w:rsidR="000F7094" w:rsidRDefault="000F7094" w:rsidP="00BC71AD">
            <w:pPr>
              <w:spacing w:line="240" w:lineRule="auto"/>
              <w:rPr>
                <w:rFonts w:cs="Times New Roman"/>
                <w:szCs w:val="24"/>
              </w:rPr>
            </w:pPr>
            <w:r>
              <w:rPr>
                <w:rFonts w:cs="Times New Roman"/>
                <w:szCs w:val="24"/>
              </w:rPr>
              <w:t>Picrasidine N</w:t>
            </w:r>
          </w:p>
        </w:tc>
        <w:tc>
          <w:tcPr>
            <w:tcW w:w="1880" w:type="dxa"/>
          </w:tcPr>
          <w:p w14:paraId="6F320F03" w14:textId="77777777" w:rsidR="000F7094" w:rsidRDefault="000F7094" w:rsidP="00BC71AD">
            <w:pPr>
              <w:spacing w:line="240" w:lineRule="auto"/>
              <w:jc w:val="left"/>
              <w:rPr>
                <w:rFonts w:cs="Times New Roman"/>
                <w:szCs w:val="24"/>
              </w:rPr>
            </w:pPr>
            <w:r>
              <w:rPr>
                <w:rFonts w:cs="Times New Roman"/>
                <w:szCs w:val="24"/>
              </w:rPr>
              <w:t>Root bark</w:t>
            </w:r>
          </w:p>
        </w:tc>
        <w:tc>
          <w:tcPr>
            <w:tcW w:w="3515" w:type="dxa"/>
          </w:tcPr>
          <w:p w14:paraId="6E76D9C7" w14:textId="4A326320" w:rsidR="000F7094" w:rsidRDefault="000F7094" w:rsidP="00BC71AD">
            <w:pPr>
              <w:spacing w:line="240" w:lineRule="auto"/>
              <w:jc w:val="left"/>
              <w:rPr>
                <w:rFonts w:cs="Times New Roman"/>
                <w:szCs w:val="24"/>
              </w:rPr>
            </w:pPr>
            <w:r>
              <w:rPr>
                <w:rFonts w:cs="Times New Roman"/>
                <w:szCs w:val="24"/>
              </w:rPr>
              <w:t>Glucose and lipid homeostasis</w:t>
            </w:r>
            <w:r>
              <w:rPr>
                <w:rFonts w:cs="Times New Roman"/>
                <w:szCs w:val="24"/>
              </w:rPr>
              <w:fldChar w:fldCharType="begin"/>
            </w:r>
            <w:r w:rsidR="00B26382">
              <w:rPr>
                <w:rFonts w:cs="Times New Roman"/>
                <w:szCs w:val="24"/>
              </w:rPr>
              <w:instrText xml:space="preserve"> ADDIN ZOTERO_ITEM CSL_CITATION {"citationID":"bRDgZ8G5","properties":{"formattedCitation":"\\super 96\\nosupersub{}","plainCitation":"96","noteIndex":0},"citationItems":[{"id":271,"uris":["http://zotero.org/users/6503767/items/VKZJGAVR"],"itemData":{"id":271,"type":"article-journal","abstract":"Recently, growing evidence of the pivotal roles of peroxisome proliferator-activated receptor (PPAR) β/δ in various physiological functions, including lipid homeostasis, cancer, and inﬂammation, has raised interest in this receptor. In this study, the naturally occurring dimeric alkaloid picrasidine N (1) from Picrasma quassioides was identiﬁed as a novel PPARβ/δ agonist from a library consisting of plant extracts and natural compounds using a mammalian one-hybrid assay, and this compound was characterized. Compound 1 activated PPARβ/δ but did not activate or slightly activated PPARα and PPARγ. Furthermore, a peroxisome proliferator response element-driven luciferase reporter gene assay demonstrated that 1 enhanced PPARβ/δ transcriptional activity. Moreover, 1 selectively induced mRNA expression of ANGPTL4, which is a PPAR target gene. This observation is quite diﬀerent from previously identiﬁed synthetic PPARβ/δ agonists, which can induce the expression of not only ANGPTL4 but also other PPAR target genes, such as ADRP, PDK4, and CPT-1. These results demonstrate that 1 is a potent subtype-selective and gene-selective PPARβ/δ agonist, suggesting its potential as a lead compound for further drug development. This compound would also be a useful chemical tool for elucidating the mechanism of PPARβ/δ-regulated speciﬁc gene expression and the biological signiﬁcance of PPARβ/δ.","container-title":"Journal of Natural Products","DOI":"10.1021/acs.jnatprod.5b00909","ISSN":"0163-3864, 1520-6025","issue":"4","journalAbbreviation":"J. Nat. Prod.","language":"en","page":"879-885","source":"DOI.org (Crossref)","title":"Picrasidine N Is a Subtype-Selective PPARβ/δ Agonist","volume":"79","author":[{"family":"Zhao","given":"Shuai"},{"family":"Kanno","given":"Yuichiro"},{"family":"Li","given":"Wei"},{"family":"Wakatabi","given":"Honami"},{"family":"Sasaki","given":"Tatsunori"},{"family":"Koike","given":"Kazuo"},{"family":"Nemoto","given":"Kiyomitsu"},{"family":"Li","given":"Huicheng"}],"issued":{"date-parts":[["2016",4,22]]}}}],"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96</w:t>
            </w:r>
            <w:r>
              <w:rPr>
                <w:rFonts w:cs="Times New Roman"/>
                <w:szCs w:val="24"/>
              </w:rPr>
              <w:fldChar w:fldCharType="end"/>
            </w:r>
          </w:p>
        </w:tc>
      </w:tr>
      <w:tr w:rsidR="000F7094" w14:paraId="50A37254" w14:textId="77777777" w:rsidTr="00BC71AD">
        <w:tc>
          <w:tcPr>
            <w:tcW w:w="1795" w:type="dxa"/>
          </w:tcPr>
          <w:p w14:paraId="35B00143" w14:textId="51BA16D9" w:rsidR="000F7094" w:rsidRDefault="006D7CF1" w:rsidP="00BC71AD">
            <w:pPr>
              <w:spacing w:line="240" w:lineRule="auto"/>
              <w:jc w:val="center"/>
              <w:rPr>
                <w:rFonts w:cs="Times New Roman"/>
                <w:b/>
                <w:bCs/>
                <w:szCs w:val="24"/>
              </w:rPr>
            </w:pPr>
            <w:r w:rsidRPr="006D7CF1">
              <w:rPr>
                <w:rFonts w:cs="Times New Roman"/>
                <w:b/>
                <w:bCs/>
                <w:szCs w:val="24"/>
              </w:rPr>
              <w:t>3.</w:t>
            </w:r>
            <w:r w:rsidR="000F7094">
              <w:rPr>
                <w:rFonts w:cs="Times New Roman"/>
                <w:b/>
                <w:bCs/>
                <w:szCs w:val="24"/>
              </w:rPr>
              <w:t>17</w:t>
            </w:r>
          </w:p>
        </w:tc>
        <w:tc>
          <w:tcPr>
            <w:tcW w:w="2160" w:type="dxa"/>
          </w:tcPr>
          <w:p w14:paraId="3C2D4766" w14:textId="77777777" w:rsidR="000F7094" w:rsidRDefault="000F7094" w:rsidP="00BC71AD">
            <w:pPr>
              <w:spacing w:line="240" w:lineRule="auto"/>
              <w:rPr>
                <w:rFonts w:cs="Times New Roman"/>
                <w:szCs w:val="24"/>
              </w:rPr>
            </w:pPr>
            <w:r>
              <w:rPr>
                <w:rFonts w:cs="Times New Roman"/>
                <w:szCs w:val="24"/>
              </w:rPr>
              <w:t>Quassidine A</w:t>
            </w:r>
          </w:p>
        </w:tc>
        <w:tc>
          <w:tcPr>
            <w:tcW w:w="1880" w:type="dxa"/>
          </w:tcPr>
          <w:p w14:paraId="3018E8A6" w14:textId="77777777" w:rsidR="000F7094" w:rsidRDefault="000F7094" w:rsidP="00BC71AD">
            <w:pPr>
              <w:spacing w:line="240" w:lineRule="auto"/>
              <w:jc w:val="left"/>
              <w:rPr>
                <w:rFonts w:cs="Times New Roman"/>
                <w:szCs w:val="24"/>
              </w:rPr>
            </w:pPr>
            <w:r>
              <w:rPr>
                <w:rFonts w:cs="Times New Roman"/>
                <w:szCs w:val="24"/>
              </w:rPr>
              <w:t>Stem</w:t>
            </w:r>
          </w:p>
        </w:tc>
        <w:tc>
          <w:tcPr>
            <w:tcW w:w="3515" w:type="dxa"/>
          </w:tcPr>
          <w:p w14:paraId="46A204EA" w14:textId="77777777" w:rsidR="000F7094" w:rsidRDefault="000F7094" w:rsidP="00BC71AD">
            <w:pPr>
              <w:spacing w:line="240" w:lineRule="auto"/>
              <w:jc w:val="left"/>
              <w:rPr>
                <w:rFonts w:cs="Times New Roman"/>
                <w:szCs w:val="24"/>
              </w:rPr>
            </w:pPr>
            <w:r>
              <w:rPr>
                <w:rFonts w:cs="Times New Roman"/>
                <w:szCs w:val="24"/>
              </w:rPr>
              <w:t>Anti-inflammatory</w:t>
            </w:r>
            <w:r>
              <w:rPr>
                <w:rFonts w:cs="Times New Roman"/>
                <w:szCs w:val="24"/>
              </w:rPr>
              <w:fldChar w:fldCharType="begin"/>
            </w:r>
            <w:r>
              <w:rPr>
                <w:rFonts w:cs="Times New Roman"/>
                <w:szCs w:val="24"/>
              </w:rPr>
              <w:instrText xml:space="preserve"> ADDIN ZOTERO_ITEM CSL_CITATION {"citationID":"dPsOwCgH","properties":{"formattedCitation":"\\super 35\\nosupersub{}","plainCitation":"35","noteIndex":0},"citationItems":[{"id":347,"uris":["http://zotero.org/users/6503767/items/PNWG4FBH"],"itemData":{"id":347,"type":"article-journal","abstract":"Four new bis-β-carboline alkaloids, quassidines A−D (1−4), together with a known alkaloid, picrasidine C (5), were isolated from the stems of Picrasma quassioides. Quassidine A (1) is the first reported bis-β-carboline alkaloid possessing a novel cyclobutane moiety. The structures of the new compounds were determined on the basis of their 1D and 2D NMR and X-ray diffraction data. A possible biogenetic pathway for these alkaloids was proposed, and all compounds were evaluated for anti-inflammatory activity. Only quassidine A (1) showed weak activity.","container-title":"Journal of Natural Products","DOI":"10.1021/np900538r","ISSN":"0163-3864","issue":"2","journalAbbreviation":"J. Nat. Prod.","note":"publisher: American Chemical Society","page":"167-171","source":"ACS Publications","title":"Quassidines A−D, Bis-β-carboline Alkaloids from the Stems of Picrasma quassioides","volume":"73","author":[{"family":"Jiao","given":"Wei-Hua"},{"family":"Gao","given":"Hao"},{"family":"Li","given":"Chen-Yang"},{"family":"Zhao","given":"Feng"},{"family":"Jiang","given":"Ren-Wang"},{"family":"Wang","given":"Ying"},{"family":"Zhou","given":"Guang-Xiong"},{"family":"Yao","given":"Xin-Sheng"}],"issued":{"date-parts":[["2010",2,26]]}}}],"schema":"https://github.com/citation-style-language/schema/raw/master/csl-citation.json"} </w:instrText>
            </w:r>
            <w:r>
              <w:rPr>
                <w:rFonts w:cs="Times New Roman"/>
                <w:szCs w:val="24"/>
              </w:rPr>
              <w:fldChar w:fldCharType="separate"/>
            </w:r>
            <w:r w:rsidRPr="00D37B8A">
              <w:rPr>
                <w:rFonts w:cs="Times New Roman"/>
                <w:szCs w:val="24"/>
                <w:vertAlign w:val="superscript"/>
              </w:rPr>
              <w:t>35</w:t>
            </w:r>
            <w:r>
              <w:rPr>
                <w:rFonts w:cs="Times New Roman"/>
                <w:szCs w:val="24"/>
              </w:rPr>
              <w:fldChar w:fldCharType="end"/>
            </w:r>
          </w:p>
        </w:tc>
      </w:tr>
    </w:tbl>
    <w:p w14:paraId="2965DAE1" w14:textId="77777777" w:rsidR="000F7094" w:rsidRDefault="000F7094" w:rsidP="000F7094">
      <w:pPr>
        <w:spacing w:after="0"/>
        <w:rPr>
          <w:rFonts w:cs="Times New Roman"/>
          <w:szCs w:val="24"/>
        </w:rPr>
      </w:pPr>
      <w:r>
        <w:rPr>
          <w:rFonts w:cs="Times New Roman"/>
          <w:szCs w:val="24"/>
        </w:rPr>
        <w:t>NMCA = N-methoxy-β-carboline alkaloids</w:t>
      </w:r>
    </w:p>
    <w:p w14:paraId="438AC5D3" w14:textId="77777777" w:rsidR="000F7094" w:rsidRPr="00954763" w:rsidRDefault="000F7094" w:rsidP="000F7094">
      <w:pPr>
        <w:spacing w:after="0"/>
        <w:rPr>
          <w:rFonts w:cs="Times New Roman"/>
          <w:b/>
          <w:bCs/>
          <w:szCs w:val="24"/>
        </w:rPr>
      </w:pPr>
    </w:p>
    <w:p w14:paraId="3DD4128F" w14:textId="24A72220" w:rsidR="000F7094" w:rsidRPr="003E5113" w:rsidRDefault="000F7094" w:rsidP="000F7094">
      <w:pPr>
        <w:pStyle w:val="Subsection"/>
      </w:pPr>
      <w:bookmarkStart w:id="89" w:name="_Toc100241880"/>
      <w:bookmarkStart w:id="90" w:name="_Toc102586244"/>
      <w:r w:rsidRPr="003E5113">
        <w:t>1.</w:t>
      </w:r>
      <w:r>
        <w:t>2</w:t>
      </w:r>
      <w:r w:rsidRPr="003E5113">
        <w:t>.</w:t>
      </w:r>
      <w:r>
        <w:t>5</w:t>
      </w:r>
      <w:r w:rsidRPr="003E5113">
        <w:t xml:space="preserve"> Summary </w:t>
      </w:r>
      <w:r>
        <w:t>of</w:t>
      </w:r>
      <w:r w:rsidRPr="003E5113">
        <w:t xml:space="preserve"> </w:t>
      </w:r>
      <w:r>
        <w:t>accomplishments</w:t>
      </w:r>
      <w:bookmarkEnd w:id="89"/>
      <w:r w:rsidR="00143C5D">
        <w:t>.</w:t>
      </w:r>
      <w:bookmarkEnd w:id="90"/>
    </w:p>
    <w:p w14:paraId="0BD8C8CD" w14:textId="6B5C8CE1" w:rsidR="000F7094" w:rsidRDefault="000F7094" w:rsidP="000F7094">
      <w:pPr>
        <w:spacing w:after="0"/>
        <w:ind w:firstLine="720"/>
        <w:rPr>
          <w:rFonts w:cs="Times New Roman"/>
          <w:szCs w:val="24"/>
        </w:rPr>
      </w:pPr>
      <w:r w:rsidRPr="00407149">
        <w:rPr>
          <w:rFonts w:cs="Times New Roman"/>
          <w:b/>
          <w:bCs/>
          <w:szCs w:val="24"/>
        </w:rPr>
        <w:t>Chapter 3</w:t>
      </w:r>
      <w:r>
        <w:rPr>
          <w:rFonts w:cs="Times New Roman"/>
          <w:szCs w:val="24"/>
        </w:rPr>
        <w:t xml:space="preserve"> focuses on progress towards the total synthesis of picrasidine C (</w:t>
      </w:r>
      <w:r w:rsidR="006D7CF1" w:rsidRPr="006D7CF1">
        <w:rPr>
          <w:rFonts w:cs="Times New Roman"/>
          <w:b/>
          <w:bCs/>
          <w:szCs w:val="24"/>
        </w:rPr>
        <w:t>3.</w:t>
      </w:r>
      <w:r w:rsidRPr="00407149">
        <w:rPr>
          <w:rFonts w:cs="Times New Roman"/>
          <w:b/>
          <w:bCs/>
          <w:szCs w:val="24"/>
        </w:rPr>
        <w:t>1</w:t>
      </w:r>
      <w:r>
        <w:rPr>
          <w:rFonts w:cs="Times New Roman"/>
          <w:szCs w:val="24"/>
        </w:rPr>
        <w:t xml:space="preserve">). Two approaches were considered for this total synthesis: </w:t>
      </w:r>
      <w:r>
        <w:t xml:space="preserve">(1) construction of the heterocycle from structural fragments and (2) functionalization of an existing β-carboline ring. </w:t>
      </w:r>
      <w:r>
        <w:rPr>
          <w:rFonts w:cs="Times New Roman"/>
          <w:szCs w:val="24"/>
        </w:rPr>
        <w:t xml:space="preserve">While the total synthesis of picrasidine C remains to be completed, </w:t>
      </w:r>
      <w:r w:rsidRPr="00407149">
        <w:rPr>
          <w:rFonts w:cs="Times New Roman"/>
          <w:b/>
          <w:bCs/>
          <w:szCs w:val="24"/>
        </w:rPr>
        <w:t>Approach 1</w:t>
      </w:r>
      <w:r>
        <w:rPr>
          <w:rFonts w:cs="Times New Roman"/>
          <w:szCs w:val="24"/>
        </w:rPr>
        <w:t xml:space="preserve"> resulted in the synthesis of six new and structurally diverse </w:t>
      </w:r>
      <w:r w:rsidRPr="003B7566">
        <w:rPr>
          <w:rFonts w:cs="Times New Roman"/>
          <w:i/>
          <w:iCs/>
          <w:szCs w:val="24"/>
        </w:rPr>
        <w:t>Picrasma</w:t>
      </w:r>
      <w:r>
        <w:rPr>
          <w:rFonts w:cs="Times New Roman"/>
          <w:iCs/>
          <w:szCs w:val="24"/>
        </w:rPr>
        <w:t>-like</w:t>
      </w:r>
      <w:r>
        <w:rPr>
          <w:rFonts w:cs="Times New Roman"/>
          <w:szCs w:val="24"/>
        </w:rPr>
        <w:t xml:space="preserve"> alkaloid analogs (two mono-β-carbolines and four bis-β-carboline compounds), laying the foundation for future picrasidine and quassidine synthetic advancement. The new analogs feature reactive functional groups (enamine, carbonyls, and epoxides), providing synthetic handles to enable further diversification. Notably, in the midst of exploring </w:t>
      </w:r>
      <w:r w:rsidRPr="00077E6F">
        <w:rPr>
          <w:rFonts w:cs="Times New Roman"/>
          <w:b/>
          <w:bCs/>
          <w:szCs w:val="24"/>
        </w:rPr>
        <w:t>Approach 1</w:t>
      </w:r>
      <w:r>
        <w:rPr>
          <w:rFonts w:cs="Times New Roman"/>
          <w:szCs w:val="24"/>
        </w:rPr>
        <w:t xml:space="preserve">, a novel cascade reaction for the formation of </w:t>
      </w:r>
      <w:proofErr w:type="spellStart"/>
      <w:r>
        <w:rPr>
          <w:rFonts w:cs="Times New Roman"/>
          <w:szCs w:val="24"/>
        </w:rPr>
        <w:t>indoloquinolizine</w:t>
      </w:r>
      <w:proofErr w:type="spellEnd"/>
      <w:r>
        <w:rPr>
          <w:rFonts w:cs="Times New Roman"/>
          <w:szCs w:val="24"/>
        </w:rPr>
        <w:t xml:space="preserve"> heterocycles was discovered. Concurrently, β-carboline C-H functionalization for </w:t>
      </w:r>
      <w:r w:rsidRPr="00407149">
        <w:rPr>
          <w:rFonts w:cs="Times New Roman"/>
          <w:b/>
          <w:bCs/>
          <w:szCs w:val="24"/>
        </w:rPr>
        <w:t>Approach 2</w:t>
      </w:r>
      <w:r>
        <w:rPr>
          <w:rFonts w:cs="Times New Roman"/>
          <w:szCs w:val="24"/>
        </w:rPr>
        <w:t xml:space="preserve"> </w:t>
      </w:r>
      <w:r>
        <w:rPr>
          <w:rFonts w:cs="Times New Roman"/>
          <w:szCs w:val="24"/>
        </w:rPr>
        <w:lastRenderedPageBreak/>
        <w:t xml:space="preserve">was explored via lithiation reactions. Some minor successes in direct β-carboline substitution demonstrates advancement in β-carboline functionalization methodology. The experimental details and results of both approaches will be discussed in </w:t>
      </w:r>
      <w:r w:rsidRPr="00077E6F">
        <w:rPr>
          <w:rFonts w:cs="Times New Roman"/>
          <w:b/>
          <w:bCs/>
          <w:szCs w:val="24"/>
        </w:rPr>
        <w:t>Chapter 3</w:t>
      </w:r>
      <w:r>
        <w:rPr>
          <w:rFonts w:cs="Times New Roman"/>
          <w:szCs w:val="24"/>
        </w:rPr>
        <w:t>.</w:t>
      </w:r>
    </w:p>
    <w:p w14:paraId="395DF2FD" w14:textId="77777777" w:rsidR="003A5ACD" w:rsidRDefault="003A5ACD" w:rsidP="000F7094">
      <w:pPr>
        <w:spacing w:after="0"/>
        <w:ind w:firstLine="720"/>
        <w:rPr>
          <w:rFonts w:cs="Times New Roman"/>
          <w:szCs w:val="24"/>
        </w:rPr>
      </w:pPr>
    </w:p>
    <w:p w14:paraId="5ACAEE8C" w14:textId="77777777" w:rsidR="003A5ACD" w:rsidRPr="003E5113" w:rsidRDefault="003A5ACD" w:rsidP="003A5ACD">
      <w:pPr>
        <w:pStyle w:val="Section"/>
      </w:pPr>
      <w:bookmarkStart w:id="91" w:name="_Toc102586245"/>
      <w:bookmarkEnd w:id="1"/>
      <w:r w:rsidRPr="003E5113">
        <w:t>1.</w:t>
      </w:r>
      <w:r>
        <w:t>3</w:t>
      </w:r>
      <w:r w:rsidRPr="003E5113">
        <w:t xml:space="preserve"> Overview of SARS-CoV-2 protease inhibitors</w:t>
      </w:r>
      <w:bookmarkEnd w:id="91"/>
    </w:p>
    <w:p w14:paraId="362E4AD9" w14:textId="3AD4E52A" w:rsidR="003A5ACD" w:rsidRPr="003E5113" w:rsidRDefault="003A5ACD" w:rsidP="003A5ACD">
      <w:pPr>
        <w:pStyle w:val="Subsection"/>
      </w:pPr>
      <w:bookmarkStart w:id="92" w:name="_Toc100241882"/>
      <w:bookmarkStart w:id="93" w:name="_Toc102586246"/>
      <w:r w:rsidRPr="003E5113">
        <w:t>1.</w:t>
      </w:r>
      <w:r>
        <w:t>3</w:t>
      </w:r>
      <w:r w:rsidRPr="003E5113">
        <w:t>.1 Significance: COVID-19 global pandemic</w:t>
      </w:r>
      <w:bookmarkEnd w:id="92"/>
      <w:r w:rsidR="00143C5D">
        <w:t>.</w:t>
      </w:r>
      <w:bookmarkEnd w:id="93"/>
    </w:p>
    <w:p w14:paraId="28FA4671" w14:textId="17DD2F03" w:rsidR="003A5ACD" w:rsidRDefault="003A5ACD" w:rsidP="003A5ACD">
      <w:pPr>
        <w:ind w:firstLine="720"/>
        <w:rPr>
          <w:rFonts w:eastAsia="Times New Roman" w:cs="Times New Roman"/>
          <w:color w:val="000000"/>
          <w:szCs w:val="24"/>
        </w:rPr>
      </w:pPr>
      <w:r w:rsidRPr="00A64FCF">
        <w:rPr>
          <w:rFonts w:eastAsia="Times New Roman" w:cs="Times New Roman"/>
          <w:color w:val="000000"/>
          <w:szCs w:val="24"/>
        </w:rPr>
        <w:t>Th</w:t>
      </w:r>
      <w:r>
        <w:rPr>
          <w:rFonts w:eastAsia="Times New Roman" w:cs="Times New Roman"/>
          <w:color w:val="000000"/>
          <w:szCs w:val="24"/>
        </w:rPr>
        <w:t>e novel severe acute respiratory syndrome coronavirus 2 (SARS-CoV-2), initially detected in Wuhan City, Hubei province, China and announced to the World Health Organization (WHO) on December 31, 2019,</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{"citationID":"w4GWLfxm","properties":{"formattedCitation":"\\super 103\\nosupersub{}","plainCitation":"103","noteIndex":0},"citationItems":[{"id":708,"uris":["http://zotero.org/users/6503767/items/ZF8Z9MBU"],"itemData":{"id":708,"type":"report","abstract":"Since the SARS outbreak 18 years ago, a large number of severe acute respiratory syndrome related coronaviruses (SARSr-CoV) have been discovered in their natural reservoir host, bats. Previous studies indicated that some of those bat SARSr-CoVs have the potential to infect humans. Here we report the identification and characterization of a novel coronavirus (nCoV-2019) which caused an epidemic of acute respiratory syndrome in humans, in Wuhan, China. The epidemic, started from December 12th, 2019, has caused 198 laboratory confirmed infections with three fatal cases by January 20th, 2020. Full-length genome sequences were obtained from five patients at the early stage of the outbreak. They are almost identical to each other and share 79.5% sequence identify to SARS-CoV. Furthermore, it was found that nCoV-2019 is 96% identical at the whole genome level to a bat coronavirus. The pairwise protein sequence analysis of seven conserved non-structural proteins show that this virus belongs to the species of SARSr-CoV. The nCoV-2019 virus was then isolated from the bronchoalveolar lavage fluid of a critically ill patient, which can be neutralized by sera from several patients. Importantly, we have confirmed that this novel CoV uses the same cell entry receptor, ACE2, as SARS-CoV.","language":"en","note":"DOI: 10.1101/2020.01.22.914952\nsection: New Results\ntype: article","page":"2020.01.22.914952","publisher":"bioRxiv","source":"bioRxiv","title":"Discovery of a novel coronavirus associated with the recent pneumonia outbreak in humans and its potential bat origin","URL":"https://www.biorxiv.org/content/10.1101/2020.01.22.914952v2","author":[{"family":"Zhou","given":"Peng"},{"family":"Yang","given":"Xing-Lou"},{"family":"Wang","given":"Xian-Guang"},{"family":"Hu","given":"Ben"},{"family":"Zhang","given":"Lei"},{"family":"Zhang","given":"Wei"},{"family":"Si","given":"Hao-Rui"},{"family":"Zhu","given":"Yan"},{"family":"Li","given":"Bei"},{"family":"Huang","given":"Chao-Lin"},{"family":"Chen","given":"Hui-Dong"},{"family":"Chen","given":"Jing"},{"family":"Luo","given":"Yun"},{"family":"Guo","given":"Hua"},{"family":"Jiang","given":"Ren-Di"},{"family":"Liu","given":"Mei-Qin"},{"family":"Chen","given":"Ying"},{"family":"Shen","given":"Xu-Rui"},{"family":"Wang","given":"Xi"},{"family":"Zheng","given":"Xiao-Shuang"},{"family":"Zhao","given":"Kai"},{"family":"Chen","given":"Quan-Jiao"},{"family":"Deng","given":"Fei"},{"family":"Liu","given":"Lin-Lin"},{"family":"Yan","given":"Bing"},{"family":"Zhan","given":"Fa-Xian"},{"family":"Wang","given":"Yan-Yi"},{"family":"Xiao","given":"Gengfu"},{"family":"Shi","given":"Zheng-Li"}],"accessed":{"date-parts":[["2022",3,30]]},"issued":{"date-parts":[["2020",1,23]]}}}],"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103</w:t>
      </w:r>
      <w:r>
        <w:rPr>
          <w:rFonts w:eastAsia="Times New Roman" w:cs="Times New Roman"/>
          <w:color w:val="000000"/>
          <w:szCs w:val="24"/>
        </w:rPr>
        <w:fldChar w:fldCharType="end"/>
      </w:r>
      <w:r>
        <w:rPr>
          <w:rFonts w:eastAsia="Times New Roman" w:cs="Times New Roman"/>
          <w:color w:val="000000"/>
          <w:szCs w:val="24"/>
        </w:rPr>
        <w:t xml:space="preserve"> quickly took the world by storm. The outbreak rapidly spread at alarming rates, reaching over 50 countries at the start of March 2020,</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{"citationID":"DyPJrRle","properties":{"formattedCitation":"\\super 104\\nosupersub{}","plainCitation":"104","noteIndex":0},"citationItems":[{"id":706,"uris":["http://zotero.org/users/6503767/items/PDJ2RPIS"],"itemData":{"id":706,"type":"webpage","abstract":"The Weekly Epidemiological Update provides an overview of the global, regional and country-level COVID-19 cases and deaths, highlighting key data and trends; as well as other pertinent epidemiological information concerning the COVID-19 pandemic.","language":"en","title":"Coronavirus Disease (COVID-19) Situation Reports","URL":"https://www.who.int/emergencies/diseases/novel-coronavirus-2019/situation-reports"}}],"schema":"https://github.com/citation-style-language/schema/raw/master/csl-citation.json"}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104</w:t>
      </w:r>
      <w:r>
        <w:rPr>
          <w:rFonts w:eastAsia="Times New Roman" w:cs="Times New Roman"/>
          <w:color w:val="000000"/>
          <w:szCs w:val="24"/>
        </w:rPr>
        <w:fldChar w:fldCharType="end"/>
      </w:r>
      <w:r>
        <w:rPr>
          <w:rFonts w:eastAsia="Times New Roman" w:cs="Times New Roman"/>
          <w:color w:val="000000"/>
          <w:szCs w:val="24"/>
        </w:rPr>
        <w:t xml:space="preserve"> then over 100 countries the following week,</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{"citationID":"v1gLM2gx","properties":{"formattedCitation":"\\super 105\\nosupersub{}","plainCitation":"105","noteIndex":0},"citationItems":[{"id":711,"uris":["http://zotero.org/users/6503767/items/PYCZLLFR"],"itemData":{"id":711,"type":"webpage","abstract":"Devex tracks all the developments related to the coronavirus pandemic in 2020.","container-title":"Devex","title":"COVID-19 in 2020 — a timeline of the coronavirus outbreak","URL":"https://www.devex.com/news/sponsored/covid-19-in-2020-a-timeline-of-the-coronavirus-outbreak-99634","author":[{"family":"Ravelo","given":"Jenny Lei"},{"family":"Jerving","given":"Sara"}]}}],"schema":"https://github.com/citation-style-language/schema/raw/master/csl-citation.json"}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105</w:t>
      </w:r>
      <w:r>
        <w:rPr>
          <w:rFonts w:eastAsia="Times New Roman" w:cs="Times New Roman"/>
          <w:color w:val="000000"/>
          <w:szCs w:val="24"/>
        </w:rPr>
        <w:fldChar w:fldCharType="end"/>
      </w:r>
      <w:r>
        <w:rPr>
          <w:rFonts w:eastAsia="Times New Roman" w:cs="Times New Roman"/>
          <w:color w:val="000000"/>
          <w:szCs w:val="24"/>
        </w:rPr>
        <w:t xml:space="preserve"> which led to the monumental announcement on March 11, 2020 where the WHO declared the coronavirus disease 2019 (COVID-19) outbreak a global pandemic. </w:t>
      </w:r>
    </w:p>
    <w:p w14:paraId="246D2E33" w14:textId="0B6F349C" w:rsidR="003A5ACD" w:rsidRDefault="003A5ACD" w:rsidP="003A5ACD">
      <w:pPr>
        <w:ind w:firstLine="720"/>
        <w:rPr>
          <w:rFonts w:eastAsia="Times New Roman" w:cs="Times New Roman"/>
          <w:color w:val="000000"/>
          <w:szCs w:val="24"/>
        </w:rPr>
      </w:pPr>
      <w:r>
        <w:rPr>
          <w:rFonts w:eastAsia="Times New Roman" w:cs="Times New Roman"/>
          <w:color w:val="000000"/>
          <w:szCs w:val="24"/>
        </w:rPr>
        <w:t>The global death toll from COVID-19 surpassed 200,000 by April 2020, estimating an approximately 5.9% case fatality rate.</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{"citationID":"SvMVhVaH","properties":{"formattedCitation":"\\super 106\\nosupersub{}","plainCitation":"106","noteIndex":0},"citationItems":[{"id":24,"uris":["http://zotero.org/users/6503767/items/Y7K44RN3"],"itemData":{"id":24,"type":"article-journal","abstract":"The COVID-19 pandemic caused by SARS-CoV-2 is a global health emergency. An attractive drug target among coronaviruses is the main protease (M\n              pro\n              , 3CL\n              pro\n              ), due to its essential role in processing the polyproteins that are translated from the viral RNA. We report the X-ray structures of the unliganded SARS-CoV-2 M\n              pro\n              and its complex with an α-ketoamide inhibitor. This was derived from a previously designed inhibitor but with the P3-P2 amide bond incorporated into a pyridone ring to enhance the half-life of the compound in plasma. Based on the structure, we developed the lead compound into a potent inhibitor of the SARS-CoV-2 M\n              pro\n              . The pharmacokinetic characterization of the optimized inhibitor reveals a pronounced lung tropism and suitability for administration by the inhalative route.","container-title":"Science","DOI":"10.1126/science.abb3405","ISSN":"0036-8075, 1095-9203","journalAbbreviation":"Science","language":"en","page":"eabb3405","source":"DOI.org (Crossref)","title":"Crystal structure of SARS-CoV-2 main protease provides a basis for design of improved α-ketoamide inhibitors","author":[{"family":"Zhang","given":"Linlin"},{"family":"Lin","given":"Daizong"},{"family":"Sun","given":"Xinyuanyuan"},{"family":"Curth","given":"Ute"},{"family":"Drosten","given":"Christian"},{"family":"Sauerhering","given":"Lucie"},{"family":"Becker","given":"Stephan"},{"family":"Rox","given":"Katharina"},{"family":"Hilgenfeld","given":"Rolf"}],"issued":{"date-parts":[["2020",3,20]]}}}],"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106</w:t>
      </w:r>
      <w:r>
        <w:rPr>
          <w:rFonts w:eastAsia="Times New Roman" w:cs="Times New Roman"/>
          <w:color w:val="000000"/>
          <w:szCs w:val="24"/>
        </w:rPr>
        <w:fldChar w:fldCharType="end"/>
      </w:r>
      <w:r>
        <w:rPr>
          <w:rFonts w:eastAsia="Times New Roman" w:cs="Times New Roman"/>
          <w:color w:val="000000"/>
          <w:szCs w:val="24"/>
        </w:rPr>
        <w:t xml:space="preserve"> As the numbers continued to rise steadily, governments all around the world turned to drastic measures to slow disease spread, implementing a range of stringent policies including stay-at-home lockdowns, school and workplace closures, cancellation of events and public gatherings, and restrictions on public transport.</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{"citationID":"j5d38mCA","properties":{"formattedCitation":"\\super 107\\nosupersub{}","plainCitation":"107","noteIndex":0},"citationItems":[{"id":702,"uris":["http://zotero.org/users/6503767/items/SJAPUGG2"],"itemData":{"id":702,"type":"article-journal","abstract":"COVID-19 is a disease which has affected most, if not all, countries in the world.","container-title":"Our World in Data","journalAbbreviation":"Our World in Data","source":"ourworldindata.org","title":"Coronavirus Pandemic (COVID-19)","URL":"https://ourworldindata.org/policy-responses-covid","author":[{"family":"Ritchie","given":"Hannah"},{"family":"Mathieu","given":"Edouard"},{"family":"Rodés-Guirao","given":"Lucas"},{"family":"Appel","given":"Cameron"},{"family":"Giattino","given":"Charlie"},{"family":"Ortiz-Ospina","given":"Esteban"},{"family":"Hasell","given":"Joe"},{"family":"Macdonald","given":"Bobbie"},{"family":"Beltekian","given":"Diana"},{"family":"Roser","given":"Max"}],"issued":{"date-parts":[["2020",3,5]]}},"locator":"-19"}],"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107</w:t>
      </w:r>
      <w:r>
        <w:rPr>
          <w:rFonts w:eastAsia="Times New Roman" w:cs="Times New Roman"/>
          <w:color w:val="000000"/>
          <w:szCs w:val="24"/>
        </w:rPr>
        <w:fldChar w:fldCharType="end"/>
      </w:r>
      <w:r>
        <w:rPr>
          <w:rFonts w:eastAsia="Times New Roman" w:cs="Times New Roman"/>
          <w:color w:val="000000"/>
          <w:szCs w:val="24"/>
        </w:rPr>
        <w:t xml:space="preserve"> Economies were left devastated</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{"citationID":"C4c8np76","properties":{"formattedCitation":"\\super 108\\nosupersub{}","plainCitation":"108","noteIndex":0},"citationItems":[{"id":713,"uris":["http://zotero.org/users/6503767/items/QTHXUDK6"],"itemData":{"id":713,"type":"post-weblog","abstract":"The COVID-19 has exacted a significant toll on the global economy. This new analysis looks at the economic impacts in PEPFAR countries finding that these countries generally fared worse than their …","container-title":"KFF","language":"en-US","title":"Economic Impact of COVID-19 on PEPFAR Countries","URL":"https://www.kff.org/global-health-policy/issue-brief/economic-impact-of-covid-19-on-pepfar-countries/","author":[{"family":"Oum","given":"Stephanie"},{"family":"Kates","given":"Jennifer"},{"family":"Wexler","given":"Adam"}],"issued":{"date-parts":[["2022",2,7]]}}}],"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108</w:t>
      </w:r>
      <w:r>
        <w:rPr>
          <w:rFonts w:eastAsia="Times New Roman" w:cs="Times New Roman"/>
          <w:color w:val="000000"/>
          <w:szCs w:val="24"/>
        </w:rPr>
        <w:fldChar w:fldCharType="end"/>
      </w:r>
      <w:r>
        <w:rPr>
          <w:rFonts w:eastAsia="Times New Roman" w:cs="Times New Roman"/>
          <w:color w:val="000000"/>
          <w:szCs w:val="24"/>
        </w:rPr>
        <w:t xml:space="preserve"> and healthcare systems were vastly overwhelmed.</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{"citationID":"TOrkQBhL","properties":{"formattedCitation":"\\super 109\\nosupersub{}","plainCitation":"109","noteIndex":0},"citationItems":[{"id":715,"uris":["http://zotero.org/users/6503767/items/H63XJ4VZ"],"itemData":{"id":715,"type":"webpage","abstract":"Prevention is key to making sure everyone in your community can get the care they need","container-title":"Cleveland Clinic","language":"en-US","note":"section: Family Medicine","title":"How Covid is Straining the Healthcare System","URL":"https://health.clevelandclinic.org/how-the-pandemic-is-straining-the-healthcare-system-and-what-you-can-do-to-help/","issued":{"date-parts":[["2020",12,7]]}}}],"schema":"https://github.com/citation-style-language/schema/raw/master/csl-citation.json"}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109</w:t>
      </w:r>
      <w:r>
        <w:rPr>
          <w:rFonts w:eastAsia="Times New Roman" w:cs="Times New Roman"/>
          <w:color w:val="000000"/>
          <w:szCs w:val="24"/>
        </w:rPr>
        <w:fldChar w:fldCharType="end"/>
      </w:r>
      <w:r>
        <w:rPr>
          <w:rFonts w:eastAsia="Times New Roman" w:cs="Times New Roman"/>
          <w:color w:val="000000"/>
          <w:szCs w:val="24"/>
        </w:rPr>
        <w:t xml:space="preserve"> </w:t>
      </w:r>
      <w:r w:rsidR="00816DE7">
        <w:rPr>
          <w:rFonts w:eastAsia="Times New Roman" w:cs="Times New Roman"/>
          <w:color w:val="000000"/>
          <w:szCs w:val="24"/>
        </w:rPr>
        <w:t>As of March 2022, we have been living through this pandemic for over two years, and ~490 million infections have been reported, resulting in over six million deaths.</w:t>
      </w:r>
      <w:r w:rsidR="00816DE7">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{"citationID":"yLrN9YGH","properties":{"formattedCitation":"\\super 110\\nosupersub{}","plainCitation":"110","noteIndex":0},"citationItems":[{"id":699,"uris":["http://zotero.org/users/6503767/items/7VY6TGWK"],"itemData":{"id":699,"type":"article-journal","abstract":"Cross-border healthcare is an international agreement for the provision of out of country healthcare for citizens of partnered countries. The European Union (EU) has established itself as a world leader in cross-border healthcare. During the Coronavirus disease of 2019 (COVID-19) pandemic, the EU used this system to maximize utilization of resources. Countries with capacity accepted critically ill patients from overwhelmed nations, borders remained open to healthcare workers and those seeking medical care in an effort to share the burden of this pandemic. Significant research into the challenges and successes of cross-border healthcare was completed prior to COVID-19, which demonstrated significant benefit for patients.\nIn North America, the response to the COVID-19 crisis has been more isolationist. The Canada-United States border has been closed and bans placed on healthcare workers crossing the border for work. Prior to COVID-19, cross-border healthcare was rare in North America despite its need. We reviewed the literature surrounding cross-border healthcare in the EU, as well as the need for a similar system in North America. We found the EU cross-border healthcare agreements are generally mutually beneficial for participating countries. The North American literature suggested a cross-border healthcare system is feasible. A number of challenges could be identified based on the EU experience. A prior agreement may have been beneficial during the COVID-19 crisis as many Canadian healthcare institutions-maintained capacity to accept critically ill patients.\nIn addition to the tremendous loss of life due to coronavirus disease 2019 (COVID-19), the pandemic created challenges for the energy system, as strict confinement measures such as lockdown and social distancing compelled by governments worldwide resulted in a significant reduction in energy demand. In this study, a novel, quantitative and uncomplex method for estimating the energy consumption loss due to the pandemic, which was derived from epidemiological data in the beginning stages, is provided; the method bonds a data-driven prediction (LSTM network) of energy consumption due to COVID-19 to an econometric model (ARDL) so that the long- and short-term impact can be synthesized with adequate statistical validation. The results show that energy loss is statistically correlated with the time-changing effective reproductive number (Rt) of the disease, which can be viewed as quantifying confinement intensity and the severity of the earlier stages of the pandemic. We detected a 1.62% decrease in electricity consumption loss caused by each percent decrease in Rt on average. We verify our method by applying it to Germany and 5 U.S. states with various social features and discuss implications and universality. Our results bridge the knowledge gap between key energy and epidemiological parameters and provide policymakers with a more precise estimate of the pandemic’s impact on electricity demand so that strategies can be formulated to minimize losses caused by similar crises.","container-title":"The Lancet Infectious Diseases","DOI":"10.1016/S1473-3099(20)30120-1","ISSN":"1473-3099","issue":"5","journalAbbreviation":"The Lancet Infectious Diseases","language":"en","page":"533-534","source":"ScienceDirect","title":"An interactive web-based dashboard to track COVID-19 in real time","volume":"20","author":[{"family":"Dong","given":"Ensheng"},{"family":"Du","given":"Hongru"},{"family":"Gardner","given":"Lauren"}],"issued":{"date-parts":[["2020",5,1]]}}}],"schema":"https://github.com/citation-style-language/schema/raw/master/csl-citation.json"} </w:instrText>
      </w:r>
      <w:r w:rsidR="00816DE7">
        <w:rPr>
          <w:rFonts w:eastAsia="Times New Roman" w:cs="Times New Roman"/>
          <w:color w:val="000000"/>
          <w:szCs w:val="24"/>
        </w:rPr>
        <w:fldChar w:fldCharType="separate"/>
      </w:r>
      <w:r w:rsidR="00B26382" w:rsidRPr="00B26382">
        <w:rPr>
          <w:rFonts w:cs="Times New Roman"/>
          <w:szCs w:val="24"/>
          <w:vertAlign w:val="superscript"/>
        </w:rPr>
        <w:t>110</w:t>
      </w:r>
      <w:r w:rsidR="00816DE7">
        <w:rPr>
          <w:rFonts w:eastAsia="Times New Roman" w:cs="Times New Roman"/>
          <w:color w:val="000000"/>
          <w:szCs w:val="24"/>
        </w:rPr>
        <w:fldChar w:fldCharType="end"/>
      </w:r>
      <w:r w:rsidR="00816DE7">
        <w:rPr>
          <w:rFonts w:eastAsia="Times New Roman" w:cs="Times New Roman"/>
          <w:color w:val="000000"/>
          <w:szCs w:val="24"/>
        </w:rPr>
        <w:t xml:space="preserve"> </w:t>
      </w:r>
      <w:r>
        <w:rPr>
          <w:rFonts w:eastAsia="Times New Roman" w:cs="Times New Roman"/>
          <w:color w:val="000000"/>
          <w:szCs w:val="24"/>
        </w:rPr>
        <w:t>With the world in turmoil, s</w:t>
      </w:r>
      <w:r w:rsidRPr="003E5113">
        <w:rPr>
          <w:rFonts w:eastAsia="Times New Roman" w:cs="Times New Roman"/>
          <w:color w:val="000000"/>
          <w:szCs w:val="24"/>
        </w:rPr>
        <w:t>cientists everywhere fully focus</w:t>
      </w:r>
      <w:r>
        <w:rPr>
          <w:rFonts w:eastAsia="Times New Roman" w:cs="Times New Roman"/>
          <w:color w:val="000000"/>
          <w:szCs w:val="24"/>
        </w:rPr>
        <w:t>ed</w:t>
      </w:r>
      <w:r w:rsidRPr="003E5113">
        <w:rPr>
          <w:rFonts w:eastAsia="Times New Roman" w:cs="Times New Roman"/>
          <w:color w:val="000000"/>
          <w:szCs w:val="24"/>
        </w:rPr>
        <w:t xml:space="preserve"> their research efforts to fight this global pandemic, because the need for effective treatment </w:t>
      </w:r>
      <w:r>
        <w:rPr>
          <w:rFonts w:eastAsia="Times New Roman" w:cs="Times New Roman"/>
          <w:color w:val="000000"/>
          <w:szCs w:val="24"/>
        </w:rPr>
        <w:t>wa</w:t>
      </w:r>
      <w:r w:rsidRPr="003E5113">
        <w:rPr>
          <w:rFonts w:eastAsia="Times New Roman" w:cs="Times New Roman"/>
          <w:color w:val="000000"/>
          <w:szCs w:val="24"/>
        </w:rPr>
        <w:t xml:space="preserve">s obvious and immediate. </w:t>
      </w:r>
    </w:p>
    <w:p w14:paraId="0B922981" w14:textId="77777777" w:rsidR="003A5ACD" w:rsidRDefault="003A5ACD" w:rsidP="003A5ACD">
      <w:pPr>
        <w:rPr>
          <w:rFonts w:eastAsia="Times New Roman" w:cs="Times New Roman"/>
          <w:color w:val="000000"/>
          <w:szCs w:val="24"/>
        </w:rPr>
      </w:pPr>
      <w:r w:rsidRPr="00C43CE5">
        <w:rPr>
          <w:rFonts w:cs="Times New Roman"/>
          <w:noProof/>
          <w:szCs w:val="24"/>
        </w:rPr>
        <w:lastRenderedPageBreak/>
        <mc:AlternateContent>
          <mc:Choice Requires="wps">
            <w:drawing>
              <wp:inline distT="0" distB="0" distL="0" distR="0" wp14:anchorId="1397BE19" wp14:editId="5BED9F04">
                <wp:extent cx="5943600" cy="6400800"/>
                <wp:effectExtent l="0" t="0" r="19050" b="19050"/>
                <wp:docPr id="50" name="Text Box 2" descr="For the ten countries with the highest absolute daily number of deaths, the lines show the cumulative number of cases reported in that country at each date in time in (A) linear and (B) logarithmic scales. The logarithmic scale helps visualize early exponential growth. This data, available thanks to Johns Hopkins University, was last updated on March 29, 2022 at 06:34 AM EDT.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400800"/>
                        </a:xfrm>
                        <a:prstGeom prst="rect">
                          <a:avLst/>
                        </a:prstGeom>
                        <a:solidFill>
                          <a:srgbClr val="FFFFFF"/>
                        </a:solidFill>
                        <a:ln w="9525">
                          <a:solidFill>
                            <a:srgbClr val="000000"/>
                          </a:solidFill>
                          <a:miter lim="800000"/>
                          <a:headEnd/>
                          <a:tailEnd/>
                        </a:ln>
                      </wps:spPr>
                      <wps:txbx>
                        <w:txbxContent>
                          <w:p w14:paraId="246A391C" w14:textId="77777777" w:rsidR="003A5ACD" w:rsidRDefault="003A5ACD" w:rsidP="003A5ACD">
                            <w:pPr>
                              <w:keepNext/>
                              <w:spacing w:after="0"/>
                            </w:pPr>
                            <w:r>
                              <w:rPr>
                                <w:noProof/>
                              </w:rPr>
                              <w:drawing>
                                <wp:inline distT="0" distB="0" distL="0" distR="0" wp14:anchorId="67438E20" wp14:editId="15EEE3A0">
                                  <wp:extent cx="5751830" cy="4962525"/>
                                  <wp:effectExtent l="0" t="0" r="1270" b="9525"/>
                                  <wp:docPr id="52" name="Picture 52" descr="For the ten countries with the highest absolute daily number of deaths, the lines show the cumulative number of cases reported in that country at each date in time in (A) linear and (B) logarithmic scales. The logarithmic scale helps visualize early exponential growth. This data, available thanks to Johns Hopkins University, was last updated on March 29, 2022 at 06:34 AM ED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or the ten countries with the highest absolute daily number of deaths, the lines show the cumulative number of cases reported in that country at each date in time in (A) linear and (B) logarithmic scales. The logarithmic scale helps visualize early exponential growth. This data, available thanks to Johns Hopkins University, was last updated on March 29, 2022 at 06:34 AM EDT. "/>
                                          <pic:cNvPicPr/>
                                        </pic:nvPicPr>
                                        <pic:blipFill>
                                          <a:blip r:embed="rId99">
                                            <a:extLst>
                                              <a:ext uri="{28A0092B-C50C-407E-A947-70E740481C1C}">
                                                <a14:useLocalDpi xmlns:a14="http://schemas.microsoft.com/office/drawing/2010/main" val="0"/>
                                              </a:ext>
                                            </a:extLst>
                                          </a:blip>
                                          <a:stretch>
                                            <a:fillRect/>
                                          </a:stretch>
                                        </pic:blipFill>
                                        <pic:spPr>
                                          <a:xfrm>
                                            <a:off x="0" y="0"/>
                                            <a:ext cx="5751830" cy="4962525"/>
                                          </a:xfrm>
                                          <a:prstGeom prst="rect">
                                            <a:avLst/>
                                          </a:prstGeom>
                                        </pic:spPr>
                                      </pic:pic>
                                    </a:graphicData>
                                  </a:graphic>
                                </wp:inline>
                              </w:drawing>
                            </w:r>
                          </w:p>
                          <w:p w14:paraId="1A1DAE95" w14:textId="61BCA90A" w:rsidR="003A5ACD" w:rsidRDefault="003A5ACD" w:rsidP="00DF51F5">
                            <w:pPr>
                              <w:pStyle w:val="Caption"/>
                            </w:pPr>
                            <w:bookmarkStart w:id="94" w:name="_Ref100743248"/>
                            <w:bookmarkStart w:id="95" w:name="_Toc100243239"/>
                            <w:bookmarkStart w:id="96" w:name="_Toc100748292"/>
                            <w:r>
                              <w:t>Figure 1.</w:t>
                            </w:r>
                            <w:fldSimple w:instr=" SEQ Figure \* ARABIC ">
                              <w:r w:rsidR="00AA5AAC">
                                <w:rPr>
                                  <w:noProof/>
                                </w:rPr>
                                <w:t>11</w:t>
                              </w:r>
                            </w:fldSimple>
                            <w:bookmarkEnd w:id="94"/>
                            <w:r>
                              <w:t>. Cumulative COVID-19 cases in ten countries by date.</w:t>
                            </w:r>
                            <w:bookmarkEnd w:id="95"/>
                            <w:bookmarkEnd w:id="96"/>
                          </w:p>
                          <w:p w14:paraId="7FBF4193" w14:textId="77777777" w:rsidR="003A5ACD" w:rsidRDefault="003A5ACD" w:rsidP="003A5ACD">
                            <w:pPr>
                              <w:spacing w:line="240" w:lineRule="auto"/>
                            </w:pPr>
                            <w:r>
                              <w:t xml:space="preserve">For the ten countries with the highest absolute daily number of deaths, the lines show the cumulative number of cases reported in that country at each date in time in (A) linear and (B) logarithmic scales. The logarithmic scale helps visualize early exponential growth. This data, available thanks to Johns Hopkins University, was last updated on March 29, </w:t>
                            </w:r>
                            <w:proofErr w:type="gramStart"/>
                            <w:r>
                              <w:t>2022</w:t>
                            </w:r>
                            <w:proofErr w:type="gramEnd"/>
                            <w:r>
                              <w:t xml:space="preserve"> at 06:34 AM EDT. </w:t>
                            </w:r>
                          </w:p>
                        </w:txbxContent>
                      </wps:txbx>
                      <wps:bodyPr rot="0" vert="horz" wrap="square" lIns="91440" tIns="45720" rIns="91440" bIns="45720" anchor="t" anchorCtr="0">
                        <a:noAutofit/>
                      </wps:bodyPr>
                    </wps:wsp>
                  </a:graphicData>
                </a:graphic>
              </wp:inline>
            </w:drawing>
          </mc:Choice>
          <mc:Fallback>
            <w:pict>
              <v:shape w14:anchorId="1397BE19" id="_x0000_s1039" type="#_x0000_t202" alt="For the ten countries with the highest absolute daily number of deaths, the lines show the cumulative number of cases reported in that country at each date in time in (A) linear and (B) logarithmic scales. The logarithmic scale helps visualize early exponential growth. This data, available thanks to Johns Hopkins University, was last updated on March 29, 2022 at 06:34 AM EDT. " style="width:468pt;height:7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">
                <v:textbox>
                  <w:txbxContent>
                    <w:p w14:paraId="246A391C" w14:textId="77777777" w:rsidR="003A5ACD" w:rsidRDefault="003A5ACD" w:rsidP="003A5ACD">
                      <w:pPr>
                        <w:keepNext/>
                        <w:spacing w:after="0"/>
                      </w:pPr>
                      <w:r>
                        <w:rPr>
                          <w:noProof/>
                        </w:rPr>
                        <w:drawing>
                          <wp:inline distT="0" distB="0" distL="0" distR="0" wp14:anchorId="67438E20" wp14:editId="15EEE3A0">
                            <wp:extent cx="5751830" cy="4962525"/>
                            <wp:effectExtent l="0" t="0" r="1270" b="9525"/>
                            <wp:docPr id="52" name="Picture 52" descr="For the ten countries with the highest absolute daily number of deaths, the lines show the cumulative number of cases reported in that country at each date in time in (A) linear and (B) logarithmic scales. The logarithmic scale helps visualize early exponential growth. This data, available thanks to Johns Hopkins University, was last updated on March 29, 2022 at 06:34 AM ED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For the ten countries with the highest absolute daily number of deaths, the lines show the cumulative number of cases reported in that country at each date in time in (A) linear and (B) logarithmic scales. The logarithmic scale helps visualize early exponential growth. This data, available thanks to Johns Hopkins University, was last updated on March 29, 2022 at 06:34 AM EDT. "/>
                                    <pic:cNvPicPr/>
                                  </pic:nvPicPr>
                                  <pic:blipFill>
                                    <a:blip r:embed="rId99">
                                      <a:extLst>
                                        <a:ext uri="{28A0092B-C50C-407E-A947-70E740481C1C}">
                                          <a14:useLocalDpi xmlns:a14="http://schemas.microsoft.com/office/drawing/2010/main" val="0"/>
                                        </a:ext>
                                      </a:extLst>
                                    </a:blip>
                                    <a:stretch>
                                      <a:fillRect/>
                                    </a:stretch>
                                  </pic:blipFill>
                                  <pic:spPr>
                                    <a:xfrm>
                                      <a:off x="0" y="0"/>
                                      <a:ext cx="5751830" cy="4962525"/>
                                    </a:xfrm>
                                    <a:prstGeom prst="rect">
                                      <a:avLst/>
                                    </a:prstGeom>
                                  </pic:spPr>
                                </pic:pic>
                              </a:graphicData>
                            </a:graphic>
                          </wp:inline>
                        </w:drawing>
                      </w:r>
                    </w:p>
                    <w:p w14:paraId="1A1DAE95" w14:textId="61BCA90A" w:rsidR="003A5ACD" w:rsidRDefault="003A5ACD" w:rsidP="00DF51F5">
                      <w:pPr>
                        <w:pStyle w:val="Caption"/>
                      </w:pPr>
                      <w:bookmarkStart w:id="97" w:name="_Ref100743248"/>
                      <w:bookmarkStart w:id="98" w:name="_Toc100243239"/>
                      <w:bookmarkStart w:id="99" w:name="_Toc100748292"/>
                      <w:r>
                        <w:t>Figure 1.</w:t>
                      </w:r>
                      <w:fldSimple w:instr=" SEQ Figure \* ARABIC ">
                        <w:r w:rsidR="00AA5AAC">
                          <w:rPr>
                            <w:noProof/>
                          </w:rPr>
                          <w:t>11</w:t>
                        </w:r>
                      </w:fldSimple>
                      <w:bookmarkEnd w:id="97"/>
                      <w:r>
                        <w:t>. Cumulative COVID-19 cases in ten countries by date.</w:t>
                      </w:r>
                      <w:bookmarkEnd w:id="98"/>
                      <w:bookmarkEnd w:id="99"/>
                    </w:p>
                    <w:p w14:paraId="7FBF4193" w14:textId="77777777" w:rsidR="003A5ACD" w:rsidRDefault="003A5ACD" w:rsidP="003A5ACD">
                      <w:pPr>
                        <w:spacing w:line="240" w:lineRule="auto"/>
                      </w:pPr>
                      <w:r>
                        <w:t xml:space="preserve">For the ten countries with the highest absolute daily number of deaths, the lines show the cumulative number of cases reported in that country at each date in time in (A) linear and (B) logarithmic scales. The logarithmic scale helps visualize early exponential growth. This data, available thanks to Johns Hopkins University, was last updated on March 29, </w:t>
                      </w:r>
                      <w:proofErr w:type="gramStart"/>
                      <w:r>
                        <w:t>2022</w:t>
                      </w:r>
                      <w:proofErr w:type="gramEnd"/>
                      <w:r>
                        <w:t xml:space="preserve"> at 06:34 AM EDT. </w:t>
                      </w:r>
                    </w:p>
                  </w:txbxContent>
                </v:textbox>
                <w10:anchorlock/>
              </v:shape>
            </w:pict>
          </mc:Fallback>
        </mc:AlternateContent>
      </w:r>
    </w:p>
    <w:p w14:paraId="014EFE94" w14:textId="65B7C0F8" w:rsidR="003A5ACD" w:rsidRPr="00AF69D1" w:rsidRDefault="003A5ACD" w:rsidP="003A5ACD">
      <w:pPr>
        <w:ind w:firstLine="720"/>
        <w:rPr>
          <w:rFonts w:eastAsia="Times New Roman" w:cs="Times New Roman"/>
          <w:color w:val="000000"/>
          <w:szCs w:val="24"/>
        </w:rPr>
      </w:pPr>
      <w:r w:rsidRPr="003E5113">
        <w:rPr>
          <w:rFonts w:cs="Times New Roman"/>
          <w:bCs/>
          <w:szCs w:val="24"/>
        </w:rPr>
        <w:t xml:space="preserve">As several research labs including my own were forced to shut down </w:t>
      </w:r>
      <w:r>
        <w:rPr>
          <w:rFonts w:cs="Times New Roman"/>
          <w:bCs/>
          <w:szCs w:val="24"/>
        </w:rPr>
        <w:t>while</w:t>
      </w:r>
      <w:r w:rsidRPr="003E5113">
        <w:rPr>
          <w:rFonts w:cs="Times New Roman"/>
          <w:bCs/>
          <w:szCs w:val="24"/>
        </w:rPr>
        <w:t xml:space="preserve"> we cowered in fear and hid from the deadly, airborne virus</w:t>
      </w:r>
      <w:r>
        <w:rPr>
          <w:rFonts w:cs="Times New Roman"/>
          <w:bCs/>
          <w:szCs w:val="24"/>
        </w:rPr>
        <w:t xml:space="preserve">, </w:t>
      </w:r>
      <w:r w:rsidRPr="003E5113">
        <w:rPr>
          <w:rFonts w:cs="Times New Roman"/>
          <w:bCs/>
          <w:szCs w:val="24"/>
        </w:rPr>
        <w:t xml:space="preserve">scientists </w:t>
      </w:r>
      <w:r>
        <w:rPr>
          <w:rFonts w:cs="Times New Roman"/>
          <w:bCs/>
          <w:szCs w:val="24"/>
        </w:rPr>
        <w:t>everywhere</w:t>
      </w:r>
      <w:r w:rsidRPr="003E5113">
        <w:rPr>
          <w:rFonts w:cs="Times New Roman"/>
          <w:bCs/>
          <w:szCs w:val="24"/>
        </w:rPr>
        <w:t xml:space="preserve"> </w:t>
      </w:r>
      <w:r>
        <w:rPr>
          <w:rFonts w:cs="Times New Roman"/>
          <w:bCs/>
          <w:szCs w:val="24"/>
        </w:rPr>
        <w:t xml:space="preserve">were implored to </w:t>
      </w:r>
      <w:r w:rsidRPr="003E5113">
        <w:rPr>
          <w:rFonts w:cs="Times New Roman"/>
          <w:bCs/>
          <w:szCs w:val="24"/>
        </w:rPr>
        <w:t>rall</w:t>
      </w:r>
      <w:r>
        <w:rPr>
          <w:rFonts w:cs="Times New Roman"/>
          <w:bCs/>
          <w:szCs w:val="24"/>
        </w:rPr>
        <w:t>y</w:t>
      </w:r>
      <w:r w:rsidRPr="003E5113">
        <w:rPr>
          <w:rFonts w:cs="Times New Roman"/>
          <w:bCs/>
          <w:szCs w:val="24"/>
        </w:rPr>
        <w:t xml:space="preserve"> together to fight off </w:t>
      </w:r>
      <w:r>
        <w:rPr>
          <w:rFonts w:cs="Times New Roman"/>
          <w:bCs/>
          <w:szCs w:val="24"/>
        </w:rPr>
        <w:t xml:space="preserve">the </w:t>
      </w:r>
      <w:r w:rsidRPr="003E5113">
        <w:rPr>
          <w:rFonts w:cs="Times New Roman"/>
          <w:bCs/>
          <w:szCs w:val="24"/>
        </w:rPr>
        <w:t>novel coronavirus SARS-CoV-2</w:t>
      </w:r>
      <w:r>
        <w:rPr>
          <w:rFonts w:cs="Times New Roman"/>
          <w:bCs/>
          <w:szCs w:val="24"/>
        </w:rPr>
        <w:t xml:space="preserve"> in attempts to bring an end to the</w:t>
      </w:r>
      <w:r w:rsidRPr="003E5113">
        <w:rPr>
          <w:rFonts w:cs="Times New Roman"/>
          <w:bCs/>
          <w:szCs w:val="24"/>
        </w:rPr>
        <w:t xml:space="preserve"> global pandemic</w:t>
      </w:r>
      <w:r>
        <w:rPr>
          <w:rFonts w:cs="Times New Roman"/>
          <w:bCs/>
          <w:szCs w:val="24"/>
        </w:rPr>
        <w:t>. For example, i</w:t>
      </w:r>
      <w:r>
        <w:rPr>
          <w:rFonts w:eastAsia="Times New Roman" w:cs="Times New Roman"/>
          <w:color w:val="000000"/>
          <w:szCs w:val="24"/>
        </w:rPr>
        <w:t xml:space="preserve">n response to this ongoing public health emergency, the Center for Systems Science </w:t>
      </w:r>
      <w:r>
        <w:rPr>
          <w:rFonts w:eastAsia="Times New Roman" w:cs="Times New Roman"/>
          <w:color w:val="000000"/>
          <w:szCs w:val="24"/>
        </w:rPr>
        <w:lastRenderedPageBreak/>
        <w:t xml:space="preserve">and Engineering (CSSE) at Johns Hopkins University in Baltimore, Maryland developed an online interactive dashboard to visualize and track reported COVID-19 cases in real time. First shared publicly on January 22, 2020, it helped to provide </w:t>
      </w:r>
      <w:bookmarkStart w:id="100" w:name="_Hlk100252685"/>
      <w:r>
        <w:rPr>
          <w:rFonts w:eastAsia="Times New Roman" w:cs="Times New Roman"/>
          <w:color w:val="000000"/>
          <w:szCs w:val="24"/>
        </w:rPr>
        <w:t xml:space="preserve">researchers, public health authorities, and the general public </w:t>
      </w:r>
      <w:bookmarkEnd w:id="100"/>
      <w:r>
        <w:rPr>
          <w:rFonts w:eastAsia="Times New Roman" w:cs="Times New Roman"/>
          <w:color w:val="000000"/>
          <w:szCs w:val="24"/>
        </w:rPr>
        <w:t>with a user-friendly tool to track the outbreak as it unfolds.</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{"citationID":"UrQFKjas","properties":{"formattedCitation":"\\super 110\\nosupersub{}","plainCitation":"110","noteIndex":0},"citationItems":[{"id":699,"uris":["http://zotero.org/users/6503767/items/7VY6TGWK"],"itemData":{"id":699,"type":"article-journal","abstract":"Cross-border healthcare is an international agreement for the provision of out of country healthcare for citizens of partnered countries. The European Union (EU) has established itself as a world leader in cross-border healthcare. During the Coronavirus disease of 2019 (COVID-19) pandemic, the EU used this system to maximize utilization of resources. Countries with capacity accepted critically ill patients from overwhelmed nations, borders remained open to healthcare workers and those seeking medical care in an effort to share the burden of this pandemic. Significant research into the challenges and successes of cross-border healthcare was completed prior to COVID-19, which demonstrated significant benefit for patients.\nIn North America, the response to the COVID-19 crisis has been more isolationist. The Canada-United States border has been closed and bans placed on healthcare workers crossing the border for work. Prior to COVID-19, cross-border healthcare was rare in North America despite its need. We reviewed the literature surrounding cross-border healthcare in the EU, as well as the need for a similar system in North America. We found the EU cross-border healthcare agreements are generally mutually beneficial for participating countries. The North American literature suggested a cross-border healthcare system is feasible. A number of challenges could be identified based on the EU experience. A prior agreement may have been beneficial during the COVID-19 crisis as many Canadian healthcare institutions-maintained capacity to accept critically ill patients.\nIn addition to the tremendous loss of life due to coronavirus disease 2019 (COVID-19), the pandemic created challenges for the energy system, as strict confinement measures such as lockdown and social distancing compelled by governments worldwide resulted in a significant reduction in energy demand. In this study, a novel, quantitative and uncomplex method for estimating the energy consumption loss due to the pandemic, which was derived from epidemiological data in the beginning stages, is provided; the method bonds a data-driven prediction (LSTM network) of energy consumption due to COVID-19 to an econometric model (ARDL) so that the long- and short-term impact can be synthesized with adequate statistical validation. The results show that energy loss is statistically correlated with the time-changing effective reproductive number (Rt) of the disease, which can be viewed as quantifying confinement intensity and the severity of the earlier stages of the pandemic. We detected a 1.62% decrease in electricity consumption loss caused by each percent decrease in Rt on average. We verify our method by applying it to Germany and 5 U.S. states with various social features and discuss implications and universality. Our results bridge the knowledge gap between key energy and epidemiological parameters and provide policymakers with a more precise estimate of the pandemic’s impact on electricity demand so that strategies can be formulated to minimize losses caused by similar crises.","container-title":"The Lancet Infectious Diseases","DOI":"10.1016/S1473-3099(20)30120-1","ISSN":"1473-3099","issue":"5","journalAbbreviation":"The Lancet Infectious Diseases","language":"en","page":"533-534","source":"ScienceDirect","title":"An interactive web-based dashboard to track COVID-19 in real time","volume":"20","author":[{"family":"Dong","given":"Ensheng"},{"family":"Du","given":"Hongru"},{"family":"Gardner","given":"Lauren"}],"issued":{"date-parts":[["2020",5,1]]}}}],"schema":"https://github.com/citation-style-language/schema/raw/master/csl-citation.json"}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110</w:t>
      </w:r>
      <w:r>
        <w:rPr>
          <w:rFonts w:eastAsia="Times New Roman" w:cs="Times New Roman"/>
          <w:color w:val="000000"/>
          <w:szCs w:val="24"/>
        </w:rPr>
        <w:fldChar w:fldCharType="end"/>
      </w:r>
      <w:r>
        <w:rPr>
          <w:rFonts w:eastAsia="Times New Roman" w:cs="Times New Roman"/>
          <w:color w:val="000000"/>
          <w:szCs w:val="24"/>
        </w:rPr>
        <w:t xml:space="preserve"> The exponential growth of cumulative COVID-19 cases in the ten </w:t>
      </w:r>
      <w:r>
        <w:t>countries with the highest absolute daily number of deaths is visualized in</w:t>
      </w:r>
      <w:r w:rsidR="00EF1230">
        <w:rPr>
          <w:b/>
          <w:bCs/>
        </w:rPr>
        <w:t xml:space="preserve"> </w:t>
      </w:r>
      <w:r w:rsidR="00EF1230" w:rsidRPr="00EF1230">
        <w:rPr>
          <w:b/>
          <w:bCs/>
        </w:rPr>
        <w:fldChar w:fldCharType="begin"/>
      </w:r>
      <w:r w:rsidR="00EF1230" w:rsidRPr="00EF1230">
        <w:rPr>
          <w:b/>
          <w:bCs/>
        </w:rPr>
        <w:instrText xml:space="preserve"> REF _Ref100743248 \h  \* MERGEFORMAT </w:instrText>
      </w:r>
      <w:r w:rsidR="00EF1230" w:rsidRPr="00EF1230">
        <w:rPr>
          <w:b/>
          <w:bCs/>
        </w:rPr>
      </w:r>
      <w:r w:rsidR="00EF1230" w:rsidRPr="00EF1230">
        <w:rPr>
          <w:b/>
          <w:bCs/>
        </w:rPr>
        <w:fldChar w:fldCharType="separate"/>
      </w:r>
      <w:r w:rsidR="00AA5AAC" w:rsidRPr="00AA5AAC">
        <w:rPr>
          <w:b/>
          <w:bCs/>
        </w:rPr>
        <w:t>Figure 1.11</w:t>
      </w:r>
      <w:r w:rsidR="00EF1230" w:rsidRPr="00EF1230">
        <w:rPr>
          <w:b/>
          <w:bCs/>
        </w:rPr>
        <w:fldChar w:fldCharType="end"/>
      </w:r>
      <w:r>
        <w:t xml:space="preserve">, thanks to their database. </w:t>
      </w:r>
      <w:r>
        <w:rPr>
          <w:rFonts w:eastAsia="Times New Roman" w:cs="Times New Roman"/>
          <w:color w:val="000000"/>
          <w:szCs w:val="24"/>
        </w:rPr>
        <w:t>As of March 2022, over two years into the pandemic, COVID-19 has infected over 480 million people resulting in over six million deaths.</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{"citationID":"1LmzuaDG","properties":{"formattedCitation":"\\super 110\\nosupersub{}","plainCitation":"110","noteIndex":0},"citationItems":[{"id":699,"uris":["http://zotero.org/users/6503767/items/7VY6TGWK"],"itemData":{"id":699,"type":"article-journal","abstract":"Cross-border healthcare is an international agreement for the provision of out of country healthcare for citizens of partnered countries. The European Union (EU) has established itself as a world leader in cross-border healthcare. During the Coronavirus disease of 2019 (COVID-19) pandemic, the EU used this system to maximize utilization of resources. Countries with capacity accepted critically ill patients from overwhelmed nations, borders remained open to healthcare workers and those seeking medical care in an effort to share the burden of this pandemic. Significant research into the challenges and successes of cross-border healthcare was completed prior to COVID-19, which demonstrated significant benefit for patients.\nIn North America, the response to the COVID-19 crisis has been more isolationist. The Canada-United States border has been closed and bans placed on healthcare workers crossing the border for work. Prior to COVID-19, cross-border healthcare was rare in North America despite its need. We reviewed the literature surrounding cross-border healthcare in the EU, as well as the need for a similar system in North America. We found the EU cross-border healthcare agreements are generally mutually beneficial for participating countries. The North American literature suggested a cross-border healthcare system is feasible. A number of challenges could be identified based on the EU experience. A prior agreement may have been beneficial during the COVID-19 crisis as many Canadian healthcare institutions-maintained capacity to accept critically ill patients.\nIn addition to the tremendous loss of life due to coronavirus disease 2019 (COVID-19), the pandemic created challenges for the energy system, as strict confinement measures such as lockdown and social distancing compelled by governments worldwide resulted in a significant reduction in energy demand. In this study, a novel, quantitative and uncomplex method for estimating the energy consumption loss due to the pandemic, which was derived from epidemiological data in the beginning stages, is provided; the method bonds a data-driven prediction (LSTM network) of energy consumption due to COVID-19 to an econometric model (ARDL) so that the long- and short-term impact can be synthesized with adequate statistical validation. The results show that energy loss is statistically correlated with the time-changing effective reproductive number (Rt) of the disease, which can be viewed as quantifying confinement intensity and the severity of the earlier stages of the pandemic. We detected a 1.62% decrease in electricity consumption loss caused by each percent decrease in Rt on average. We verify our method by applying it to Germany and 5 U.S. states with various social features and discuss implications and universality. Our results bridge the knowledge gap between key energy and epidemiological parameters and provide policymakers with a more precise estimate of the pandemic’s impact on electricity demand so that strategies can be formulated to minimize losses caused by similar crises.","container-title":"The Lancet Infectious Diseases","DOI":"10.1016/S1473-3099(20)30120-1","ISSN":"1473-3099","issue":"5","journalAbbreviation":"The Lancet Infectious Diseases","language":"en","page":"533-534","source":"ScienceDirect","title":"An interactive web-based dashboard to track COVID-19 in real time","volume":"20","author":[{"family":"Dong","given":"Ensheng"},{"family":"Du","given":"Hongru"},{"family":"Gardner","given":"Lauren"}],"issued":{"date-parts":[["2020",5,1]]}}}],"schema":"https://github.com/citation-style-language/schema/raw/master/csl-citation.json"}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110</w:t>
      </w:r>
      <w:r>
        <w:rPr>
          <w:rFonts w:eastAsia="Times New Roman" w:cs="Times New Roman"/>
          <w:color w:val="000000"/>
          <w:szCs w:val="24"/>
        </w:rPr>
        <w:fldChar w:fldCharType="end"/>
      </w:r>
      <w:r>
        <w:rPr>
          <w:rFonts w:eastAsia="Times New Roman" w:cs="Times New Roman"/>
          <w:color w:val="000000"/>
          <w:szCs w:val="24"/>
        </w:rPr>
        <w:t xml:space="preserve"> </w:t>
      </w:r>
    </w:p>
    <w:p w14:paraId="4E891688" w14:textId="77777777" w:rsidR="003A5ACD" w:rsidRDefault="003A5ACD" w:rsidP="003A5ACD">
      <w:pPr>
        <w:ind w:firstLine="720"/>
        <w:rPr>
          <w:rFonts w:cs="Times New Roman"/>
          <w:bCs/>
          <w:szCs w:val="24"/>
        </w:rPr>
      </w:pPr>
      <w:bookmarkStart w:id="101" w:name="_Hlk100253148"/>
      <w:r>
        <w:rPr>
          <w:rFonts w:cs="Times New Roman"/>
          <w:bCs/>
          <w:szCs w:val="24"/>
        </w:rPr>
        <w:t xml:space="preserve">On a personal note, when the University of Oklahoma forced the closure of research labs starting on </w:t>
      </w:r>
      <w:r w:rsidRPr="003E5113">
        <w:rPr>
          <w:rFonts w:cs="Times New Roman"/>
          <w:bCs/>
          <w:szCs w:val="24"/>
        </w:rPr>
        <w:t>March</w:t>
      </w:r>
      <w:r>
        <w:rPr>
          <w:rFonts w:cs="Times New Roman"/>
          <w:bCs/>
          <w:szCs w:val="24"/>
        </w:rPr>
        <w:t xml:space="preserve"> 24,</w:t>
      </w:r>
      <w:r w:rsidRPr="003E5113">
        <w:rPr>
          <w:rFonts w:cs="Times New Roman"/>
          <w:bCs/>
          <w:szCs w:val="24"/>
        </w:rPr>
        <w:t xml:space="preserve"> 2020, </w:t>
      </w:r>
      <w:r>
        <w:rPr>
          <w:rFonts w:cs="Times New Roman"/>
          <w:bCs/>
          <w:szCs w:val="24"/>
        </w:rPr>
        <w:t>with no plans of reopening, it was the</w:t>
      </w:r>
      <w:r w:rsidRPr="003E5113">
        <w:rPr>
          <w:rFonts w:cs="Times New Roman"/>
          <w:bCs/>
          <w:szCs w:val="24"/>
        </w:rPr>
        <w:t xml:space="preserve"> first time in my </w:t>
      </w:r>
      <w:r>
        <w:rPr>
          <w:rFonts w:cs="Times New Roman"/>
          <w:bCs/>
          <w:szCs w:val="24"/>
        </w:rPr>
        <w:t>scientific career</w:t>
      </w:r>
      <w:r w:rsidRPr="003E5113">
        <w:rPr>
          <w:rFonts w:cs="Times New Roman"/>
          <w:bCs/>
          <w:szCs w:val="24"/>
        </w:rPr>
        <w:t xml:space="preserve"> where I was incapable and unallowed to continue research</w:t>
      </w:r>
      <w:r>
        <w:rPr>
          <w:rFonts w:cs="Times New Roman"/>
          <w:bCs/>
          <w:szCs w:val="24"/>
        </w:rPr>
        <w:t>.</w:t>
      </w:r>
      <w:r w:rsidRPr="003E5113">
        <w:rPr>
          <w:rFonts w:cs="Times New Roman"/>
          <w:bCs/>
          <w:szCs w:val="24"/>
        </w:rPr>
        <w:t xml:space="preserve"> </w:t>
      </w:r>
      <w:r>
        <w:rPr>
          <w:rFonts w:cs="Times New Roman"/>
          <w:bCs/>
          <w:szCs w:val="24"/>
        </w:rPr>
        <w:t xml:space="preserve">Working from home as a synthetic chemist proved to be rather difficult and, ultimately, unproductive, so </w:t>
      </w:r>
      <w:r w:rsidRPr="003E5113">
        <w:rPr>
          <w:rFonts w:cs="Times New Roman"/>
          <w:bCs/>
          <w:szCs w:val="24"/>
        </w:rPr>
        <w:t>when my university generously requested for research proposals to join in the fight against COVID-19, I jumped at the chance of returning to the lab</w:t>
      </w:r>
      <w:r>
        <w:rPr>
          <w:rFonts w:cs="Times New Roman"/>
          <w:bCs/>
          <w:szCs w:val="24"/>
        </w:rPr>
        <w:t>. My colleague, Quentin Avila, and I</w:t>
      </w:r>
      <w:r w:rsidRPr="003E5113">
        <w:rPr>
          <w:rFonts w:cs="Times New Roman"/>
          <w:bCs/>
          <w:szCs w:val="24"/>
        </w:rPr>
        <w:t xml:space="preserve"> </w:t>
      </w:r>
      <w:r>
        <w:rPr>
          <w:rFonts w:cs="Times New Roman"/>
          <w:bCs/>
          <w:szCs w:val="24"/>
        </w:rPr>
        <w:t xml:space="preserve">worked together to </w:t>
      </w:r>
      <w:r w:rsidRPr="003E5113">
        <w:rPr>
          <w:rFonts w:cs="Times New Roman"/>
          <w:bCs/>
          <w:szCs w:val="24"/>
        </w:rPr>
        <w:t>submit</w:t>
      </w:r>
      <w:r>
        <w:rPr>
          <w:rFonts w:cs="Times New Roman"/>
          <w:bCs/>
          <w:szCs w:val="24"/>
        </w:rPr>
        <w:t xml:space="preserve"> </w:t>
      </w:r>
      <w:r w:rsidRPr="003E5113">
        <w:rPr>
          <w:rFonts w:cs="Times New Roman"/>
          <w:bCs/>
          <w:szCs w:val="24"/>
        </w:rPr>
        <w:t xml:space="preserve">a proposal where </w:t>
      </w:r>
      <w:r>
        <w:rPr>
          <w:rFonts w:cs="Times New Roman"/>
          <w:bCs/>
          <w:szCs w:val="24"/>
        </w:rPr>
        <w:t>we</w:t>
      </w:r>
      <w:r w:rsidRPr="003E5113">
        <w:rPr>
          <w:rFonts w:cs="Times New Roman"/>
          <w:bCs/>
          <w:szCs w:val="24"/>
        </w:rPr>
        <w:t xml:space="preserve"> </w:t>
      </w:r>
      <w:r>
        <w:rPr>
          <w:rFonts w:cs="Times New Roman"/>
          <w:bCs/>
          <w:szCs w:val="24"/>
        </w:rPr>
        <w:t xml:space="preserve">aimed to </w:t>
      </w:r>
      <w:r w:rsidRPr="003E5113">
        <w:rPr>
          <w:rFonts w:cs="Times New Roman"/>
          <w:bCs/>
          <w:szCs w:val="24"/>
        </w:rPr>
        <w:t xml:space="preserve">translate our lab’s small molecule research into creating a library of SARS-CoV-2 main protease </w:t>
      </w:r>
      <w:r w:rsidRPr="003E5113">
        <w:rPr>
          <w:rFonts w:cs="Times New Roman"/>
          <w:szCs w:val="24"/>
        </w:rPr>
        <w:t>(</w:t>
      </w:r>
      <w:proofErr w:type="spellStart"/>
      <w:r w:rsidRPr="003E5113">
        <w:rPr>
          <w:rFonts w:cs="Times New Roman"/>
          <w:szCs w:val="24"/>
        </w:rPr>
        <w:t>M</w:t>
      </w:r>
      <w:r w:rsidRPr="003E5113">
        <w:rPr>
          <w:rFonts w:cs="Times New Roman"/>
          <w:szCs w:val="24"/>
          <w:vertAlign w:val="superscript"/>
        </w:rPr>
        <w:t>pro</w:t>
      </w:r>
      <w:proofErr w:type="spellEnd"/>
      <w:r w:rsidRPr="003E5113">
        <w:rPr>
          <w:rFonts w:cs="Times New Roman"/>
          <w:szCs w:val="24"/>
        </w:rPr>
        <w:t>)</w:t>
      </w:r>
      <w:r w:rsidRPr="003E5113">
        <w:rPr>
          <w:rFonts w:cs="Times New Roman"/>
          <w:bCs/>
          <w:szCs w:val="24"/>
        </w:rPr>
        <w:t xml:space="preserve"> inhibitors. </w:t>
      </w:r>
      <w:bookmarkEnd w:id="101"/>
      <w:r>
        <w:rPr>
          <w:rFonts w:cs="Times New Roman"/>
          <w:bCs/>
          <w:szCs w:val="24"/>
        </w:rPr>
        <w:t xml:space="preserve">The following work funded by the COVID-19-Related Rapid Response Research Seed Grant will be discussed in </w:t>
      </w:r>
      <w:r w:rsidRPr="007C6256">
        <w:rPr>
          <w:rFonts w:cs="Times New Roman"/>
          <w:b/>
          <w:szCs w:val="24"/>
        </w:rPr>
        <w:t>Chapter 4</w:t>
      </w:r>
      <w:r>
        <w:rPr>
          <w:rFonts w:cs="Times New Roman"/>
          <w:bCs/>
          <w:szCs w:val="24"/>
        </w:rPr>
        <w:t>.</w:t>
      </w:r>
    </w:p>
    <w:p w14:paraId="7C324408" w14:textId="1468574C" w:rsidR="003A5ACD" w:rsidRDefault="003A5ACD" w:rsidP="003A5ACD">
      <w:pPr>
        <w:pStyle w:val="Subsection"/>
      </w:pPr>
      <w:bookmarkStart w:id="102" w:name="_Toc100241883"/>
      <w:bookmarkStart w:id="103" w:name="_Toc102586247"/>
      <w:r>
        <w:t>1.3.2 Introduction to SARS-CoV-2 protease inhibitors</w:t>
      </w:r>
      <w:bookmarkEnd w:id="102"/>
      <w:r w:rsidR="00143C5D">
        <w:t>.</w:t>
      </w:r>
      <w:bookmarkEnd w:id="103"/>
    </w:p>
    <w:p w14:paraId="78849523" w14:textId="4173A639" w:rsidR="006055EE" w:rsidRDefault="006055EE" w:rsidP="006055EE">
      <w:pPr>
        <w:spacing w:after="0"/>
        <w:ind w:firstLine="720"/>
        <w:rPr>
          <w:rFonts w:eastAsia="Times New Roman" w:cs="Times New Roman"/>
          <w:noProof/>
          <w:color w:val="000000"/>
          <w:szCs w:val="24"/>
        </w:rPr>
      </w:pPr>
      <w:bookmarkStart w:id="104" w:name="_Hlk100254330"/>
      <w:r>
        <w:rPr>
          <w:rFonts w:eastAsia="Times New Roman" w:cs="Times New Roman"/>
          <w:color w:val="000000"/>
          <w:szCs w:val="24"/>
        </w:rPr>
        <w:t xml:space="preserve">Despite the tragedy that comes with pandemic-lethal viruses, we are fortunate to utilize data gathered during previous coronavirus-related epidemics outbreaks in order to advance our knowledge and develop treatment options for the new SARS-CoV-2. </w:t>
      </w:r>
      <w:bookmarkEnd w:id="104"/>
      <w:r>
        <w:rPr>
          <w:rFonts w:eastAsia="Times New Roman" w:cs="Times New Roman"/>
          <w:color w:val="000000"/>
          <w:szCs w:val="24"/>
        </w:rPr>
        <w:t>SARS-CoV-2 shares 82% sequence homology with the 2003 severe acute respiratory syndrome coronavirus (SARS-</w:t>
      </w:r>
      <w:proofErr w:type="spellStart"/>
      <w:r>
        <w:rPr>
          <w:rFonts w:eastAsia="Times New Roman" w:cs="Times New Roman"/>
          <w:color w:val="000000"/>
          <w:szCs w:val="24"/>
        </w:rPr>
        <w:t>CoV</w:t>
      </w:r>
      <w:proofErr w:type="spellEnd"/>
      <w:r>
        <w:rPr>
          <w:rFonts w:eastAsia="Times New Roman" w:cs="Times New Roman"/>
          <w:color w:val="000000"/>
          <w:szCs w:val="24"/>
        </w:rPr>
        <w:t>).</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{"citationID":"3fYRFOC9","properties":{"formattedCitation":"\\super 111\\nosupersub{}","plainCitation":"111","noteIndex":0},"citationItems":[{"id":693,"uris":["http://zotero.org/users/6503767/items/EJ33QEYY"],"itemData":{"id":693,"type":"article-journal","abstract":"With the current trajectory of the 2019‐nCoV outbreak unknown, public health and medicinal measures will both be needed to contain spreading of the virus and to optimize patient outcomes. Although little is known about the virus, an examination of the genome sequence shows strong homology with its better‐studied cousin, SARS‐CoV. The spike protein used for host cell infection shows key nonsynonymous mutations that might hamper the efficacy of previously developed therapeutics but remains a viable target for the development of biologics and macrocyclic peptides. Other key drug targets, including RNA‐dependent RNA polymerase and coronavirus main proteinase (3CLpro), share a strikingly high (&gt;95 %) homology to SARS‐CoV. Herein, we suggest four potential drug candidates (an ACE2‐based peptide, remdesivir, 3CLpro‐1 and a novel vinylsulfone protease inhibitor) that could be used to treat patients suffering with the 2019‐nCoV. We also summarize previous efforts into drugging these targets and hope to help in the development of broad‐spectrum anti‐coronaviral agents for future epidemics., \nWhat′s sauce for the goose? Little is known about the coronavirus causing the current outbreak; however, it shares strong sequence homology with its better‐studied cousin SARS‐CoV. Based on previous studies of targeting SARS‐CoV, we suggest four potential candidates that could be used to drug the viral spike protein, RNA‐dependent RNA polymerase, and coronavirus main proteinase.","container-title":"Chembiochem","DOI":"10.1002/cbic.202000047","ISSN":"1439-4227","issue":"5","journalAbbreviation":"Chembiochem","note":"PMID: 32022370\nPMCID: PMC7162020","page":"730-738","source":"PubMed Central","title":"Learning from the Past: Possible Urgent Prevention and Treatment Options for Severe Acute Respiratory Infections Caused by 2019‐nCoV","title-short":"Learning from the Past","volume":"21","author":[{"family":"Morse","given":"Jared S."},{"family":"Lalonde","given":"Tyler"},{"family":"Xu","given":"Shiqing"},{"family":"Liu","given":"Wenshe Ray"}],"issued":{"date-parts":[["2020",3,2]]}}}],"schema":"https://github.com/citation-style-language/schema/raw/master/csl-citation.json"}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111</w:t>
      </w:r>
      <w:r>
        <w:rPr>
          <w:rFonts w:eastAsia="Times New Roman" w:cs="Times New Roman"/>
          <w:color w:val="000000"/>
          <w:szCs w:val="24"/>
        </w:rPr>
        <w:fldChar w:fldCharType="end"/>
      </w:r>
      <w:r>
        <w:rPr>
          <w:rFonts w:eastAsia="Times New Roman" w:cs="Times New Roman"/>
          <w:color w:val="000000"/>
          <w:szCs w:val="24"/>
        </w:rPr>
        <w:t xml:space="preserve"> Another human coronavirus associated with the Middle East respiratory syndrome (MERS-</w:t>
      </w:r>
      <w:proofErr w:type="spellStart"/>
      <w:r>
        <w:rPr>
          <w:rFonts w:eastAsia="Times New Roman" w:cs="Times New Roman"/>
          <w:color w:val="000000"/>
          <w:szCs w:val="24"/>
        </w:rPr>
        <w:t>CoV</w:t>
      </w:r>
      <w:proofErr w:type="spellEnd"/>
      <w:r>
        <w:rPr>
          <w:rFonts w:eastAsia="Times New Roman" w:cs="Times New Roman"/>
          <w:color w:val="000000"/>
          <w:szCs w:val="24"/>
        </w:rPr>
        <w:t xml:space="preserve">) </w:t>
      </w:r>
      <w:r>
        <w:rPr>
          <w:rFonts w:eastAsia="Times New Roman" w:cs="Times New Roman"/>
          <w:color w:val="000000"/>
          <w:szCs w:val="24"/>
        </w:rPr>
        <w:lastRenderedPageBreak/>
        <w:t>killed ~36% (584 of 1621) of patients infected globally, mainly in Saudi Arabia and South Korea.</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{"citationID":"RUgjMTyV","properties":{"formattedCitation":"\\super 112\\nosupersub{}","plainCitation":"112","noteIndex":0},"citationItems":[{"id":28,"uris":["http://zotero.org/users/6503767/items/FDS3E84Q"],"itemData":{"id":28,"type":"article-journal","abstract":"Severe acute respiratory syndrome (SARS) led to a life-threatening form of atypical pneumonia in late 2002. Following that, Middle East Respiratory Syndrome (MERS-CoV) has recently emerged, killing about 36% of patients infected globally, mainly in Saudi Arabia and South Korea. Based on a scaffold we reported for inhibiting neuraminidase (NA), we synthesized the analogues and identiﬁed compounds with low micromolar inhibitory activity against 3CLpro of SARS-CoV and MERS-CoV. Docking studies show that a carboxylate present at either R1 or R4 destabilizes the oxyanion hole in the 3CLpro. Interestingly, 3f, 3g and 3m could inhibit both NA and 3CLpro and serve as a starting point to develop broad-spectrum antiviral agents.","container-title":"Bioorganic &amp; Medicinal Chemistry","DOI":"10.1016/j.bmc.2016.05.013","ISSN":"09680896","issue":"13","journalAbbreviation":"Bioorganic &amp; Medicinal Chemistry","language":"en","page":"3035-3042","source":"DOI.org (Crossref)","title":"Identification, synthesis and evaluation of SARS-CoV and MERS-CoV 3C-like protease inhibitors","volume":"24","author":[{"family":"Kumar","given":"Vathan"},{"family":"Tan","given":"Kian-Pin"},{"family":"Wang","given":"Ying-Ming"},{"family":"Lin","given":"Sheng-Wei"},{"family":"Liang","given":"Po-Huang"}],"issued":{"date-parts":[["2016",7]]}}}],"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112</w:t>
      </w:r>
      <w:r>
        <w:rPr>
          <w:rFonts w:eastAsia="Times New Roman" w:cs="Times New Roman"/>
          <w:color w:val="000000"/>
          <w:szCs w:val="24"/>
        </w:rPr>
        <w:fldChar w:fldCharType="end"/>
      </w:r>
      <w:r>
        <w:rPr>
          <w:rFonts w:eastAsia="Times New Roman" w:cs="Times New Roman"/>
          <w:color w:val="000000"/>
          <w:szCs w:val="24"/>
        </w:rPr>
        <w:t xml:space="preserve"> Clinical presentation of COVID-19 also seem to resemble SARS-</w:t>
      </w:r>
      <w:proofErr w:type="spellStart"/>
      <w:r>
        <w:rPr>
          <w:rFonts w:eastAsia="Times New Roman" w:cs="Times New Roman"/>
          <w:color w:val="000000"/>
          <w:szCs w:val="24"/>
        </w:rPr>
        <w:t>CoV</w:t>
      </w:r>
      <w:proofErr w:type="spellEnd"/>
      <w:r>
        <w:rPr>
          <w:rFonts w:eastAsia="Times New Roman" w:cs="Times New Roman"/>
          <w:color w:val="000000"/>
          <w:szCs w:val="24"/>
        </w:rPr>
        <w:t xml:space="preserve"> infections.</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{"citationID":"QOn1B1q9","properties":{"formattedCitation":"\\super 113\\nosupersub{}","plainCitation":"113","noteIndex":0},"citationItems":[{"id":907,"uris":["http://zotero.org/users/6503767/items/6CUMFY5W"],"itemData":{"id":907,"type":"article-journal","abstract":"Background\nA recent cluster of pneumonia cases in Wuhan, China, was caused by a novel betacoronavirus, the 2019 novel coronavirus (2019-nCoV). We report the epidemiological, clinical, laboratory, and radiological characteristics and treatment and clinical outcomes of these patients.\n\nMethods\nAll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not.\n\nFindings\nBy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TNFα.\n\nInterpretation\nThe 2019-nCoV infection caused clusters of severe respiratory illness similar to severe acute respiratory syndrome coronavirus and was associated with ICU admission and high mortality. Major gaps in our knowledge of the origin, epidemiology, duration of human transmission, and clinical spectrum of disease need fulfilment by future studies.\n\nFunding\nMinistry of Science and Technology, Chinese Academy of Medical Sciences, National Natural Science Foundation of China, and Beijing Municipal Science and Technology Commission.","container-title":"Lancet (London, England)","DOI":"10.1016/S0140-6736(20)30183-5","ISSN":"0140-6736","issue":"10223","journalAbbreviation":"Lancet","note":"PMID: 31986264\nPMCID: PMC7159299","page":"497-506","source":"PubMed Central","title":"Clinical features of patients infected with 2019 novel coronavirus in Wuhan, China","volume":"395","author":[{"family":"Huang","given":"Chaolin"},{"family":"Wang","given":"Yeming"},{"family":"Li","given":"Xingwang"},{"family":"Ren","given":"Lili"},{"family":"Zhao","given":"Jianping"},{"family":"Hu","given":"Yi"},{"family":"Zhang","given":"Li"},{"family":"Fan","given":"Guohui"},{"family":"Xu","given":"Jiuyang"},{"family":"Gu","given":"Xiaoying"},{"family":"Cheng","given":"Zhenshun"},{"family":"Yu","given":"Ting"},{"family":"Xia","given":"Jiaan"},{"family":"Wei","given":"Yuan"},{"family":"Wu","given":"Wenjuan"},{"family":"Xie","given":"Xuelei"},{"family":"Yin","given":"Wen"},{"family":"Li","given":"Hui"},{"family":"Liu","given":"Min"},{"family":"Xiao","given":"Yan"},{"family":"Gao","given":"Hong"},{"family":"Guo","given":"Li"},{"family":"Xie","given":"Jungang"},{"family":"Wang","given":"Guangfa"},{"family":"Jiang","given":"Rongmeng"},{"family":"Gao","given":"Zhancheng"},{"family":"Jin","given":"Qi"},{"family":"Wang","given":"Jianwei"},{"family":"Cao","given":"Bin"}],"issued":{"date-parts":[["2020"]]}}}],"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113</w:t>
      </w:r>
      <w:r>
        <w:rPr>
          <w:rFonts w:eastAsia="Times New Roman" w:cs="Times New Roman"/>
          <w:color w:val="000000"/>
          <w:szCs w:val="24"/>
        </w:rPr>
        <w:fldChar w:fldCharType="end"/>
      </w:r>
    </w:p>
    <w:p w14:paraId="2329277A" w14:textId="2FE910DF" w:rsidR="006055EE" w:rsidRDefault="006055EE" w:rsidP="003A5ACD">
      <w:pPr>
        <w:ind w:firstLine="720"/>
        <w:rPr>
          <w:rFonts w:eastAsia="Times New Roman" w:cs="Times New Roman"/>
          <w:color w:val="000000"/>
          <w:szCs w:val="24"/>
        </w:rPr>
      </w:pPr>
      <w:r>
        <w:rPr>
          <w:rFonts w:eastAsia="Times New Roman" w:cs="Times New Roman"/>
          <w:color w:val="000000"/>
          <w:szCs w:val="24"/>
        </w:rPr>
        <w:t>Since SARS-CoV-2 exhibits significant homology to previous variants, along with the availability of its genome sequence,</w:t>
      </w:r>
      <w:r>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{"citationID":"I9K8Ekc4","properties":{"formattedCitation":"\\super 114\\nosupersub{}","plainCitation":"114","noteIndex":0},"citationItems":[{"id":719,"uris":["http://zotero.org/users/6503767/items/KFWCWXE6"],"itemData":{"id":719,"type":"article-journal","abstract":"Emerging infectious diseases, such as severe acute respiratory syndrome (SARS) and Zika virus disease, present a major threat to public health1-3. Despite intense research efforts, how, when and where new diseases appear are still a source of considerable uncertainty. A severe respiratory disease was recently reported in Wuhan, Hubei province, China. As of 25 January 2020, at least 1,975 cases had been reported since the first patient was hospitalized on 12 December 2019. Epidemiological investigations have suggested that the outbreak was associated with a seafood market in Wuhan. Here we study a single patient who was a worker at the market and who was admitted to the Central Hospital of Wuhan on 26 December 2019 while experiencing a severe respiratory syndrome that included fever, dizziness and a cough. Metagenomic RNA sequencing4 of a sample of bronchoalveolar lavage fluid from the patient identified a new RNA virus strain from the family Coronaviridae, which is designated here 'WH-Human 1' coronavirus (and has also been referred to as '2019-nCoV'). Phylogenetic analysis of the complete viral genome (29,903 nucleotides) revealed that the virus was most closely related (89.1% nucleotide similarity) to a group of SARS-like coronaviruses (genus Betacoronavirus, subgenus Sarbecovirus) that had previously been found in bats in China5. This outbreak highlights the ongoing ability of viral spill-over from animals to cause severe disease in humans.","container-title":"Nature","DOI":"10.1038/s41586-020-2008-3","ISSN":"1476-4687","issue":"7798","journalAbbreviation":"Nature","language":"eng","note":"PMID: 32015508\nPMCID: PMC7094943","page":"265-269","source":"PubMed","title":"A new coronavirus associated with human respiratory disease in China","volume":"579","author":[{"family":"Wu","given":"Fan"},{"family":"Zhao","given":"Su"},{"family":"Yu","given":"Bin"},{"family":"Chen","given":"Yan-Mei"},{"family":"Wang","given":"Wen"},{"family":"Song","given":"Zhi-Gang"},{"family":"Hu","given":"Yi"},{"family":"Tao","given":"Zhao-Wu"},{"family":"Tian","given":"Jun-Hua"},{"family":"Pei","given":"Yuan-Yuan"},{"family":"Yuan","given":"Ming-Li"},{"family":"Zhang","given":"Yu-Ling"},{"family":"Dai","given":"Fa-Hui"},{"family":"Liu","given":"Yi"},{"family":"Wang","given":"Qi-Min"},{"family":"Zheng","given":"Jiao-Jiao"},{"family":"Xu","given":"Lin"},{"family":"Holmes","given":"Edward C."},{"family":"Zhang","given":"Yong-Zhen"}],"issued":{"date-parts":[["2020",3]]}}}],"schema":"https://github.com/citation-style-language/schema/raw/master/csl-citation.json"} </w:instrText>
      </w:r>
      <w:r>
        <w:rPr>
          <w:rFonts w:eastAsia="Times New Roman" w:cs="Times New Roman"/>
          <w:color w:val="000000"/>
          <w:szCs w:val="24"/>
        </w:rPr>
        <w:fldChar w:fldCharType="separate"/>
      </w:r>
      <w:r w:rsidR="00B26382" w:rsidRPr="00B26382">
        <w:rPr>
          <w:rFonts w:cs="Times New Roman"/>
          <w:szCs w:val="24"/>
          <w:vertAlign w:val="superscript"/>
        </w:rPr>
        <w:t>114</w:t>
      </w:r>
      <w:r>
        <w:rPr>
          <w:rFonts w:eastAsia="Times New Roman" w:cs="Times New Roman"/>
          <w:color w:val="000000"/>
          <w:szCs w:val="24"/>
        </w:rPr>
        <w:fldChar w:fldCharType="end"/>
      </w:r>
      <w:r>
        <w:rPr>
          <w:rFonts w:eastAsia="Times New Roman" w:cs="Times New Roman"/>
          <w:color w:val="000000"/>
          <w:szCs w:val="24"/>
        </w:rPr>
        <w:t xml:space="preserve"> </w:t>
      </w:r>
      <w:r w:rsidRPr="00EB2B40">
        <w:rPr>
          <w:rFonts w:eastAsia="Times New Roman" w:cs="Times New Roman"/>
          <w:i/>
          <w:iCs/>
          <w:color w:val="000000"/>
          <w:szCs w:val="24"/>
        </w:rPr>
        <w:t>in silico</w:t>
      </w:r>
      <w:r>
        <w:rPr>
          <w:rFonts w:eastAsia="Times New Roman" w:cs="Times New Roman"/>
          <w:color w:val="000000"/>
          <w:szCs w:val="24"/>
        </w:rPr>
        <w:t xml:space="preserve"> modeling and computational drug screening proved to be a useful technique to accelerate drug discovery programs. To advance our efforts even more quickly, drugs either already approved by the Food and Drug Administration (FDA) or currently in the pipeline provided a suitable starting point. </w:t>
      </w:r>
      <w:r w:rsidR="003A5ACD" w:rsidRPr="003E5113">
        <w:rPr>
          <w:rFonts w:eastAsia="Times New Roman" w:cs="Times New Roman"/>
          <w:color w:val="000000"/>
          <w:szCs w:val="24"/>
        </w:rPr>
        <w:t>The current approach for discovering new coronavirus treatment options remains limited to drug repurposing.</w:t>
      </w:r>
      <w:r w:rsidR="003A5ACD" w:rsidRPr="003E5113">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{"citationID":"asyi2cNv","properties":{"formattedCitation":"\\super 115\\nosupersub{}","plainCitation":"115","noteIndex":0},"citationItems":[{"id":12,"uris":["http://zotero.org/users/6503767/items/8YF6ZUBS"],"itemData":{"id":12,"type":"article-journal","container-title":"Drug Discovery Today","DOI":"10.1016/j.drudis.2020.01.015","ISSN":"13596446","journalAbbreviation":"Drug Discovery Today","language":"en","page":"S1359644620300416","source":"DOI.org (Crossref)","title":"Recent discovery and development of inhibitors targeting coronaviruses","author":[{"family":"Pillaiyar","given":"Thanigaimalai"},{"family":"Meenakshisundaram","given":"Sangeetha"},{"family":"Manickam","given":"Manoj"}],"issued":{"date-parts":[["2020",1]]}}}],"schema":"https://github.com/citation-style-language/schema/raw/master/csl-citation.json"} </w:instrText>
      </w:r>
      <w:r w:rsidR="003A5ACD" w:rsidRPr="003E5113">
        <w:rPr>
          <w:rFonts w:eastAsia="Times New Roman" w:cs="Times New Roman"/>
          <w:color w:val="000000"/>
          <w:szCs w:val="24"/>
        </w:rPr>
        <w:fldChar w:fldCharType="separate"/>
      </w:r>
      <w:r w:rsidR="00B26382" w:rsidRPr="00B26382">
        <w:rPr>
          <w:rFonts w:cs="Times New Roman"/>
          <w:szCs w:val="24"/>
          <w:vertAlign w:val="superscript"/>
        </w:rPr>
        <w:t>115</w:t>
      </w:r>
      <w:r w:rsidR="003A5ACD" w:rsidRPr="003E5113">
        <w:rPr>
          <w:rFonts w:eastAsia="Times New Roman" w:cs="Times New Roman"/>
          <w:color w:val="000000"/>
          <w:szCs w:val="24"/>
        </w:rPr>
        <w:fldChar w:fldCharType="end"/>
      </w:r>
      <w:r w:rsidR="003A5ACD" w:rsidRPr="003E5113">
        <w:rPr>
          <w:rFonts w:eastAsia="Times New Roman" w:cs="Times New Roman"/>
          <w:color w:val="000000"/>
          <w:szCs w:val="24"/>
        </w:rPr>
        <w:t xml:space="preserve"> Broadly acting antivirals, </w:t>
      </w:r>
      <w:proofErr w:type="spellStart"/>
      <w:r w:rsidR="003A5ACD" w:rsidRPr="003E5113">
        <w:rPr>
          <w:rFonts w:eastAsia="Times New Roman" w:cs="Times New Roman"/>
          <w:color w:val="000000"/>
          <w:szCs w:val="24"/>
        </w:rPr>
        <w:t>antiparasitics</w:t>
      </w:r>
      <w:proofErr w:type="spellEnd"/>
      <w:r w:rsidR="003A5ACD" w:rsidRPr="003E5113">
        <w:rPr>
          <w:rFonts w:eastAsia="Times New Roman" w:cs="Times New Roman"/>
          <w:color w:val="000000"/>
          <w:szCs w:val="24"/>
        </w:rPr>
        <w:t>, and antibiotics are being employed to treat COVID-19 clinically</w:t>
      </w:r>
      <w:r w:rsidR="003A5ACD" w:rsidRPr="00EA7D2A">
        <w:rPr>
          <w:rFonts w:eastAsia="Times New Roman" w:cs="Times New Roman"/>
          <w:color w:val="000000"/>
          <w:szCs w:val="24"/>
        </w:rPr>
        <w:t>,</w:t>
      </w:r>
      <w:r w:rsidR="003A5ACD">
        <w:rPr>
          <w:rFonts w:eastAsia="Times New Roman" w:cs="Times New Roman"/>
          <w:color w:val="000000"/>
          <w:szCs w:val="24"/>
        </w:rPr>
        <w:t xml:space="preserve"> usually with emergency authorization,</w:t>
      </w:r>
      <w:r w:rsidR="003A5ACD" w:rsidRPr="00EA7D2A">
        <w:rPr>
          <w:rFonts w:eastAsia="Times New Roman" w:cs="Times New Roman"/>
          <w:color w:val="000000"/>
          <w:szCs w:val="24"/>
        </w:rPr>
        <w:t xml:space="preserve"> but no effective </w:t>
      </w:r>
      <w:r w:rsidR="003A5ACD">
        <w:rPr>
          <w:rFonts w:eastAsia="Times New Roman" w:cs="Times New Roman"/>
          <w:color w:val="000000"/>
          <w:szCs w:val="24"/>
        </w:rPr>
        <w:t xml:space="preserve">chemotherapeutic that specifically targets </w:t>
      </w:r>
      <w:r w:rsidR="003A5ACD" w:rsidRPr="003E5113">
        <w:rPr>
          <w:rFonts w:cs="Times New Roman"/>
          <w:bCs/>
          <w:szCs w:val="24"/>
        </w:rPr>
        <w:t>SARS-CoV-2</w:t>
      </w:r>
      <w:r w:rsidR="003A5ACD">
        <w:rPr>
          <w:rFonts w:cs="Times New Roman"/>
          <w:bCs/>
          <w:szCs w:val="24"/>
        </w:rPr>
        <w:t xml:space="preserve"> proteins </w:t>
      </w:r>
      <w:r w:rsidR="003A5ACD" w:rsidRPr="00EA7D2A">
        <w:rPr>
          <w:rFonts w:eastAsia="Times New Roman" w:cs="Times New Roman"/>
          <w:color w:val="000000"/>
          <w:szCs w:val="24"/>
        </w:rPr>
        <w:t xml:space="preserve">has </w:t>
      </w:r>
      <w:r w:rsidR="003A5ACD">
        <w:rPr>
          <w:rFonts w:eastAsia="Times New Roman" w:cs="Times New Roman"/>
          <w:color w:val="000000"/>
          <w:szCs w:val="24"/>
        </w:rPr>
        <w:t>yet to be successfully brought to market</w:t>
      </w:r>
      <w:r w:rsidR="003A5ACD" w:rsidRPr="00EA7D2A">
        <w:rPr>
          <w:rFonts w:eastAsia="Times New Roman" w:cs="Times New Roman"/>
          <w:color w:val="000000"/>
          <w:szCs w:val="24"/>
        </w:rPr>
        <w:t>.</w:t>
      </w:r>
      <w:r w:rsidR="003A5ACD" w:rsidRPr="003E5113">
        <w:rPr>
          <w:rFonts w:eastAsia="Times New Roman" w:cs="Times New Roman"/>
          <w:color w:val="000000"/>
          <w:szCs w:val="24"/>
        </w:rPr>
        <w:t xml:space="preserve"> </w:t>
      </w:r>
    </w:p>
    <w:p w14:paraId="4E621817" w14:textId="540B5A03" w:rsidR="00CA7D34" w:rsidRDefault="003A5ACD" w:rsidP="003A5ACD">
      <w:pPr>
        <w:ind w:firstLine="720"/>
        <w:rPr>
          <w:rFonts w:eastAsia="Times New Roman" w:cs="Times New Roman"/>
          <w:color w:val="000000"/>
          <w:szCs w:val="24"/>
        </w:rPr>
      </w:pPr>
      <w:r w:rsidRPr="003E5113">
        <w:rPr>
          <w:rFonts w:eastAsia="Times New Roman" w:cs="Times New Roman"/>
          <w:color w:val="000000"/>
          <w:szCs w:val="24"/>
        </w:rPr>
        <w:t xml:space="preserve">Two proteins gaining significant traction for their essential role in virus-mediated RNA replication are the </w:t>
      </w:r>
      <w:r w:rsidRPr="003E5113">
        <w:rPr>
          <w:rFonts w:cs="Times New Roman"/>
          <w:szCs w:val="24"/>
        </w:rPr>
        <w:t>3-chymotrypsin-like protease (3CL</w:t>
      </w:r>
      <w:r w:rsidRPr="003E5113">
        <w:rPr>
          <w:rFonts w:cs="Times New Roman"/>
          <w:szCs w:val="24"/>
          <w:vertAlign w:val="superscript"/>
        </w:rPr>
        <w:t>pro</w:t>
      </w:r>
      <w:r w:rsidRPr="003E5113">
        <w:rPr>
          <w:rFonts w:cs="Times New Roman"/>
          <w:szCs w:val="24"/>
        </w:rPr>
        <w:t>), also known as the main protease (</w:t>
      </w:r>
      <w:proofErr w:type="spellStart"/>
      <w:r w:rsidRPr="003E5113">
        <w:rPr>
          <w:rFonts w:cs="Times New Roman"/>
          <w:szCs w:val="24"/>
        </w:rPr>
        <w:t>M</w:t>
      </w:r>
      <w:r w:rsidRPr="003E5113">
        <w:rPr>
          <w:rFonts w:cs="Times New Roman"/>
          <w:szCs w:val="24"/>
          <w:vertAlign w:val="superscript"/>
        </w:rPr>
        <w:t>pro</w:t>
      </w:r>
      <w:proofErr w:type="spellEnd"/>
      <w:r w:rsidRPr="003E5113">
        <w:rPr>
          <w:rFonts w:cs="Times New Roman"/>
          <w:szCs w:val="24"/>
        </w:rPr>
        <w:t>),</w:t>
      </w:r>
      <w:r>
        <w:rPr>
          <w:rFonts w:cs="Times New Roman"/>
          <w:szCs w:val="24"/>
        </w:rPr>
        <w:fldChar w:fldCharType="begin"/>
      </w:r>
      <w:r w:rsidR="00B26382">
        <w:rPr>
          <w:rFonts w:cs="Times New Roman"/>
          <w:szCs w:val="24"/>
        </w:rPr>
        <w:instrText xml:space="preserve"> ADDIN ZOTERO_ITEM CSL_CITATION {"citationID":"3qkbIK5h","properties":{"formattedCitation":"\\super 116\\nosupersub{}","plainCitation":"116","noteIndex":0},"citationItems":[{"id":8,"uris":["http://zotero.org/users/6503767/items/W58SJPUV"],"itemData":{"id":8,"type":"article-journal","abstract":"A non-prime site substituent and warheads combined with a decahydroisoquinolin scaffold was evaluated as a novel inhibitor for severe acute respiratory syndrome (SARS) chymotrypsin-like protease (3CLpro). The decahydroisoquinolin scaffold has been demonstrated to be an effective hydrophobic center to interact with S2 site of SARS 3CLpro, but the lack of interactions at S3 to S4 site is thought to be a major reason for the moderate inhibitory activity. In this study, the effects of an additional non-prime site substituent on the scaffold as well as effects of several warheads are evaluated. For the introduction of a desired non-prime site substituent, amino functionality was introduced on the decahydroisoquinolin scaffold, and the scaffold was constructed by Pd(II) catalyzed diastereoselective ring formation. The synthesized decahydroisoquinolin inhibitors showed about 2.4 times potent inhibitory activities for SARS 3CLpro when combined with a non-prime site substituent. The present results indicated not only the expected additional interactions with the SARS 3CLpro but also the possibility of new inhibitors containing a fused-ring system as a hydrophobic scaffold and a new warhead such as thioacetal.","container-title":"Bioorganic &amp; Medicinal Chemistry","DOI":"10.1016/j.bmc.2018.12.019","ISSN":"09680896","issue":"2","journalAbbreviation":"Bioorganic &amp; Medicinal Chemistry","language":"en","page":"425-435","source":"DOI.org (Crossref)","title":"Evaluation of a non-prime site substituent and warheads combined with a decahydroisoquinolin scaffold as a SARS 3CL protease inhibitor","volume":"27","author":[{"family":"Ohnishi","given":"Kouji"},{"family":"Hattori","given":"Yasunao"},{"family":"Kobayashi","given":"Kazuya"},{"family":"Akaji","given":"Kenichi"}],"issued":{"date-parts":[["2019",1]]}}}],"schema":"https://github.com/citation-style-language/schema/raw/master/csl-citation.json"} </w:instrText>
      </w:r>
      <w:r>
        <w:rPr>
          <w:rFonts w:cs="Times New Roman"/>
          <w:szCs w:val="24"/>
        </w:rPr>
        <w:fldChar w:fldCharType="separate"/>
      </w:r>
      <w:r w:rsidR="00B26382" w:rsidRPr="00B26382">
        <w:rPr>
          <w:rFonts w:cs="Times New Roman"/>
          <w:szCs w:val="24"/>
          <w:vertAlign w:val="superscript"/>
        </w:rPr>
        <w:t>116</w:t>
      </w:r>
      <w:r>
        <w:rPr>
          <w:rFonts w:cs="Times New Roman"/>
          <w:szCs w:val="24"/>
        </w:rPr>
        <w:fldChar w:fldCharType="end"/>
      </w:r>
      <w:r w:rsidRPr="003E5113">
        <w:rPr>
          <w:rFonts w:eastAsia="Times New Roman" w:cs="Times New Roman"/>
          <w:color w:val="000000"/>
          <w:szCs w:val="24"/>
        </w:rPr>
        <w:t xml:space="preserve"> and the papain-like protease (</w:t>
      </w:r>
      <w:proofErr w:type="spellStart"/>
      <w:r w:rsidRPr="003E5113">
        <w:rPr>
          <w:rFonts w:eastAsia="Times New Roman" w:cs="Times New Roman"/>
          <w:color w:val="000000"/>
          <w:szCs w:val="24"/>
        </w:rPr>
        <w:t>PL</w:t>
      </w:r>
      <w:r w:rsidRPr="003E5113">
        <w:rPr>
          <w:rFonts w:eastAsia="Times New Roman" w:cs="Times New Roman"/>
          <w:color w:val="000000"/>
          <w:szCs w:val="24"/>
          <w:vertAlign w:val="superscript"/>
        </w:rPr>
        <w:t>pro</w:t>
      </w:r>
      <w:proofErr w:type="spellEnd"/>
      <w:r w:rsidRPr="003E5113">
        <w:rPr>
          <w:rFonts w:eastAsia="Times New Roman" w:cs="Times New Roman"/>
          <w:color w:val="000000"/>
          <w:szCs w:val="24"/>
        </w:rPr>
        <w:t>).</w:t>
      </w:r>
      <w:r w:rsidRPr="003E5113">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{"citationID":"aTOKq1ik","properties":{"formattedCitation":"\\super 117\\nosupersub{}","plainCitation":"117","noteIndex":0},"citationItems":[{"id":2,"uris":["http://zotero.org/users/6503767/items/6I87C3FJ"],"itemData":{"id":2,"type":"article-journal","abstract":"The cases of 2019 novel coronavirus (SARS-CoV-2) infection have been continuously increasing ever since its outbreak in China last December. Currently, there are no approved drugs to treat the infection. In this scenario, there is a need to utilize the existing repertoire of FDA approved drugs to treat the disease. The rational selection of these drugs could be made by testing their ability to inhibit any SARS-CoV-2 proteins essential for viral life-cycle. We chose one such crucial viral protein, the papain-like protease (PLpro), to screen the FDA approved drugs in silico. The homology model of the protease was built based on the SARS-coronavirus PLpro structure, and the drugs were docked in S3/S4 pockets of the active site of the enzyme. In our docking studies, sixteen FDA approved drugs, including chloroquine and formoterol, was found to bind the target enzyme with significant affinity and good geometry, suggesting their potential to be utilized against the virus.","language":"en","page":"8","source":"Zotero","title":"Potential inhibitors against papain-like protease of novel coronavirus (SARS-CoV-2) from FDA approved drugs","author":[{"family":"Arya","given":"Rimanshee"},{"family":"Das","given":"Amit"},{"family":"Prashar","given":"Vishal"},{"family":"Kumar","given":"Mukesh"}]}}],"schema":"https://github.com/citation-style-language/schema/raw/master/csl-citation.json"} </w:instrText>
      </w:r>
      <w:r w:rsidRPr="003E5113">
        <w:rPr>
          <w:rFonts w:eastAsia="Times New Roman" w:cs="Times New Roman"/>
          <w:color w:val="000000"/>
          <w:szCs w:val="24"/>
        </w:rPr>
        <w:fldChar w:fldCharType="separate"/>
      </w:r>
      <w:r w:rsidR="00B26382" w:rsidRPr="00B26382">
        <w:rPr>
          <w:rFonts w:cs="Times New Roman"/>
          <w:szCs w:val="24"/>
          <w:vertAlign w:val="superscript"/>
        </w:rPr>
        <w:t>117</w:t>
      </w:r>
      <w:r w:rsidRPr="003E5113">
        <w:rPr>
          <w:rFonts w:eastAsia="Times New Roman" w:cs="Times New Roman"/>
          <w:color w:val="000000"/>
          <w:szCs w:val="24"/>
        </w:rPr>
        <w:fldChar w:fldCharType="end"/>
      </w:r>
      <w:r w:rsidRPr="003E5113">
        <w:rPr>
          <w:rFonts w:eastAsia="Times New Roman" w:cs="Times New Roman"/>
          <w:color w:val="000000"/>
          <w:szCs w:val="24"/>
        </w:rPr>
        <w:t xml:space="preserve"> </w:t>
      </w:r>
      <w:r w:rsidR="00CA7D34">
        <w:rPr>
          <w:rFonts w:eastAsia="Times New Roman" w:cs="Times New Roman"/>
          <w:color w:val="000000"/>
          <w:szCs w:val="24"/>
        </w:rPr>
        <w:t>A comparison of the MERS-</w:t>
      </w:r>
      <w:proofErr w:type="spellStart"/>
      <w:r w:rsidR="00CA7D34">
        <w:rPr>
          <w:rFonts w:eastAsia="Times New Roman" w:cs="Times New Roman"/>
          <w:color w:val="000000"/>
          <w:szCs w:val="24"/>
        </w:rPr>
        <w:t>CoV</w:t>
      </w:r>
      <w:proofErr w:type="spellEnd"/>
      <w:r w:rsidR="00CA7D34">
        <w:rPr>
          <w:rFonts w:eastAsia="Times New Roman" w:cs="Times New Roman"/>
          <w:color w:val="000000"/>
          <w:szCs w:val="24"/>
        </w:rPr>
        <w:t>, SARS-</w:t>
      </w:r>
      <w:proofErr w:type="spellStart"/>
      <w:r w:rsidR="00CA7D34">
        <w:rPr>
          <w:rFonts w:eastAsia="Times New Roman" w:cs="Times New Roman"/>
          <w:color w:val="000000"/>
          <w:szCs w:val="24"/>
        </w:rPr>
        <w:t>CoV</w:t>
      </w:r>
      <w:proofErr w:type="spellEnd"/>
      <w:r w:rsidR="00CA7D34">
        <w:rPr>
          <w:rFonts w:eastAsia="Times New Roman" w:cs="Times New Roman"/>
          <w:color w:val="000000"/>
          <w:szCs w:val="24"/>
        </w:rPr>
        <w:t xml:space="preserve">, and SARS-CoV-2 </w:t>
      </w:r>
      <w:proofErr w:type="spellStart"/>
      <w:r w:rsidR="00CA7D34">
        <w:rPr>
          <w:rFonts w:eastAsia="Times New Roman" w:cs="Times New Roman"/>
          <w:color w:val="000000"/>
          <w:szCs w:val="24"/>
        </w:rPr>
        <w:t>M</w:t>
      </w:r>
      <w:r w:rsidR="00CA7D34" w:rsidRPr="00C251C4">
        <w:rPr>
          <w:rFonts w:eastAsia="Times New Roman" w:cs="Times New Roman"/>
          <w:color w:val="000000"/>
          <w:szCs w:val="24"/>
          <w:vertAlign w:val="superscript"/>
        </w:rPr>
        <w:t>pro</w:t>
      </w:r>
      <w:proofErr w:type="spellEnd"/>
      <w:r w:rsidR="00CA7D34">
        <w:rPr>
          <w:rFonts w:eastAsia="Times New Roman" w:cs="Times New Roman"/>
          <w:color w:val="000000"/>
          <w:szCs w:val="24"/>
        </w:rPr>
        <w:t xml:space="preserve"> sequence revealed that the SARS-CoV-2 </w:t>
      </w:r>
      <w:proofErr w:type="spellStart"/>
      <w:r w:rsidR="00CA7D34">
        <w:rPr>
          <w:rFonts w:eastAsia="Times New Roman" w:cs="Times New Roman"/>
          <w:color w:val="000000"/>
          <w:szCs w:val="24"/>
        </w:rPr>
        <w:t>M</w:t>
      </w:r>
      <w:r w:rsidR="00CA7D34" w:rsidRPr="00C251C4">
        <w:rPr>
          <w:rFonts w:eastAsia="Times New Roman" w:cs="Times New Roman"/>
          <w:color w:val="000000"/>
          <w:szCs w:val="24"/>
          <w:vertAlign w:val="superscript"/>
        </w:rPr>
        <w:t>pro</w:t>
      </w:r>
      <w:proofErr w:type="spellEnd"/>
      <w:r w:rsidR="00CA7D34">
        <w:rPr>
          <w:rFonts w:eastAsia="Times New Roman" w:cs="Times New Roman"/>
          <w:color w:val="000000"/>
          <w:szCs w:val="24"/>
        </w:rPr>
        <w:t xml:space="preserve"> is 96% and 51% similar to SARS-</w:t>
      </w:r>
      <w:proofErr w:type="spellStart"/>
      <w:r w:rsidR="00CA7D34">
        <w:rPr>
          <w:rFonts w:eastAsia="Times New Roman" w:cs="Times New Roman"/>
          <w:color w:val="000000"/>
          <w:szCs w:val="24"/>
        </w:rPr>
        <w:t>CoV</w:t>
      </w:r>
      <w:proofErr w:type="spellEnd"/>
      <w:r w:rsidR="00CA7D34">
        <w:rPr>
          <w:rFonts w:eastAsia="Times New Roman" w:cs="Times New Roman"/>
          <w:color w:val="000000"/>
          <w:szCs w:val="24"/>
        </w:rPr>
        <w:t xml:space="preserve"> and MERS-</w:t>
      </w:r>
      <w:proofErr w:type="spellStart"/>
      <w:r w:rsidR="00CA7D34">
        <w:rPr>
          <w:rFonts w:eastAsia="Times New Roman" w:cs="Times New Roman"/>
          <w:color w:val="000000"/>
          <w:szCs w:val="24"/>
        </w:rPr>
        <w:t>CoV</w:t>
      </w:r>
      <w:proofErr w:type="spellEnd"/>
      <w:r w:rsidR="00CA7D34">
        <w:rPr>
          <w:rFonts w:eastAsia="Times New Roman" w:cs="Times New Roman"/>
          <w:color w:val="000000"/>
          <w:szCs w:val="24"/>
        </w:rPr>
        <w:t>, respectively.</w:t>
      </w:r>
      <w:r w:rsidR="00CA7D34">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{"citationID":"1VkH0uPW","properties":{"formattedCitation":"\\super 118\\nosupersub{}","plainCitation":"118","noteIndex":0},"citationItems":[{"id":855,"uris":["http://zotero.org/users/6503767/items/YWCSE7HM"],"itemData":{"id":855,"type":"article-journal","abstract":"β-coronavirus (CoVs) alone has been responsible for three major global outbreaks in the 21st century. The current crisis has led to an urgent requirement to develop therapeutics. Even though a number of vaccines are available, alternative strategies targeting essential viral components are required as a backup against the emergence of lethal viral variants. One such target is the main protease (Mpro) that plays an indispensable role in viral replication. The availability of over 270 Mpro X-ray structures in complex with inhibitors provides unique insights into ligand–protein interactions. Herein, we provide a comprehensive comparison of all nonredundant ligand-binding sites available for SARS-CoV2, SARS-CoV, and MERS-CoV Mpro. Extensive adaptive sampling has been used to investigate structural conservation of ligand-binding sites using Markov state models (MSMs) and compare conformational dynamics employing convolutional variational auto-encoder-based deep learning. Our results indicate that not all ligand-binding sites are dynamically conserved despite high sequence and structural conservation across β-CoV homologs. This highlights the complexity in targeting all three Mpro enzymes with a single pan inhibitor.","container-title":"Journal of Chemical Information and Modeling","DOI":"10.1021/acs.jcim.1c00449","ISSN":"1549-9596","issue":"6","journalAbbreviation":"J. Chem. Inf. Model.","note":"publisher: American Chemical Society","page":"3058-3073","source":"ACS Publications","title":"Dynamic Profiling of β-Coronavirus 3CL Mpro Protease Ligand-Binding Sites","volume":"61","author":[{"family":"Cho","given":"Eunice"},{"family":"Rosa","given":"Margarida"},{"family":"Anjum","given":"Ruhi"},{"family":"Mehmood","given":"Saman"},{"family":"Soban","given":"Mariya"},{"family":"Mujtaba","given":"Moniza"},{"family":"Bux","given":"Khair"},{"family":"Moin","given":"Syed T."},{"family":"Tanweer","given":"Mohammad"},{"family":"Dantu","given":"Sarath"},{"family":"Pandini","given":"Alessandro"},{"family":"Yin","given":"Junqi"},{"family":"Ma","given":"Heng"},{"family":"Ramanathan","given":"Arvind"},{"family":"Islam","given":"Barira"},{"family":"Mey","given":"Antonia S. J. S."},{"family":"Bhowmik","given":"Debsindhu"},{"family":"Haider","given":"Shozeb"}],"issued":{"date-parts":[["2021",6,28]]}}}],"schema":"https://github.com/citation-style-language/schema/raw/master/csl-citation.json"} </w:instrText>
      </w:r>
      <w:r w:rsidR="00CA7D34">
        <w:rPr>
          <w:rFonts w:eastAsia="Times New Roman" w:cs="Times New Roman"/>
          <w:color w:val="000000"/>
          <w:szCs w:val="24"/>
        </w:rPr>
        <w:fldChar w:fldCharType="separate"/>
      </w:r>
      <w:r w:rsidR="00B26382" w:rsidRPr="00B26382">
        <w:rPr>
          <w:rFonts w:cs="Times New Roman"/>
          <w:szCs w:val="24"/>
          <w:vertAlign w:val="superscript"/>
        </w:rPr>
        <w:t>118</w:t>
      </w:r>
      <w:r w:rsidR="00CA7D34">
        <w:rPr>
          <w:rFonts w:eastAsia="Times New Roman" w:cs="Times New Roman"/>
          <w:color w:val="000000"/>
          <w:szCs w:val="24"/>
        </w:rPr>
        <w:fldChar w:fldCharType="end"/>
      </w:r>
      <w:r w:rsidR="00CA7D34">
        <w:rPr>
          <w:rFonts w:eastAsia="Times New Roman" w:cs="Times New Roman"/>
          <w:color w:val="000000"/>
          <w:szCs w:val="24"/>
        </w:rPr>
        <w:t xml:space="preserve"> </w:t>
      </w:r>
    </w:p>
    <w:p w14:paraId="0B18E22F" w14:textId="11CED88B" w:rsidR="003A5ACD" w:rsidRPr="00735E73" w:rsidRDefault="003A5ACD" w:rsidP="003A5ACD">
      <w:pPr>
        <w:ind w:firstLine="720"/>
        <w:rPr>
          <w:rFonts w:cs="Times New Roman"/>
          <w:szCs w:val="24"/>
        </w:rPr>
      </w:pPr>
      <w:r w:rsidRPr="003E5113">
        <w:rPr>
          <w:rFonts w:eastAsia="Times New Roman" w:cs="Times New Roman"/>
          <w:color w:val="000000"/>
          <w:szCs w:val="24"/>
        </w:rPr>
        <w:t xml:space="preserve">Since our lab had previously designed </w:t>
      </w:r>
      <w:r>
        <w:t>protease</w:t>
      </w:r>
      <w:r>
        <w:fldChar w:fldCharType="begin"/>
      </w:r>
      <w:r w:rsidR="00B26382">
        <w:instrText xml:space="preserve"> ADDIN ZOTERO_ITEM CSL_CITATION {"citationID":"Wrx3Hofe","properties":{"formattedCitation":"\\super 119\\nosupersub{}","plainCitation":"119","noteIndex":0},"citationItems":[{"id":563,"uris":["http://zotero.org/users/6503767/items/J85PFQKF"],"itemData":{"id":563,"type":"article-journal","abstract":"Caseinolytic protease P (ClpP) has emerged as a promising new target for antibacterial development. While ClpPs from single isoform expressing bacteria have been studied in detail, the function and regulation of systems with more than one ClpP homologue are still poorly understood. Herein, we present fundamental studies toward understanding the ClpP system in C. difficile, an anaerobic spore-forming pathogen that contains two chromosomally distant isoforms of ClpP. Examination of proteomic and genomic data suggest that ClpP1 is the primary isoform responsible for normal growth and virulence, but little is known about the function of ClpP2 or the context required for the formation of functional proteases. For the first time in a pathogenic bacterium, we demonstrate that both isoforms are capable of forming operative proteases. Interestingly, ClpP1 is the only homologue that possesses characteristic response to small molecule acyldepsipeptide activation. On the contrary, both ClpP1 and ClpP2 respond to cochaperone activation to degrade an ssrA-tagged substrate. These observations indicate that ClpP2 is less susceptible to acyldepsipeptide activation but retains the ability to interact with a known cochaperone. Homology models reveal no obvious characteristics that would allow one to predict less efficient acyldepsipeptide binding. The reported findings establish the uniqueness of the ClpP system in C. difficile, open new avenues of inquiry, and highlight the importance of more detailed structural, genetic, and biological characterization of the ClpP system in C. difficile.","container-title":"ACS Infectious Diseases","DOI":"10.1021/acsinfecdis.8b00199","issue":"1","journalAbbreviation":"ACS Infect. Dis.","note":"publisher: American Chemical Society","page":"79-89","source":"ACS Publications","title":"Clostridium difficile ClpP Homologues are Capable of Uncoupled Activity and Exhibit Different Levels of Susceptibility to Acyldepsipeptide Modulation","volume":"5","author":[{"family":"Lavey","given":"Nathan P."},{"family":"Shadid","given":"Tyler"},{"family":"Ballard","given":"Jimmy D."},{"family":"Duerfeldt","given":"Adam S."}],"issued":{"date-parts":[["2019",1,11]]}}}],"schema":"https://github.com/citation-style-language/schema/raw/master/csl-citation.json"} </w:instrText>
      </w:r>
      <w:r>
        <w:fldChar w:fldCharType="separate"/>
      </w:r>
      <w:r w:rsidR="00B26382" w:rsidRPr="00B26382">
        <w:rPr>
          <w:rFonts w:cs="Times New Roman"/>
          <w:szCs w:val="24"/>
          <w:vertAlign w:val="superscript"/>
        </w:rPr>
        <w:t>119</w:t>
      </w:r>
      <w:r>
        <w:fldChar w:fldCharType="end"/>
      </w:r>
      <w:r>
        <w:t xml:space="preserve"> and phosphatase</w:t>
      </w:r>
      <w:r>
        <w:fldChar w:fldCharType="begin"/>
      </w:r>
      <w:r w:rsidR="00B26382">
        <w:instrText xml:space="preserve"> ADDIN ZOTERO_ITEM CSL_CITATION {"citationID":"W1zZSN25","properties":{"formattedCitation":"\\super 120\\nosupersub{}","plainCitation":"120","noteIndex":0},"citationItems":[{"id":95,"uris":["http://zotero.org/users/6503767/items/ZK39M2HV"],"itemData":{"id":95,"type":"article-journal","abstract":"Genetic activation of the bacterial two-component signal transduction system, CpxRA, abolishes the virulence of a number of pathogens in human and murine infection models. Recently, 2,3,4,9-tetrahydro-1H-carbazol-1amines were shown to activate the CpxRA system by inhibiting the phosphatase activity of CpxA. Herein we report the initial structure-activity relationships of this scaffold by focusing on three approaches 1) A-ring substitution, 2) B-ring deconstruction to provide N-arylated amino acid derivatives, and 3) C-ring elimination to give 2-ethylamino substituted indoles. These studies demonstrate that the A-ring is amenable to functionalization and provides a promising avenue for continued optimization of this chemotype. Further investigations revealed that the C-ring is not necessary for activity, although it likely provides conformational constraint that is beneficial to potency, and that the (R) stereochemistry is required at the primary amine. Simplification of the scaffold through deconstruction of the B-ring led to inactive compounds, highlighting the importance of the indole core. A new lead compound 26 was identified, which manifests a </w:instrText>
      </w:r>
      <w:r w:rsidR="00B26382">
        <w:rPr>
          <w:rFonts w:ascii="Cambria Math" w:hAnsi="Cambria Math" w:cs="Cambria Math"/>
        </w:rPr>
        <w:instrText>∼</w:instrText>
      </w:r>
      <w:r w:rsidR="00B26382">
        <w:instrText xml:space="preserve">30-fold improvement in CpxA phosphatase inhibition over the initial hit. Comparison of amino and des-amino derivatives in bacterial strains differing in membrane permeability and efflux capabilities demonstrate that the amine is required not only for target engagement but also for permeation and accumulation in Escherichia coli.","container-title":"Bioorganic &amp; Medicinal Chemistry Letters","DOI":"10.1016/j.bmcl.2019.05.003","ISSN":"0960894X","issue":"14","journalAbbreviation":"Bioorganic &amp; Medicinal Chemistry Letters","language":"en","page":"1836-1841","source":"DOI.org (Crossref)","title":"First-generation structure-activity relationship studies of 2,3,4,9-tetrahydro-1H-carbazol-1-amines as CpxA phosphatase inhibitors","volume":"29","author":[{"family":"Li","given":"Yangxiong"},{"family":"Gardner","given":"Jessi J."},{"family":"Fortney","given":"Katherine R."},{"family":"Leus","given":"Inga V."},{"family":"Bonifay","given":"Vincent"},{"family":"Zgurskaya","given":"Helen I."},{"family":"Pletnev","given":"Alexandre A."},{"family":"Zhang","given":"Sheng"},{"family":"Zhang","given":"Zhong-Yin"},{"family":"Gribble","given":"Gordon W."},{"family":"Spinola","given":"Stanley M."},{"family":"Duerfeldt","given":"Adam S."}],"issued":{"date-parts":[["2019",7]]}}}],"schema":"https://github.com/citation-style-language/schema/raw/master/csl-citation.json"} </w:instrText>
      </w:r>
      <w:r>
        <w:fldChar w:fldCharType="separate"/>
      </w:r>
      <w:r w:rsidR="00B26382" w:rsidRPr="00B26382">
        <w:rPr>
          <w:rFonts w:cs="Times New Roman"/>
          <w:szCs w:val="24"/>
          <w:vertAlign w:val="superscript"/>
        </w:rPr>
        <w:t>120</w:t>
      </w:r>
      <w:r>
        <w:fldChar w:fldCharType="end"/>
      </w:r>
      <w:r>
        <w:t xml:space="preserve"> </w:t>
      </w:r>
      <w:r w:rsidRPr="003E5113">
        <w:rPr>
          <w:rFonts w:eastAsia="Times New Roman" w:cs="Times New Roman"/>
          <w:color w:val="000000"/>
          <w:szCs w:val="24"/>
        </w:rPr>
        <w:t>inhibitors for bacterial targets and built a library of</w:t>
      </w:r>
      <w:r>
        <w:rPr>
          <w:rFonts w:eastAsia="Times New Roman" w:cs="Times New Roman"/>
          <w:color w:val="000000"/>
          <w:szCs w:val="24"/>
        </w:rPr>
        <w:t xml:space="preserve"> ~300</w:t>
      </w:r>
      <w:r w:rsidRPr="003E5113">
        <w:rPr>
          <w:rFonts w:eastAsia="Times New Roman" w:cs="Times New Roman"/>
          <w:color w:val="000000"/>
          <w:szCs w:val="24"/>
        </w:rPr>
        <w:t xml:space="preserve"> chemically diverse compounds, </w:t>
      </w:r>
      <w:r>
        <w:rPr>
          <w:rFonts w:eastAsia="Times New Roman" w:cs="Times New Roman"/>
          <w:color w:val="000000"/>
          <w:szCs w:val="24"/>
        </w:rPr>
        <w:t xml:space="preserve">we were well-positioned to contribute to the search for active </w:t>
      </w:r>
      <w:r w:rsidRPr="003E5113">
        <w:rPr>
          <w:rFonts w:eastAsia="Times New Roman" w:cs="Times New Roman"/>
          <w:color w:val="000000"/>
          <w:szCs w:val="24"/>
        </w:rPr>
        <w:t>SARS-CoV-2 replication inhibit</w:t>
      </w:r>
      <w:r>
        <w:rPr>
          <w:rFonts w:eastAsia="Times New Roman" w:cs="Times New Roman"/>
          <w:color w:val="000000"/>
          <w:szCs w:val="24"/>
        </w:rPr>
        <w:t>ors</w:t>
      </w:r>
      <w:r w:rsidRPr="003E5113">
        <w:rPr>
          <w:rFonts w:eastAsia="Times New Roman" w:cs="Times New Roman"/>
          <w:color w:val="000000"/>
          <w:szCs w:val="24"/>
        </w:rPr>
        <w:t xml:space="preserve">. </w:t>
      </w:r>
      <w:r w:rsidR="009E74E0">
        <w:rPr>
          <w:rFonts w:eastAsia="Times New Roman" w:cs="Times New Roman"/>
          <w:color w:val="000000"/>
          <w:szCs w:val="24"/>
        </w:rPr>
        <w:t>Several known coronavirus</w:t>
      </w:r>
      <w:r w:rsidR="009E74E0" w:rsidRPr="003E5113">
        <w:rPr>
          <w:rFonts w:eastAsia="Times New Roman" w:cs="Times New Roman"/>
          <w:color w:val="000000"/>
          <w:szCs w:val="24"/>
        </w:rPr>
        <w:t xml:space="preserve"> </w:t>
      </w:r>
      <w:proofErr w:type="spellStart"/>
      <w:r w:rsidR="009E74E0" w:rsidRPr="003E5113">
        <w:rPr>
          <w:rFonts w:eastAsia="Times New Roman" w:cs="Times New Roman"/>
          <w:color w:val="000000"/>
          <w:szCs w:val="24"/>
        </w:rPr>
        <w:t>M</w:t>
      </w:r>
      <w:r w:rsidR="009E74E0" w:rsidRPr="003E5113">
        <w:rPr>
          <w:rFonts w:eastAsia="Times New Roman" w:cs="Times New Roman"/>
          <w:color w:val="000000"/>
          <w:szCs w:val="24"/>
          <w:vertAlign w:val="superscript"/>
        </w:rPr>
        <w:t>pro</w:t>
      </w:r>
      <w:proofErr w:type="spellEnd"/>
      <w:r w:rsidR="009E74E0" w:rsidRPr="003E5113">
        <w:rPr>
          <w:rFonts w:eastAsia="Times New Roman" w:cs="Times New Roman"/>
          <w:color w:val="000000"/>
          <w:szCs w:val="24"/>
        </w:rPr>
        <w:t xml:space="preserve"> </w:t>
      </w:r>
      <w:r w:rsidR="009E74E0">
        <w:rPr>
          <w:rFonts w:eastAsia="Times New Roman" w:cs="Times New Roman"/>
          <w:color w:val="000000"/>
          <w:szCs w:val="24"/>
        </w:rPr>
        <w:t xml:space="preserve">and </w:t>
      </w:r>
      <w:proofErr w:type="spellStart"/>
      <w:r w:rsidR="009E74E0" w:rsidRPr="003E5113">
        <w:rPr>
          <w:rFonts w:eastAsia="Times New Roman" w:cs="Times New Roman"/>
          <w:color w:val="000000"/>
          <w:szCs w:val="24"/>
        </w:rPr>
        <w:t>PL</w:t>
      </w:r>
      <w:r w:rsidR="009E74E0" w:rsidRPr="003E5113">
        <w:rPr>
          <w:rFonts w:eastAsia="Times New Roman" w:cs="Times New Roman"/>
          <w:color w:val="000000"/>
          <w:szCs w:val="24"/>
          <w:vertAlign w:val="superscript"/>
        </w:rPr>
        <w:t>pro</w:t>
      </w:r>
      <w:proofErr w:type="spellEnd"/>
      <w:r w:rsidR="009E74E0" w:rsidRPr="003E5113">
        <w:rPr>
          <w:rFonts w:eastAsia="Times New Roman" w:cs="Times New Roman"/>
          <w:color w:val="000000"/>
          <w:szCs w:val="24"/>
        </w:rPr>
        <w:t xml:space="preserve"> inhibitors</w:t>
      </w:r>
      <w:r w:rsidR="009E74E0">
        <w:rPr>
          <w:rFonts w:eastAsia="Times New Roman" w:cs="Times New Roman"/>
          <w:color w:val="000000"/>
          <w:szCs w:val="24"/>
        </w:rPr>
        <w:t xml:space="preserve"> contain structural similarities to existing compounds in the Duerfeldt lab small molecule library. </w:t>
      </w:r>
    </w:p>
    <w:p w14:paraId="54A9E284" w14:textId="77777777" w:rsidR="003A5ACD" w:rsidRPr="003E5113" w:rsidRDefault="003A5ACD" w:rsidP="00816DE7">
      <w:pPr>
        <w:spacing w:after="0"/>
        <w:rPr>
          <w:rFonts w:eastAsia="Times New Roman" w:cs="Times New Roman"/>
          <w:color w:val="000000"/>
          <w:szCs w:val="24"/>
        </w:rPr>
      </w:pPr>
      <w:r w:rsidRPr="001F6310">
        <w:rPr>
          <w:rFonts w:eastAsia="Times New Roman" w:cs="Times New Roman"/>
          <w:noProof/>
          <w:color w:val="000000"/>
          <w:szCs w:val="24"/>
        </w:rPr>
        <w:lastRenderedPageBreak/>
        <mc:AlternateContent>
          <mc:Choice Requires="wps">
            <w:drawing>
              <wp:inline distT="0" distB="0" distL="0" distR="0" wp14:anchorId="10574AC0" wp14:editId="507B9B23">
                <wp:extent cx="5943600" cy="7577593"/>
                <wp:effectExtent l="0" t="0" r="19050" b="23495"/>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577593"/>
                        </a:xfrm>
                        <a:prstGeom prst="rect">
                          <a:avLst/>
                        </a:prstGeom>
                        <a:solidFill>
                          <a:srgbClr val="FFFFFF"/>
                        </a:solidFill>
                        <a:ln w="9525">
                          <a:solidFill>
                            <a:srgbClr val="000000"/>
                          </a:solidFill>
                          <a:miter lim="800000"/>
                          <a:headEnd/>
                          <a:tailEnd/>
                        </a:ln>
                      </wps:spPr>
                      <wps:txbx>
                        <w:txbxContent>
                          <w:p w14:paraId="769B023E" w14:textId="26056F46" w:rsidR="003A5ACD" w:rsidRDefault="00816DE7" w:rsidP="00816DE7">
                            <w:pPr>
                              <w:keepNext/>
                              <w:spacing w:after="0"/>
                              <w:jc w:val="center"/>
                            </w:pPr>
                            <w:r>
                              <w:rPr>
                                <w:noProof/>
                              </w:rPr>
                              <w:drawing>
                                <wp:inline distT="0" distB="0" distL="0" distR="0" wp14:anchorId="398A881A" wp14:editId="52269C61">
                                  <wp:extent cx="4654296" cy="6291072"/>
                                  <wp:effectExtent l="0" t="0" r="0" b="0"/>
                                  <wp:docPr id="1" name="Picture 1" descr="(A – C) Compounds with reported antiviral activity, and (D) Existing compounds in the Duerfeldt lab small molecule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 C) Compounds with reported antiviral activity, and (D) Existing compounds in the Duerfeldt lab small molecule library."/>
                                          <pic:cNvPicPr/>
                                        </pic:nvPicPr>
                                        <pic:blipFill>
                                          <a:blip r:embed="rId100">
                                            <a:extLst>
                                              <a:ext uri="{28A0092B-C50C-407E-A947-70E740481C1C}">
                                                <a14:useLocalDpi xmlns:a14="http://schemas.microsoft.com/office/drawing/2010/main" val="0"/>
                                              </a:ext>
                                            </a:extLst>
                                          </a:blip>
                                          <a:stretch>
                                            <a:fillRect/>
                                          </a:stretch>
                                        </pic:blipFill>
                                        <pic:spPr>
                                          <a:xfrm>
                                            <a:off x="0" y="0"/>
                                            <a:ext cx="4654296" cy="6291072"/>
                                          </a:xfrm>
                                          <a:prstGeom prst="rect">
                                            <a:avLst/>
                                          </a:prstGeom>
                                        </pic:spPr>
                                      </pic:pic>
                                    </a:graphicData>
                                  </a:graphic>
                                </wp:inline>
                              </w:drawing>
                            </w:r>
                          </w:p>
                          <w:p w14:paraId="4D77FBD2" w14:textId="306A2085" w:rsidR="003A5ACD" w:rsidRDefault="003A5ACD" w:rsidP="00DF51F5">
                            <w:pPr>
                              <w:pStyle w:val="Caption"/>
                            </w:pPr>
                            <w:bookmarkStart w:id="105" w:name="_Ref100541749"/>
                            <w:bookmarkStart w:id="106" w:name="_Toc100243240"/>
                            <w:bookmarkStart w:id="107" w:name="_Toc100748293"/>
                            <w:r>
                              <w:t>Figure 1.</w:t>
                            </w:r>
                            <w:fldSimple w:instr=" SEQ Figure \* ARABIC ">
                              <w:r w:rsidR="00AA5AAC">
                                <w:rPr>
                                  <w:noProof/>
                                </w:rPr>
                                <w:t>12</w:t>
                              </w:r>
                            </w:fldSimple>
                            <w:bookmarkEnd w:id="105"/>
                            <w:r>
                              <w:t>. (A – C) Compounds with reported antiviral activity, and (D) Existing compounds in the Duerfeldt lab small molecule library.</w:t>
                            </w:r>
                            <w:bookmarkEnd w:id="106"/>
                            <w:bookmarkEnd w:id="107"/>
                          </w:p>
                          <w:p w14:paraId="7290BB55" w14:textId="77777777" w:rsidR="00816DE7" w:rsidRDefault="00816DE7" w:rsidP="00816DE7">
                            <w:pPr>
                              <w:spacing w:line="240" w:lineRule="auto"/>
                            </w:pPr>
                            <w:r>
                              <w:t>Notable functional groups are highlighted in blue (naphthalene), light blue (aldehyde), light green (amide), dark green (sulfonamide), red (</w:t>
                            </w:r>
                            <w:proofErr w:type="spellStart"/>
                            <w:r>
                              <w:t>aza</w:t>
                            </w:r>
                            <w:proofErr w:type="spellEnd"/>
                            <w:r>
                              <w:t xml:space="preserve">-lactam), orange (oxazolidinone), and magenta (nitrogen heterocycles). </w:t>
                            </w:r>
                          </w:p>
                          <w:p w14:paraId="274264D0" w14:textId="77777777" w:rsidR="00816DE7" w:rsidRPr="00816DE7" w:rsidRDefault="00816DE7" w:rsidP="00816DE7"/>
                        </w:txbxContent>
                      </wps:txbx>
                      <wps:bodyPr rot="0" vert="horz" wrap="square" lIns="91440" tIns="45720" rIns="91440" bIns="45720" anchor="t" anchorCtr="0">
                        <a:noAutofit/>
                      </wps:bodyPr>
                    </wps:wsp>
                  </a:graphicData>
                </a:graphic>
              </wp:inline>
            </w:drawing>
          </mc:Choice>
          <mc:Fallback>
            <w:pict>
              <v:shape w14:anchorId="10574AC0" id="_x0000_s1040" type="#_x0000_t202" style="width:468pt;height:59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">
                <v:textbox>
                  <w:txbxContent>
                    <w:p w14:paraId="769B023E" w14:textId="26056F46" w:rsidR="003A5ACD" w:rsidRDefault="00816DE7" w:rsidP="00816DE7">
                      <w:pPr>
                        <w:keepNext/>
                        <w:spacing w:after="0"/>
                        <w:jc w:val="center"/>
                      </w:pPr>
                      <w:r>
                        <w:rPr>
                          <w:noProof/>
                        </w:rPr>
                        <w:drawing>
                          <wp:inline distT="0" distB="0" distL="0" distR="0" wp14:anchorId="398A881A" wp14:editId="52269C61">
                            <wp:extent cx="4654296" cy="6291072"/>
                            <wp:effectExtent l="0" t="0" r="0" b="0"/>
                            <wp:docPr id="1" name="Picture 1" descr="(A – C) Compounds with reported antiviral activity, and (D) Existing compounds in the Duerfeldt lab small molecule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 C) Compounds with reported antiviral activity, and (D) Existing compounds in the Duerfeldt lab small molecule library."/>
                                    <pic:cNvPicPr/>
                                  </pic:nvPicPr>
                                  <pic:blipFill>
                                    <a:blip r:embed="rId100">
                                      <a:extLst>
                                        <a:ext uri="{28A0092B-C50C-407E-A947-70E740481C1C}">
                                          <a14:useLocalDpi xmlns:a14="http://schemas.microsoft.com/office/drawing/2010/main" val="0"/>
                                        </a:ext>
                                      </a:extLst>
                                    </a:blip>
                                    <a:stretch>
                                      <a:fillRect/>
                                    </a:stretch>
                                  </pic:blipFill>
                                  <pic:spPr>
                                    <a:xfrm>
                                      <a:off x="0" y="0"/>
                                      <a:ext cx="4654296" cy="6291072"/>
                                    </a:xfrm>
                                    <a:prstGeom prst="rect">
                                      <a:avLst/>
                                    </a:prstGeom>
                                  </pic:spPr>
                                </pic:pic>
                              </a:graphicData>
                            </a:graphic>
                          </wp:inline>
                        </w:drawing>
                      </w:r>
                    </w:p>
                    <w:p w14:paraId="4D77FBD2" w14:textId="306A2085" w:rsidR="003A5ACD" w:rsidRDefault="003A5ACD" w:rsidP="00DF51F5">
                      <w:pPr>
                        <w:pStyle w:val="Caption"/>
                      </w:pPr>
                      <w:bookmarkStart w:id="108" w:name="_Ref100541749"/>
                      <w:bookmarkStart w:id="109" w:name="_Toc100243240"/>
                      <w:bookmarkStart w:id="110" w:name="_Toc100748293"/>
                      <w:r>
                        <w:t>Figure 1.</w:t>
                      </w:r>
                      <w:fldSimple w:instr=" SEQ Figure \* ARABIC ">
                        <w:r w:rsidR="00AA5AAC">
                          <w:rPr>
                            <w:noProof/>
                          </w:rPr>
                          <w:t>12</w:t>
                        </w:r>
                      </w:fldSimple>
                      <w:bookmarkEnd w:id="108"/>
                      <w:r>
                        <w:t>. (A – C) Compounds with reported antiviral activity, and (D) Existing compounds in the Duerfeldt lab small molecule library.</w:t>
                      </w:r>
                      <w:bookmarkEnd w:id="109"/>
                      <w:bookmarkEnd w:id="110"/>
                    </w:p>
                    <w:p w14:paraId="7290BB55" w14:textId="77777777" w:rsidR="00816DE7" w:rsidRDefault="00816DE7" w:rsidP="00816DE7">
                      <w:pPr>
                        <w:spacing w:line="240" w:lineRule="auto"/>
                      </w:pPr>
                      <w:r>
                        <w:t>Notable functional groups are highlighted in blue (naphthalene), light blue (aldehyde), light green (amide), dark green (sulfonamide), red (</w:t>
                      </w:r>
                      <w:proofErr w:type="spellStart"/>
                      <w:r>
                        <w:t>aza</w:t>
                      </w:r>
                      <w:proofErr w:type="spellEnd"/>
                      <w:r>
                        <w:t xml:space="preserve">-lactam), orange (oxazolidinone), and magenta (nitrogen heterocycles). </w:t>
                      </w:r>
                    </w:p>
                    <w:p w14:paraId="274264D0" w14:textId="77777777" w:rsidR="00816DE7" w:rsidRPr="00816DE7" w:rsidRDefault="00816DE7" w:rsidP="00816DE7"/>
                  </w:txbxContent>
                </v:textbox>
                <w10:anchorlock/>
              </v:shape>
            </w:pict>
          </mc:Fallback>
        </mc:AlternateContent>
      </w:r>
    </w:p>
    <w:p w14:paraId="50D7B00A" w14:textId="6AEFBAB8" w:rsidR="003A5ACD" w:rsidRDefault="003A5ACD" w:rsidP="00780905">
      <w:pPr>
        <w:ind w:firstLine="720"/>
        <w:rPr>
          <w:rFonts w:eastAsia="Times New Roman" w:cs="Times New Roman"/>
          <w:color w:val="000000"/>
          <w:szCs w:val="24"/>
        </w:rPr>
      </w:pPr>
      <w:r w:rsidRPr="003E5113">
        <w:rPr>
          <w:rFonts w:eastAsia="Times New Roman" w:cs="Times New Roman"/>
          <w:color w:val="000000"/>
          <w:szCs w:val="24"/>
        </w:rPr>
        <w:lastRenderedPageBreak/>
        <w:t>Various X-ray crystallography studies found several</w:t>
      </w:r>
      <w:r>
        <w:rPr>
          <w:rFonts w:eastAsia="Times New Roman" w:cs="Times New Roman"/>
          <w:color w:val="000000"/>
          <w:szCs w:val="24"/>
        </w:rPr>
        <w:t xml:space="preserve"> </w:t>
      </w:r>
      <w:proofErr w:type="spellStart"/>
      <w:r w:rsidRPr="003E5113">
        <w:rPr>
          <w:rFonts w:eastAsia="Times New Roman" w:cs="Times New Roman"/>
          <w:color w:val="000000"/>
          <w:szCs w:val="24"/>
        </w:rPr>
        <w:t>M</w:t>
      </w:r>
      <w:r w:rsidRPr="003E5113">
        <w:rPr>
          <w:rFonts w:eastAsia="Times New Roman" w:cs="Times New Roman"/>
          <w:color w:val="000000"/>
          <w:szCs w:val="24"/>
          <w:vertAlign w:val="superscript"/>
        </w:rPr>
        <w:t>pro</w:t>
      </w:r>
      <w:proofErr w:type="spellEnd"/>
      <w:r w:rsidRPr="003E5113">
        <w:rPr>
          <w:rFonts w:eastAsia="Times New Roman" w:cs="Times New Roman"/>
          <w:color w:val="000000"/>
          <w:szCs w:val="24"/>
        </w:rPr>
        <w:t xml:space="preserve"> </w:t>
      </w:r>
      <w:r>
        <w:rPr>
          <w:rFonts w:eastAsia="Times New Roman" w:cs="Times New Roman"/>
          <w:color w:val="000000"/>
          <w:szCs w:val="24"/>
        </w:rPr>
        <w:t xml:space="preserve">and </w:t>
      </w:r>
      <w:proofErr w:type="spellStart"/>
      <w:r w:rsidRPr="003E5113">
        <w:rPr>
          <w:rFonts w:eastAsia="Times New Roman" w:cs="Times New Roman"/>
          <w:color w:val="000000"/>
          <w:szCs w:val="24"/>
        </w:rPr>
        <w:t>PL</w:t>
      </w:r>
      <w:r w:rsidRPr="003E5113">
        <w:rPr>
          <w:rFonts w:eastAsia="Times New Roman" w:cs="Times New Roman"/>
          <w:color w:val="000000"/>
          <w:szCs w:val="24"/>
          <w:vertAlign w:val="superscript"/>
        </w:rPr>
        <w:t>pro</w:t>
      </w:r>
      <w:proofErr w:type="spellEnd"/>
      <w:r w:rsidRPr="003E5113">
        <w:rPr>
          <w:rFonts w:eastAsia="Times New Roman" w:cs="Times New Roman"/>
          <w:color w:val="000000"/>
          <w:szCs w:val="24"/>
        </w:rPr>
        <w:t xml:space="preserve"> inhibitors (</w:t>
      </w:r>
      <w:r w:rsidR="00EF1230" w:rsidRPr="00EF1230">
        <w:rPr>
          <w:rFonts w:eastAsia="Times New Roman" w:cs="Times New Roman"/>
          <w:b/>
          <w:bCs/>
          <w:color w:val="000000"/>
          <w:szCs w:val="24"/>
        </w:rPr>
        <w:fldChar w:fldCharType="begin"/>
      </w:r>
      <w:r w:rsidR="00EF1230" w:rsidRPr="00EF1230">
        <w:rPr>
          <w:rFonts w:eastAsia="Times New Roman" w:cs="Times New Roman"/>
          <w:b/>
          <w:bCs/>
          <w:color w:val="000000"/>
          <w:szCs w:val="24"/>
        </w:rPr>
        <w:instrText xml:space="preserve"> REF _Ref100541749 \h  \* MERGEFORMAT </w:instrText>
      </w:r>
      <w:r w:rsidR="00EF1230" w:rsidRPr="00EF1230">
        <w:rPr>
          <w:rFonts w:eastAsia="Times New Roman" w:cs="Times New Roman"/>
          <w:b/>
          <w:bCs/>
          <w:color w:val="000000"/>
          <w:szCs w:val="24"/>
        </w:rPr>
      </w:r>
      <w:r w:rsidR="00EF1230" w:rsidRPr="00EF1230">
        <w:rPr>
          <w:rFonts w:eastAsia="Times New Roman" w:cs="Times New Roman"/>
          <w:b/>
          <w:bCs/>
          <w:color w:val="000000"/>
          <w:szCs w:val="24"/>
        </w:rPr>
        <w:fldChar w:fldCharType="separate"/>
      </w:r>
      <w:r w:rsidR="00AA5AAC" w:rsidRPr="00AA5AAC">
        <w:rPr>
          <w:b/>
          <w:bCs/>
        </w:rPr>
        <w:t>Figure 1.12</w:t>
      </w:r>
      <w:r w:rsidR="00EF1230" w:rsidRPr="00EF1230">
        <w:rPr>
          <w:rFonts w:eastAsia="Times New Roman" w:cs="Times New Roman"/>
          <w:b/>
          <w:bCs/>
          <w:color w:val="000000"/>
          <w:szCs w:val="24"/>
        </w:rPr>
        <w:fldChar w:fldCharType="end"/>
      </w:r>
      <w:r w:rsidRPr="00E06F23">
        <w:rPr>
          <w:rFonts w:eastAsia="Times New Roman" w:cs="Times New Roman"/>
          <w:b/>
          <w:bCs/>
          <w:color w:val="000000"/>
          <w:szCs w:val="24"/>
        </w:rPr>
        <w:t xml:space="preserve">A </w:t>
      </w:r>
      <w:r>
        <w:rPr>
          <w:rFonts w:eastAsia="Times New Roman" w:cs="Times New Roman"/>
          <w:color w:val="000000"/>
          <w:szCs w:val="24"/>
        </w:rPr>
        <w:t xml:space="preserve">and </w:t>
      </w:r>
      <w:r w:rsidR="00EF1230" w:rsidRPr="00EF1230">
        <w:rPr>
          <w:rFonts w:eastAsia="Times New Roman" w:cs="Times New Roman"/>
          <w:b/>
          <w:bCs/>
          <w:color w:val="000000"/>
          <w:szCs w:val="24"/>
        </w:rPr>
        <w:fldChar w:fldCharType="begin"/>
      </w:r>
      <w:r w:rsidR="00EF1230" w:rsidRPr="00EF1230">
        <w:rPr>
          <w:rFonts w:eastAsia="Times New Roman" w:cs="Times New Roman"/>
          <w:b/>
          <w:bCs/>
          <w:color w:val="000000"/>
          <w:szCs w:val="24"/>
        </w:rPr>
        <w:instrText xml:space="preserve"> REF _Ref100541749 \h  \* MERGEFORMAT </w:instrText>
      </w:r>
      <w:r w:rsidR="00EF1230" w:rsidRPr="00EF1230">
        <w:rPr>
          <w:rFonts w:eastAsia="Times New Roman" w:cs="Times New Roman"/>
          <w:b/>
          <w:bCs/>
          <w:color w:val="000000"/>
          <w:szCs w:val="24"/>
        </w:rPr>
      </w:r>
      <w:r w:rsidR="00EF1230" w:rsidRPr="00EF1230">
        <w:rPr>
          <w:rFonts w:eastAsia="Times New Roman" w:cs="Times New Roman"/>
          <w:b/>
          <w:bCs/>
          <w:color w:val="000000"/>
          <w:szCs w:val="24"/>
        </w:rPr>
        <w:fldChar w:fldCharType="separate"/>
      </w:r>
      <w:r w:rsidR="00AA5AAC" w:rsidRPr="00AA5AAC">
        <w:rPr>
          <w:b/>
          <w:bCs/>
        </w:rPr>
        <w:t>Figure 1.12</w:t>
      </w:r>
      <w:r w:rsidR="00EF1230" w:rsidRPr="00EF1230">
        <w:rPr>
          <w:rFonts w:eastAsia="Times New Roman" w:cs="Times New Roman"/>
          <w:b/>
          <w:bCs/>
          <w:color w:val="000000"/>
          <w:szCs w:val="24"/>
        </w:rPr>
        <w:fldChar w:fldCharType="end"/>
      </w:r>
      <w:r w:rsidRPr="00E06F23">
        <w:rPr>
          <w:rFonts w:eastAsia="Times New Roman" w:cs="Times New Roman"/>
          <w:b/>
          <w:bCs/>
          <w:color w:val="000000"/>
          <w:szCs w:val="24"/>
        </w:rPr>
        <w:t>B</w:t>
      </w:r>
      <w:r>
        <w:rPr>
          <w:rFonts w:eastAsia="Times New Roman" w:cs="Times New Roman"/>
          <w:color w:val="000000"/>
          <w:szCs w:val="24"/>
        </w:rPr>
        <w:t>, respectively</w:t>
      </w:r>
      <w:r w:rsidRPr="003E5113">
        <w:rPr>
          <w:rFonts w:eastAsia="Times New Roman" w:cs="Times New Roman"/>
          <w:color w:val="000000"/>
          <w:szCs w:val="24"/>
        </w:rPr>
        <w:t>) or viral replication inhibitors of under characterized mechanisms (</w:t>
      </w:r>
      <w:r w:rsidR="005352D9" w:rsidRPr="005352D9">
        <w:rPr>
          <w:rFonts w:eastAsia="Times New Roman" w:cs="Times New Roman"/>
          <w:b/>
          <w:bCs/>
          <w:color w:val="000000"/>
          <w:szCs w:val="24"/>
        </w:rPr>
        <w:fldChar w:fldCharType="begin"/>
      </w:r>
      <w:r w:rsidR="005352D9" w:rsidRPr="005352D9">
        <w:rPr>
          <w:rFonts w:eastAsia="Times New Roman" w:cs="Times New Roman"/>
          <w:b/>
          <w:bCs/>
          <w:color w:val="000000"/>
          <w:szCs w:val="24"/>
        </w:rPr>
        <w:instrText xml:space="preserve"> REF _Ref100742328 \h  \* MERGEFORMAT </w:instrText>
      </w:r>
      <w:r w:rsidR="005352D9" w:rsidRPr="005352D9">
        <w:rPr>
          <w:rFonts w:eastAsia="Times New Roman" w:cs="Times New Roman"/>
          <w:b/>
          <w:bCs/>
          <w:color w:val="000000"/>
          <w:szCs w:val="24"/>
        </w:rPr>
      </w:r>
      <w:r w:rsidR="005352D9" w:rsidRPr="005352D9">
        <w:rPr>
          <w:rFonts w:eastAsia="Times New Roman" w:cs="Times New Roman"/>
          <w:b/>
          <w:bCs/>
          <w:color w:val="000000"/>
          <w:szCs w:val="24"/>
        </w:rPr>
        <w:fldChar w:fldCharType="separate"/>
      </w:r>
      <w:r w:rsidR="00AA5AAC" w:rsidRPr="00AA5AAC">
        <w:rPr>
          <w:b/>
          <w:bCs/>
        </w:rPr>
        <w:t>Figure 1.2</w:t>
      </w:r>
      <w:r w:rsidR="005352D9" w:rsidRPr="005352D9">
        <w:rPr>
          <w:rFonts w:eastAsia="Times New Roman" w:cs="Times New Roman"/>
          <w:b/>
          <w:bCs/>
          <w:color w:val="000000"/>
          <w:szCs w:val="24"/>
        </w:rPr>
        <w:fldChar w:fldCharType="end"/>
      </w:r>
      <w:r w:rsidRPr="00434A92">
        <w:rPr>
          <w:rFonts w:eastAsia="Times New Roman" w:cs="Times New Roman"/>
          <w:b/>
          <w:bCs/>
          <w:color w:val="000000"/>
          <w:szCs w:val="24"/>
        </w:rPr>
        <w:t>C</w:t>
      </w:r>
      <w:r w:rsidRPr="003E5113">
        <w:rPr>
          <w:rFonts w:eastAsia="Times New Roman" w:cs="Times New Roman"/>
          <w:color w:val="000000"/>
          <w:szCs w:val="24"/>
        </w:rPr>
        <w:t>) belonging to different chemical classes.</w:t>
      </w:r>
      <w:r w:rsidRPr="003E5113">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{"citationID":"72GEMmQh","properties":{"formattedCitation":"\\super 115\\nosupersub{}","plainCitation":"115","noteIndex":0},"citationItems":[{"id":12,"uris":["http://zotero.org/users/6503767/items/8YF6ZUBS"],"itemData":{"id":12,"type":"article-journal","container-title":"Drug Discovery Today","DOI":"10.1016/j.drudis.2020.01.015","ISSN":"13596446","journalAbbreviation":"Drug Discovery Today","language":"en","page":"S1359644620300416","source":"DOI.org (Crossref)","title":"Recent discovery and development of inhibitors targeting coronaviruses","author":[{"family":"Pillaiyar","given":"Thanigaimalai"},{"family":"Meenakshisundaram","given":"Sangeetha"},{"family":"Manickam","given":"Manoj"}],"issued":{"date-parts":[["2020",1]]}}}],"schema":"https://github.com/citation-style-language/schema/raw/master/csl-citation.json"} </w:instrText>
      </w:r>
      <w:r w:rsidRPr="003E5113">
        <w:rPr>
          <w:rFonts w:eastAsia="Times New Roman" w:cs="Times New Roman"/>
          <w:color w:val="000000"/>
          <w:szCs w:val="24"/>
        </w:rPr>
        <w:fldChar w:fldCharType="separate"/>
      </w:r>
      <w:r w:rsidR="00B26382" w:rsidRPr="00B26382">
        <w:rPr>
          <w:rFonts w:cs="Times New Roman"/>
          <w:szCs w:val="24"/>
          <w:vertAlign w:val="superscript"/>
        </w:rPr>
        <w:t>115</w:t>
      </w:r>
      <w:r w:rsidRPr="003E5113">
        <w:rPr>
          <w:rFonts w:eastAsia="Times New Roman" w:cs="Times New Roman"/>
          <w:color w:val="000000"/>
          <w:szCs w:val="24"/>
        </w:rPr>
        <w:fldChar w:fldCharType="end"/>
      </w:r>
      <w:r w:rsidRPr="003E5113">
        <w:rPr>
          <w:rFonts w:eastAsia="Times New Roman" w:cs="Times New Roman"/>
          <w:color w:val="000000"/>
          <w:szCs w:val="24"/>
        </w:rPr>
        <w:t xml:space="preserve"> Notably, the naphthalene amide </w:t>
      </w:r>
      <w:r w:rsidR="009E74E0">
        <w:rPr>
          <w:rFonts w:eastAsia="Times New Roman" w:cs="Times New Roman"/>
          <w:b/>
          <w:bCs/>
          <w:color w:val="000000"/>
          <w:szCs w:val="24"/>
        </w:rPr>
        <w:t>4.15</w:t>
      </w:r>
      <w:r w:rsidRPr="003E5113">
        <w:rPr>
          <w:rFonts w:eastAsia="Times New Roman" w:cs="Times New Roman"/>
          <w:color w:val="000000"/>
          <w:szCs w:val="24"/>
        </w:rPr>
        <w:t xml:space="preserve"> displayed SARS-</w:t>
      </w:r>
      <w:proofErr w:type="spellStart"/>
      <w:r w:rsidRPr="003E5113">
        <w:rPr>
          <w:rFonts w:eastAsia="Times New Roman" w:cs="Times New Roman"/>
          <w:color w:val="000000"/>
          <w:szCs w:val="24"/>
        </w:rPr>
        <w:t>CoV</w:t>
      </w:r>
      <w:proofErr w:type="spellEnd"/>
      <w:r w:rsidRPr="003E5113">
        <w:rPr>
          <w:rFonts w:eastAsia="Times New Roman" w:cs="Times New Roman"/>
          <w:color w:val="000000"/>
          <w:szCs w:val="24"/>
        </w:rPr>
        <w:t xml:space="preserve"> antiviral activity with no associated cytotoxicity,</w:t>
      </w:r>
      <w:r w:rsidRPr="003E5113">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{"citationID":"fA3aYlt5","properties":{"formattedCitation":"\\super 121\\nosupersub{}","plainCitation":"121","noteIndex":0},"citationItems":[{"id":10,"uris":["http://zotero.org/users/6503767/items/KZ2BA3SU"],"itemData":{"id":10,"type":"article-journal","container-title":"Journal of Medicinal Chemistry","DOI":"10.1021/jm1004489","ISSN":"0022-2623, 1520-4804","issue":"13","journalAbbreviation":"J. Med. Chem.","language":"en","page":"4968-4979","source":"DOI.org (Crossref)","title":"Severe Acute Respiratory Syndrome Coronavirus Papain-like Novel Protease Inhibitors: Design, Synthesis, Protein−Ligand X-ray Structure and Biological Evaluation","title-short":"Severe Acute Respiratory Syndrome Coronavirus Papain-like Novel Protease Inhibitors","volume":"53","author":[{"family":"Ghosh","given":"Arun K."},{"family":"Takayama","given":"Jun"},{"family":"Rao","given":"Kalapala Venkateswara"},{"family":"Ratia","given":"Kiira"},{"family":"Chaudhuri","given":"Rima"},{"family":"Mulhearn","given":"Debbie C."},{"family":"Lee","given":"Hyun"},{"family":"Nichols","given":"Daniel B."},{"family":"Baliji","given":"Surendranath"},{"family":"Baker","given":"Susan C."},{"family":"Johnson","given":"Michael E."},{"family":"Mesecar","given":"Andrew D."}],"issued":{"date-parts":[["2010",7,8]]}}}],"schema":"https://github.com/citation-style-language/schema/raw/master/csl-citation.json"} </w:instrText>
      </w:r>
      <w:r w:rsidRPr="003E5113">
        <w:rPr>
          <w:rFonts w:eastAsia="Times New Roman" w:cs="Times New Roman"/>
          <w:color w:val="000000"/>
          <w:szCs w:val="24"/>
        </w:rPr>
        <w:fldChar w:fldCharType="separate"/>
      </w:r>
      <w:r w:rsidR="00B26382" w:rsidRPr="00B26382">
        <w:rPr>
          <w:rFonts w:cs="Times New Roman"/>
          <w:szCs w:val="24"/>
          <w:vertAlign w:val="superscript"/>
        </w:rPr>
        <w:t>121</w:t>
      </w:r>
      <w:r w:rsidRPr="003E5113">
        <w:rPr>
          <w:rFonts w:eastAsia="Times New Roman" w:cs="Times New Roman"/>
          <w:color w:val="000000"/>
          <w:szCs w:val="24"/>
        </w:rPr>
        <w:fldChar w:fldCharType="end"/>
      </w:r>
      <w:r w:rsidRPr="003E5113">
        <w:rPr>
          <w:rFonts w:eastAsia="Times New Roman" w:cs="Times New Roman"/>
          <w:color w:val="000000"/>
          <w:szCs w:val="24"/>
        </w:rPr>
        <w:t xml:space="preserve"> and naphthalene sulfonamide </w:t>
      </w:r>
      <w:r w:rsidR="009E74E0">
        <w:rPr>
          <w:rFonts w:eastAsia="Times New Roman" w:cs="Times New Roman"/>
          <w:b/>
          <w:bCs/>
          <w:color w:val="000000"/>
          <w:szCs w:val="24"/>
        </w:rPr>
        <w:t>4.18</w:t>
      </w:r>
      <w:r w:rsidRPr="003E5113">
        <w:rPr>
          <w:rFonts w:eastAsia="Times New Roman" w:cs="Times New Roman"/>
          <w:color w:val="000000"/>
          <w:szCs w:val="24"/>
        </w:rPr>
        <w:t xml:space="preserve"> was found to inhibit viral replication, although the exact mechanism is unknown.</w:t>
      </w:r>
      <w:r w:rsidRPr="003E5113">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{"citationID":"F8XUuoFR","properties":{"formattedCitation":"\\super 122\\nosupersub{}","plainCitation":"122","noteIndex":0},"citationItems":[{"id":37,"uris":["http://zotero.org/users/6503767/items/4YAGU9PK"],"itemData":{"id":37,"type":"article-journal","abstract":"The first steps of human coronavirus NL63 (HCoV-NL63) infection were previously described. The virus binds to target cells by use of heparan sulfate proteoglycans and interacts with the ACE2 protein. Subsequent events, including virus internalization and trafficking, remain to be elucidated. In this study, we mapped the process of HCoV-NL63 entry into the LLC-Mk2 cell line and ex vivo three-dimensional (3D) tracheobronchial tissue. Using a variety of techniques, we have shown that HCoV-NL63 virions require endocytosis for successful entry into the LLC-MK2 cells, and interaction between the virus and the ACE2 molecule triggers recruitment of clathrin. Subsequent vesicle scission by dynamin results in virus internalization, and the newly formed vesicle passes the actin cortex, which requires active cytoskeleton rearrangement. Finally, acidification of the endosomal microenvironment is required for successful fusion and release of the viral genome into the cytoplasm. For 3D tracheobronchial tissue cultures, we also observed that the virus enters the cell by clathrin-mediated endocytosis, but we obtained results suggesting that this pathway may be bypassed.\nIMPORTANCE Available data on coronavirus entry frequently originate from studies employing immortalized cell lines or undifferentiated cells. Here, using the most advanced 3D tissue culture system mimicking the epithelium of conductive airways, we systematically mapped HCoV-NL63 entry into susceptible cells. The data obtained allow for a better understanding of the infection process and may support development of novel treatment strategies.","container-title":"Journal of Virology","DOI":"10.1128/JVI.01933-17","ISSN":"0022-538X, 1098-5514","issue":"3","language":"en","note":"publisher: American Society for Microbiology Journals\nsection: Virus-Cell Interactions\nPMID: 29142129","source":"jvi.asm.org","title":"Entry of Human Coronavirus NL63 into the Cell","URL":"https://jvi.asm.org/content/92/3/e01933-17","volume":"92","author":[{"family":"Milewska","given":"Aleksandra"},{"family":"Nowak","given":"Paulina"},{"family":"Owczarek","given":"Katarzyna"},{"family":"Szczepanski","given":"Artur"},{"family":"Zarebski","given":"Miroslaw"},{"family":"Hoang","given":"Agnieszka"},{"family":"Berniak","given":"Krzysztof"},{"family":"Wojarski","given":"Jacek"},{"family":"Zeglen","given":"Slawomir"},{"family":"Baster","given":"Zbigniew"},{"family":"Rajfur","given":"Zenon"},{"family":"Pyrc","given":"Krzysztof"}],"accessed":{"date-parts":[["2020",4,4]]},"issued":{"date-parts":[["2018",2,1]]}},"locator":"63"}],"schema":"https://github.com/citation-style-language/schema/raw/master/csl-citation.json"} </w:instrText>
      </w:r>
      <w:r w:rsidRPr="003E5113">
        <w:rPr>
          <w:rFonts w:eastAsia="Times New Roman" w:cs="Times New Roman"/>
          <w:color w:val="000000"/>
          <w:szCs w:val="24"/>
        </w:rPr>
        <w:fldChar w:fldCharType="separate"/>
      </w:r>
      <w:r w:rsidR="00B26382" w:rsidRPr="00B26382">
        <w:rPr>
          <w:rFonts w:cs="Times New Roman"/>
          <w:szCs w:val="24"/>
          <w:vertAlign w:val="superscript"/>
        </w:rPr>
        <w:t>122</w:t>
      </w:r>
      <w:r w:rsidRPr="003E5113">
        <w:rPr>
          <w:rFonts w:eastAsia="Times New Roman" w:cs="Times New Roman"/>
          <w:color w:val="000000"/>
          <w:szCs w:val="24"/>
        </w:rPr>
        <w:fldChar w:fldCharType="end"/>
      </w:r>
      <w:r w:rsidRPr="003E5113">
        <w:rPr>
          <w:rFonts w:eastAsia="Times New Roman" w:cs="Times New Roman"/>
          <w:color w:val="000000"/>
          <w:szCs w:val="24"/>
        </w:rPr>
        <w:t xml:space="preserve"> </w:t>
      </w:r>
      <w:r w:rsidR="00F32E4D">
        <w:rPr>
          <w:rFonts w:eastAsia="Times New Roman" w:cs="Times New Roman"/>
          <w:color w:val="000000"/>
          <w:szCs w:val="24"/>
        </w:rPr>
        <w:t xml:space="preserve">We have several naphthalene-containing compounds in our library, as well as naphthalene sulfonamides such as </w:t>
      </w:r>
      <w:r w:rsidR="00F32E4D" w:rsidRPr="00F32E4D">
        <w:rPr>
          <w:rFonts w:eastAsia="Times New Roman" w:cs="Times New Roman"/>
          <w:b/>
          <w:bCs/>
          <w:color w:val="000000"/>
          <w:szCs w:val="24"/>
        </w:rPr>
        <w:t>4.22</w:t>
      </w:r>
      <w:r w:rsidR="00F32E4D">
        <w:rPr>
          <w:rFonts w:eastAsia="Times New Roman" w:cs="Times New Roman"/>
          <w:color w:val="000000"/>
          <w:szCs w:val="24"/>
        </w:rPr>
        <w:t xml:space="preserve"> (</w:t>
      </w:r>
      <w:r w:rsidR="00F32E4D" w:rsidRPr="00F32E4D">
        <w:rPr>
          <w:rFonts w:eastAsia="Times New Roman" w:cs="Times New Roman"/>
          <w:b/>
          <w:bCs/>
          <w:color w:val="000000"/>
          <w:szCs w:val="24"/>
        </w:rPr>
        <w:fldChar w:fldCharType="begin"/>
      </w:r>
      <w:r w:rsidR="00F32E4D" w:rsidRPr="00F32E4D">
        <w:rPr>
          <w:rFonts w:eastAsia="Times New Roman" w:cs="Times New Roman"/>
          <w:b/>
          <w:bCs/>
          <w:color w:val="000000"/>
          <w:szCs w:val="24"/>
        </w:rPr>
        <w:instrText xml:space="preserve"> REF _Ref100541749 \h </w:instrText>
      </w:r>
      <w:r w:rsidR="00F32E4D">
        <w:rPr>
          <w:rFonts w:eastAsia="Times New Roman" w:cs="Times New Roman"/>
          <w:b/>
          <w:bCs/>
          <w:color w:val="000000"/>
          <w:szCs w:val="24"/>
        </w:rPr>
        <w:instrText xml:space="preserve"> \* MERGEFORMAT </w:instrText>
      </w:r>
      <w:r w:rsidR="00F32E4D" w:rsidRPr="00F32E4D">
        <w:rPr>
          <w:rFonts w:eastAsia="Times New Roman" w:cs="Times New Roman"/>
          <w:b/>
          <w:bCs/>
          <w:color w:val="000000"/>
          <w:szCs w:val="24"/>
        </w:rPr>
      </w:r>
      <w:r w:rsidR="00F32E4D" w:rsidRPr="00F32E4D">
        <w:rPr>
          <w:rFonts w:eastAsia="Times New Roman" w:cs="Times New Roman"/>
          <w:b/>
          <w:bCs/>
          <w:color w:val="000000"/>
          <w:szCs w:val="24"/>
        </w:rPr>
        <w:fldChar w:fldCharType="separate"/>
      </w:r>
      <w:r w:rsidR="00AA5AAC" w:rsidRPr="00AA5AAC">
        <w:rPr>
          <w:b/>
          <w:bCs/>
        </w:rPr>
        <w:t>Figure 1.12</w:t>
      </w:r>
      <w:r w:rsidR="00F32E4D" w:rsidRPr="00F32E4D">
        <w:rPr>
          <w:rFonts w:eastAsia="Times New Roman" w:cs="Times New Roman"/>
          <w:b/>
          <w:bCs/>
          <w:color w:val="000000"/>
          <w:szCs w:val="24"/>
        </w:rPr>
        <w:fldChar w:fldCharType="end"/>
      </w:r>
      <w:r w:rsidR="00F32E4D" w:rsidRPr="00F32E4D">
        <w:rPr>
          <w:rFonts w:eastAsia="Times New Roman" w:cs="Times New Roman"/>
          <w:b/>
          <w:bCs/>
          <w:color w:val="000000"/>
          <w:szCs w:val="24"/>
        </w:rPr>
        <w:t>D</w:t>
      </w:r>
      <w:r w:rsidR="00F32E4D">
        <w:rPr>
          <w:rFonts w:eastAsia="Times New Roman" w:cs="Times New Roman"/>
          <w:color w:val="000000"/>
          <w:szCs w:val="24"/>
        </w:rPr>
        <w:t xml:space="preserve">). </w:t>
      </w:r>
      <w:r w:rsidR="00F32E4D" w:rsidRPr="003E5113">
        <w:rPr>
          <w:rFonts w:eastAsia="Times New Roman" w:cs="Times New Roman"/>
          <w:color w:val="000000"/>
          <w:szCs w:val="24"/>
        </w:rPr>
        <w:t>Also notable is lopinavir (</w:t>
      </w:r>
      <w:r w:rsidR="00F32E4D">
        <w:rPr>
          <w:rFonts w:eastAsia="Times New Roman" w:cs="Times New Roman"/>
          <w:b/>
          <w:bCs/>
          <w:color w:val="000000"/>
          <w:szCs w:val="24"/>
        </w:rPr>
        <w:t>4.1</w:t>
      </w:r>
      <w:r w:rsidR="00F32E4D" w:rsidRPr="003E5113">
        <w:rPr>
          <w:rFonts w:eastAsia="Times New Roman" w:cs="Times New Roman"/>
          <w:color w:val="000000"/>
          <w:szCs w:val="24"/>
        </w:rPr>
        <w:t>), a peptide-based compound featured in clinical trials for treating coronavirus patients,</w:t>
      </w:r>
      <w:r w:rsidR="00F32E4D" w:rsidRPr="003E5113">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{"citationID":"ogGLxOGV","properties":{"formattedCitation":"\\super 123\\nosupersub{}","plainCitation":"123","noteIndex":0},"citationItems":[{"id":41,"uris":["http://zotero.org/users/6503767/items/THFEPBUG"],"itemData":{"id":41,"type":"article-journal","abstract":"Background: The clinical response of patients with severe acute respiratory syndrome (SARS) to a combination of lopinavir/ritonavir and ribavirin was examined after establishing the in vitro antiviral susceptibility of the SARS associated coronavirus to a panel of antiviral agents. , Methods: The in vitro susceptibility of the prototype of SARS associated coronavirus to a panel of nucleoside analogues and protease inhibitors currently licensed for clinical use was studied. Forty one patients with SARS followed for 3 weeks were treated with a combination of lopinavir/ritonavir and ribavirin. The clinical progress and virological outcomes were monitored and compared with 111 patients treated with ribavirin only who served as historical controls. , Results: In vitro antiviral activity against SARS associated coronavirus was demonstrated for lopinavir and ribavirin at concentrations of 4 µg/ml and 50 µg/ml, respectively, only at 48 hours. The adverse clinical outcome (ARDS or death) was significantly lower in the treatment group than in the historical controls (2.4% v 28.8%, p&lt;0.001) at day 21 after the onset of symptoms. The adverse outcome remained significantly lower in the treatment group than in the controls—both those diagnosed early (p&lt;0.001) and those diagnosed later in the course of the epidemic (p = 0.002)—but there was no significant difference in adverse outcome rates between the two time periods (p = 0.548). No time related difference in outcome was observed in the control groups. A reduction in steroid usage and nosocomial infections was seen in patients initially treated with lopinavir/ritonavir, and these patients had a decreasing viral load and rising peripheral lymphocyte count. Multivariate analysis showed that age, hepatitis B carrier status, and lack of treatment with this antiviral combination were independent predictors of an adverse outcome. Lopinavir/ritonavir treatment was associated with a better outcome even when adjusted for baseline lactate dehydrogenase level. , Conclusions: The apparent favourable clinical response with lopinavir/ritonavir and ribavirin supports further randomised placebo controlled trials in patients with SARS.","container-title":"Thorax","DOI":"10.1136/thorax.2003.012658","ISSN":"0040-6376","issue":"3","journalAbbreviation":"Thorax","note":"PMID: 14985565\nPMCID: PMC1746980","page":"252-256","source":"PubMed Central","title":"Role of lopinavir/ritonavir in the treatment of SARS: initial virological and clinical findings","title-short":"Role of lopinavir/ritonavir in the treatment of SARS","volume":"59","author":[{"family":"Chu","given":"C"},{"family":"Cheng","given":"V"},{"family":"Hung","given":"I"},{"family":"Wong","given":"M"},{"family":"Chan","given":"K"},{"family":"Chan","given":"K"},{"family":"Kao","given":"R"},{"family":"Poon","given":"L"},{"family":"Wong","given":"C"},{"family":"Guan","given":"Y"},{"family":"Peiris","given":"J"},{"family":"Yuen","given":"K"}],"issued":{"date-parts":[["2004",3]]}}}],"schema":"https://github.com/citation-style-language/schema/raw/master/csl-citation.json"} </w:instrText>
      </w:r>
      <w:r w:rsidR="00F32E4D" w:rsidRPr="003E5113">
        <w:rPr>
          <w:rFonts w:eastAsia="Times New Roman" w:cs="Times New Roman"/>
          <w:color w:val="000000"/>
          <w:szCs w:val="24"/>
        </w:rPr>
        <w:fldChar w:fldCharType="separate"/>
      </w:r>
      <w:r w:rsidR="00B26382" w:rsidRPr="00B26382">
        <w:rPr>
          <w:rFonts w:cs="Times New Roman"/>
          <w:szCs w:val="24"/>
          <w:vertAlign w:val="superscript"/>
        </w:rPr>
        <w:t>123</w:t>
      </w:r>
      <w:r w:rsidR="00F32E4D" w:rsidRPr="003E5113">
        <w:rPr>
          <w:rFonts w:eastAsia="Times New Roman" w:cs="Times New Roman"/>
          <w:color w:val="000000"/>
          <w:szCs w:val="24"/>
        </w:rPr>
        <w:fldChar w:fldCharType="end"/>
      </w:r>
      <w:r w:rsidR="00F32E4D" w:rsidRPr="003E5113">
        <w:rPr>
          <w:rFonts w:eastAsia="Times New Roman" w:cs="Times New Roman"/>
          <w:color w:val="000000"/>
          <w:szCs w:val="24"/>
        </w:rPr>
        <w:t xml:space="preserve"> which exhibits some structural similarity to our peptide-based protease inhibitors (</w:t>
      </w:r>
      <w:r w:rsidR="00F32E4D">
        <w:rPr>
          <w:rFonts w:eastAsia="Times New Roman" w:cs="Times New Roman"/>
          <w:b/>
          <w:bCs/>
          <w:color w:val="000000"/>
          <w:szCs w:val="24"/>
        </w:rPr>
        <w:t>4.33</w:t>
      </w:r>
      <w:r w:rsidR="00F32E4D" w:rsidRPr="003E5113">
        <w:rPr>
          <w:rFonts w:eastAsia="Times New Roman" w:cs="Times New Roman"/>
          <w:color w:val="000000"/>
          <w:szCs w:val="24"/>
        </w:rPr>
        <w:t xml:space="preserve">). </w:t>
      </w:r>
      <w:r w:rsidR="00F32E4D">
        <w:rPr>
          <w:rFonts w:eastAsia="Times New Roman" w:cs="Times New Roman"/>
          <w:color w:val="000000"/>
          <w:szCs w:val="24"/>
        </w:rPr>
        <w:t>Finally, linezolid (</w:t>
      </w:r>
      <w:r w:rsidR="00F32E4D" w:rsidRPr="0025611A">
        <w:rPr>
          <w:rFonts w:eastAsia="Times New Roman" w:cs="Times New Roman"/>
          <w:b/>
          <w:bCs/>
          <w:color w:val="000000"/>
          <w:szCs w:val="24"/>
        </w:rPr>
        <w:t>4.19</w:t>
      </w:r>
      <w:r w:rsidR="00F32E4D">
        <w:rPr>
          <w:rFonts w:eastAsia="Times New Roman" w:cs="Times New Roman"/>
          <w:color w:val="000000"/>
          <w:szCs w:val="24"/>
        </w:rPr>
        <w:t>), an oxazolidinone antimicrobial</w:t>
      </w:r>
      <w:r w:rsidR="00F32E4D">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{"citationID":"kjh5MrWQ","properties":{"formattedCitation":"\\super 124\\nosupersub{}","plainCitation":"124","noteIndex":0},"citationItems":[{"id":901,"uris":["http://zotero.org/users/6503767/items/PV8GW9TT"],"itemData":{"id":901,"type":"article-journal","abstract":"Oxazolidinones are a class of synthetic antimicrobial agents with potent activity against a wide range of multidrug-resistant Gram-positive pathogens including methicillin-resistant Staphylococcus aureus and vancomycin-resistant enterococci. Oxazolidinones exhibit their antibacterial effects by inhibiting protein synthesis acting on the ribosomal 50S subunit of the bacteria and thus preventing formation of a functional 70S initiation complex. Currently, two oxazolidinones have been approved by the US Food and Drug Administration: linezolid and more recently tedizolid. Other oxazolidinones are currently under investigation in clinical trials. These antimicrobial agents exhibit a favourable pharmacokinetic profile with an excellent bioavailability and a good tissue and organ penetration. In-vitro susceptibility studies have shown that oxazolidinones are bacteriostatic against enterococci and staphylococci, and bactericidal for the majority of strains of streptococci. In the context of emergence of resistance to glycopeptides, oxazolidinones have become an effective alternative to vancomycin treatment frequently associated with nephrotoxicity. However, oxazolidinones, and linezolid in particular, are associated with significant adverse events, myelosuppression representing the main unfavourable side effect. More recently, tedizolid has been shown to effectively treat acute bacterial skin and skin structure infections. This newer oxazolidinone offers the advantages of once-daily dosing and a better safety profile in healthy volunteer studies (fewer gastrointestinal and haematological side effects). The potential use of tedizolid for other infections that could require longer therapy warrants further studies for positioning this new oxazolidinone in the available antimicrobial armamentarium. Moreover, other oxazolidinones are currently under active investigation.","container-title":"Clinical Pharmacokinetics","DOI":"10.1007/s40262-017-0601-x","ISSN":"1179-1926","issue":"5","journalAbbreviation":"Clin Pharmacokinet","language":"en","page":"559-575","source":"Springer Link","title":"Clinical Pharmacokinetics and Pharmacodynamics of Oxazolidinones","volume":"57","author":[{"family":"Roger","given":"Claire"},{"family":"Roberts","given":"Jason A."},{"family":"Muller","given":"Laurent"}],"issued":{"date-parts":[["2018",5,1]]}}}],"schema":"https://github.com/citation-style-language/schema/raw/master/csl-citation.json"} </w:instrText>
      </w:r>
      <w:r w:rsidR="00F32E4D">
        <w:rPr>
          <w:rFonts w:eastAsia="Times New Roman" w:cs="Times New Roman"/>
          <w:color w:val="000000"/>
          <w:szCs w:val="24"/>
        </w:rPr>
        <w:fldChar w:fldCharType="separate"/>
      </w:r>
      <w:r w:rsidR="00B26382" w:rsidRPr="00B26382">
        <w:rPr>
          <w:rFonts w:cs="Times New Roman"/>
          <w:szCs w:val="24"/>
          <w:vertAlign w:val="superscript"/>
        </w:rPr>
        <w:t>124</w:t>
      </w:r>
      <w:r w:rsidR="00F32E4D">
        <w:rPr>
          <w:rFonts w:eastAsia="Times New Roman" w:cs="Times New Roman"/>
          <w:color w:val="000000"/>
          <w:szCs w:val="24"/>
        </w:rPr>
        <w:fldChar w:fldCharType="end"/>
      </w:r>
      <w:r w:rsidR="00F32E4D">
        <w:rPr>
          <w:rFonts w:eastAsia="Times New Roman" w:cs="Times New Roman"/>
          <w:color w:val="000000"/>
          <w:szCs w:val="24"/>
        </w:rPr>
        <w:t xml:space="preserve"> that generally inhibits protein synthesis,</w:t>
      </w:r>
      <w:r w:rsidR="00F32E4D">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{"citationID":"XB7vM1Se","properties":{"formattedCitation":"\\super 125\\nosupersub{}","plainCitation":"125","noteIndex":0},"citationItems":[{"id":905,"uris":["http://zotero.org/users/6503767/items/J82CCGMI"],"itemData":{"id":905,"type":"article-journal","abstract":"ABSTRACT\n            \n              The oxazolidinones represent a new class of antimicrobial agents which are active against multidrug-resistant staphylococci, streptococci, and enterococci. Previous studies have demonstrated that oxazolidinones inhibit bacterial translation in vitro at a step preceding elongation but after the charging of\n              N\n              -formylmethionine to the initiator tRNA molecule. The event that occurs between these two steps is termed initiation. Initiation of protein synthesis requires the simultaneous presence of\n              N\n              -formylmethionine-tRNA, the 30S ribosomal subunit, mRNA, GTP, and the initiation factors IF1, IF2, and IF3. An initiation complex assay measuring the binding of [\n              3\n              H]\n              N\n              -formylmethionyl-tRNA to ribosomes in response to mRNA binding was used in order to investigate the mechanism of oxazolidinone action. Linezolid inhibited initiation complex formation with either the 30S or the 70S ribosomal subunits from\n              Escherichia coli\n              . In addition, complex formation with\n              Staphylococcus aureus\n              70S tight-couple ribosomes was inhibited by linezolid. Linezolid did not inhibit the independent binding of either mRNA or\n              N\n              -formylmethionyl-tRNA to\n              E. coli\n              30S ribosomal subunits, nor did it prevent the formation of the IF2–\n              N\n              -formylmethionyl-tRNA binary complex. The results demonstrate that oxazolidinones inhibit the formation of the initiation complex in bacterial translation systems by preventing formation of the\n              N\n              -formylmethionyl-tRNA–ribosome–mRNA ternary complex.","container-title":"Antimicrobial Agents and Chemotherapy","DOI":"10.1128/AAC.42.12.3251","ISSN":"0066-4804, 1098-6596","issue":"12","journalAbbreviation":"Antimicrob Agents Chemother","language":"en","page":"3251-3255","source":"DOI.org (Crossref)","title":"The Oxazolidinone Linezolid Inhibits Initiation of Protein Synthesis in Bacteria","volume":"42","author":[{"family":"Swaney","given":"Steve M."},{"family":"Aoki","given":"Hiroyuki"},{"family":"Ganoza","given":"M. Clelia"},{"family":"Shinabarger","given":"Dean L."}],"issued":{"date-parts":[["1998",12]]}}}],"schema":"https://github.com/citation-style-language/schema/raw/master/csl-citation.json"} </w:instrText>
      </w:r>
      <w:r w:rsidR="00F32E4D">
        <w:rPr>
          <w:rFonts w:eastAsia="Times New Roman" w:cs="Times New Roman"/>
          <w:color w:val="000000"/>
          <w:szCs w:val="24"/>
        </w:rPr>
        <w:fldChar w:fldCharType="separate"/>
      </w:r>
      <w:r w:rsidR="00B26382" w:rsidRPr="00B26382">
        <w:rPr>
          <w:rFonts w:cs="Times New Roman"/>
          <w:szCs w:val="24"/>
          <w:vertAlign w:val="superscript"/>
        </w:rPr>
        <w:t>125</w:t>
      </w:r>
      <w:r w:rsidR="00F32E4D">
        <w:rPr>
          <w:rFonts w:eastAsia="Times New Roman" w:cs="Times New Roman"/>
          <w:color w:val="000000"/>
          <w:szCs w:val="24"/>
        </w:rPr>
        <w:fldChar w:fldCharType="end"/>
      </w:r>
      <w:r w:rsidR="00F32E4D">
        <w:rPr>
          <w:rFonts w:eastAsia="Times New Roman" w:cs="Times New Roman"/>
          <w:color w:val="000000"/>
          <w:szCs w:val="24"/>
        </w:rPr>
        <w:t xml:space="preserve"> was recently found to effectively treat pneumonia symptoms in COVID-19 patients.</w:t>
      </w:r>
      <w:r w:rsidR="00F32E4D">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{"citationID":"H3uKphZm","properties":{"formattedCitation":"\\super 126\\nosupersub{}","plainCitation":"126","noteIndex":0},"citationItems":[{"id":895,"uris":["http://zotero.org/users/6503767/items/Z6K6N7JN"],"itemData":{"id":895,"type":"article-journal","container-title":"Brazilian Journal of Anesthesiology (Elsevier)","DOI":"10.1016/j.bjane.2020.12.019","ISSN":"0104-0014","issue":"2","journalAbbreviation":"Braz J Anesthesiol","note":"PMID: 33619414\nPMCID: PMC7890344","page":"198","source":"PubMed Central","title":"Linezolid a potential treatment for COVID-19 coinfections","volume":"71","author":[{"family":"Moghadam","given":"Vahid Damanpak"},{"family":"Momenimovahed","given":"Zohre"},{"family":"Ghorbani","given":"Maryam"},{"family":"Khodadadi","given":"Javad"}],"issued":{"date-parts":[["2021"]]}}}],"schema":"https://github.com/citation-style-language/schema/raw/master/csl-citation.json"} </w:instrText>
      </w:r>
      <w:r w:rsidR="00F32E4D">
        <w:rPr>
          <w:rFonts w:eastAsia="Times New Roman" w:cs="Times New Roman"/>
          <w:color w:val="000000"/>
          <w:szCs w:val="24"/>
        </w:rPr>
        <w:fldChar w:fldCharType="separate"/>
      </w:r>
      <w:r w:rsidR="00B26382" w:rsidRPr="00B26382">
        <w:rPr>
          <w:rFonts w:cs="Times New Roman"/>
          <w:szCs w:val="24"/>
          <w:vertAlign w:val="superscript"/>
        </w:rPr>
        <w:t>126</w:t>
      </w:r>
      <w:r w:rsidR="00F32E4D">
        <w:rPr>
          <w:rFonts w:eastAsia="Times New Roman" w:cs="Times New Roman"/>
          <w:color w:val="000000"/>
          <w:szCs w:val="24"/>
        </w:rPr>
        <w:fldChar w:fldCharType="end"/>
      </w:r>
      <w:r w:rsidR="00F32E4D">
        <w:rPr>
          <w:rFonts w:eastAsia="Times New Roman" w:cs="Times New Roman"/>
          <w:color w:val="000000"/>
          <w:szCs w:val="24"/>
        </w:rPr>
        <w:t xml:space="preserve"> Our lab has recently developed a number of oxazolidinone analogs, such as </w:t>
      </w:r>
      <w:r w:rsidR="00F32E4D" w:rsidRPr="009D5B20">
        <w:rPr>
          <w:rFonts w:eastAsia="Times New Roman" w:cs="Times New Roman"/>
          <w:b/>
          <w:bCs/>
          <w:color w:val="000000"/>
          <w:szCs w:val="24"/>
        </w:rPr>
        <w:t>4.25</w:t>
      </w:r>
      <w:r w:rsidR="00F32E4D">
        <w:rPr>
          <w:rFonts w:eastAsia="Times New Roman" w:cs="Times New Roman"/>
          <w:b/>
          <w:bCs/>
          <w:color w:val="000000"/>
          <w:szCs w:val="24"/>
        </w:rPr>
        <w:t>,</w:t>
      </w:r>
      <w:r w:rsidR="00F32E4D">
        <w:rPr>
          <w:rFonts w:eastAsia="Times New Roman" w:cs="Times New Roman"/>
          <w:color w:val="000000"/>
          <w:szCs w:val="24"/>
        </w:rPr>
        <w:t xml:space="preserve"> thus motivating us to </w:t>
      </w:r>
      <w:r w:rsidR="0063763C">
        <w:rPr>
          <w:rFonts w:eastAsia="Times New Roman" w:cs="Times New Roman"/>
          <w:color w:val="000000"/>
          <w:szCs w:val="24"/>
        </w:rPr>
        <w:t xml:space="preserve">submit our compounds for </w:t>
      </w:r>
      <w:r w:rsidR="00F32E4D">
        <w:rPr>
          <w:rFonts w:eastAsia="Times New Roman" w:cs="Times New Roman"/>
          <w:color w:val="000000"/>
          <w:szCs w:val="24"/>
        </w:rPr>
        <w:t>viral replication inhibition evaluation</w:t>
      </w:r>
      <w:r w:rsidR="0063763C">
        <w:rPr>
          <w:rFonts w:eastAsia="Times New Roman" w:cs="Times New Roman"/>
          <w:color w:val="000000"/>
          <w:szCs w:val="24"/>
        </w:rPr>
        <w:t xml:space="preserve">. </w:t>
      </w:r>
      <w:r w:rsidRPr="003E5113">
        <w:rPr>
          <w:rFonts w:eastAsia="Times New Roman" w:cs="Times New Roman"/>
          <w:color w:val="000000"/>
          <w:szCs w:val="24"/>
        </w:rPr>
        <w:t xml:space="preserve">Other compounds from </w:t>
      </w:r>
      <w:r w:rsidR="00EF1230" w:rsidRPr="00EF1230">
        <w:rPr>
          <w:rFonts w:eastAsia="Times New Roman" w:cs="Times New Roman"/>
          <w:b/>
          <w:bCs/>
          <w:color w:val="000000"/>
          <w:szCs w:val="24"/>
        </w:rPr>
        <w:fldChar w:fldCharType="begin"/>
      </w:r>
      <w:r w:rsidR="00EF1230" w:rsidRPr="00EF1230">
        <w:rPr>
          <w:rFonts w:eastAsia="Times New Roman" w:cs="Times New Roman"/>
          <w:b/>
          <w:bCs/>
          <w:color w:val="000000"/>
          <w:szCs w:val="24"/>
        </w:rPr>
        <w:instrText xml:space="preserve"> REF _Ref100541749 \h  \* MERGEFORMAT </w:instrText>
      </w:r>
      <w:r w:rsidR="00EF1230" w:rsidRPr="00EF1230">
        <w:rPr>
          <w:rFonts w:eastAsia="Times New Roman" w:cs="Times New Roman"/>
          <w:b/>
          <w:bCs/>
          <w:color w:val="000000"/>
          <w:szCs w:val="24"/>
        </w:rPr>
      </w:r>
      <w:r w:rsidR="00EF1230" w:rsidRPr="00EF1230">
        <w:rPr>
          <w:rFonts w:eastAsia="Times New Roman" w:cs="Times New Roman"/>
          <w:b/>
          <w:bCs/>
          <w:color w:val="000000"/>
          <w:szCs w:val="24"/>
        </w:rPr>
        <w:fldChar w:fldCharType="separate"/>
      </w:r>
      <w:r w:rsidR="00AA5AAC" w:rsidRPr="00AA5AAC">
        <w:rPr>
          <w:b/>
          <w:bCs/>
        </w:rPr>
        <w:t>Figure 1.12</w:t>
      </w:r>
      <w:r w:rsidR="00EF1230" w:rsidRPr="00EF1230">
        <w:rPr>
          <w:rFonts w:eastAsia="Times New Roman" w:cs="Times New Roman"/>
          <w:b/>
          <w:bCs/>
          <w:color w:val="000000"/>
          <w:szCs w:val="24"/>
        </w:rPr>
        <w:fldChar w:fldCharType="end"/>
      </w:r>
      <w:r w:rsidRPr="00EA7D2A">
        <w:rPr>
          <w:rFonts w:eastAsia="Times New Roman" w:cs="Times New Roman"/>
          <w:b/>
          <w:bCs/>
          <w:color w:val="000000"/>
          <w:szCs w:val="24"/>
        </w:rPr>
        <w:t>D</w:t>
      </w:r>
      <w:r>
        <w:rPr>
          <w:rFonts w:eastAsia="Times New Roman" w:cs="Times New Roman"/>
          <w:color w:val="000000"/>
          <w:szCs w:val="24"/>
        </w:rPr>
        <w:t xml:space="preserve"> </w:t>
      </w:r>
      <w:r w:rsidRPr="003E5113">
        <w:rPr>
          <w:rFonts w:eastAsia="Times New Roman" w:cs="Times New Roman"/>
          <w:color w:val="000000"/>
          <w:szCs w:val="24"/>
        </w:rPr>
        <w:t>represent just a few of the chemical classes that our library has to offer: β-</w:t>
      </w:r>
      <w:proofErr w:type="spellStart"/>
      <w:r w:rsidRPr="003E5113">
        <w:rPr>
          <w:rFonts w:eastAsia="Times New Roman" w:cs="Times New Roman"/>
          <w:color w:val="000000"/>
          <w:szCs w:val="24"/>
        </w:rPr>
        <w:t>carbolenes</w:t>
      </w:r>
      <w:proofErr w:type="spellEnd"/>
      <w:r w:rsidRPr="003E5113">
        <w:rPr>
          <w:rFonts w:eastAsia="Times New Roman" w:cs="Times New Roman"/>
          <w:color w:val="000000"/>
          <w:szCs w:val="24"/>
        </w:rPr>
        <w:t xml:space="preserve"> (</w:t>
      </w:r>
      <w:r w:rsidR="0063763C">
        <w:rPr>
          <w:rFonts w:eastAsia="Times New Roman" w:cs="Times New Roman"/>
          <w:b/>
          <w:bCs/>
          <w:color w:val="000000"/>
          <w:szCs w:val="24"/>
        </w:rPr>
        <w:t>4.39</w:t>
      </w:r>
      <w:r w:rsidRPr="003E5113">
        <w:rPr>
          <w:rFonts w:eastAsia="Times New Roman" w:cs="Times New Roman"/>
          <w:color w:val="000000"/>
          <w:szCs w:val="24"/>
        </w:rPr>
        <w:t xml:space="preserve">), </w:t>
      </w:r>
      <w:r w:rsidR="0063763C">
        <w:rPr>
          <w:rFonts w:eastAsia="Times New Roman" w:cs="Times New Roman"/>
          <w:color w:val="000000"/>
          <w:szCs w:val="24"/>
        </w:rPr>
        <w:t>piperazinones (</w:t>
      </w:r>
      <w:r w:rsidR="0063763C" w:rsidRPr="00EF1230">
        <w:rPr>
          <w:rFonts w:eastAsia="Times New Roman" w:cs="Times New Roman"/>
          <w:b/>
          <w:bCs/>
          <w:color w:val="000000"/>
          <w:szCs w:val="24"/>
        </w:rPr>
        <w:t>4.44</w:t>
      </w:r>
      <w:r w:rsidR="0063763C">
        <w:rPr>
          <w:rFonts w:eastAsia="Times New Roman" w:cs="Times New Roman"/>
          <w:color w:val="000000"/>
          <w:szCs w:val="24"/>
        </w:rPr>
        <w:t xml:space="preserve">), </w:t>
      </w:r>
      <w:r w:rsidRPr="003E5113">
        <w:rPr>
          <w:rFonts w:eastAsia="Times New Roman" w:cs="Times New Roman"/>
          <w:color w:val="000000"/>
          <w:szCs w:val="24"/>
        </w:rPr>
        <w:t>and</w:t>
      </w:r>
      <w:r w:rsidR="0063763C">
        <w:rPr>
          <w:rFonts w:eastAsia="Times New Roman" w:cs="Times New Roman"/>
          <w:color w:val="000000"/>
          <w:szCs w:val="24"/>
        </w:rPr>
        <w:t xml:space="preserve"> </w:t>
      </w:r>
      <w:r w:rsidR="00780905">
        <w:rPr>
          <w:rFonts w:eastAsia="Times New Roman" w:cs="Times New Roman"/>
          <w:color w:val="000000"/>
          <w:szCs w:val="24"/>
        </w:rPr>
        <w:t>peptidic</w:t>
      </w:r>
      <w:r w:rsidR="0063763C">
        <w:rPr>
          <w:rFonts w:eastAsia="Times New Roman" w:cs="Times New Roman"/>
          <w:color w:val="000000"/>
          <w:szCs w:val="24"/>
        </w:rPr>
        <w:t xml:space="preserve"> compounds (</w:t>
      </w:r>
      <w:r w:rsidR="0063763C" w:rsidRPr="0063763C">
        <w:rPr>
          <w:rFonts w:eastAsia="Times New Roman" w:cs="Times New Roman"/>
          <w:b/>
          <w:bCs/>
          <w:color w:val="000000"/>
          <w:szCs w:val="24"/>
        </w:rPr>
        <w:t>4.33</w:t>
      </w:r>
      <w:r w:rsidR="0063763C">
        <w:rPr>
          <w:rFonts w:eastAsia="Times New Roman" w:cs="Times New Roman"/>
          <w:color w:val="000000"/>
          <w:szCs w:val="24"/>
        </w:rPr>
        <w:t xml:space="preserve"> and </w:t>
      </w:r>
      <w:r w:rsidR="0063763C" w:rsidRPr="0063763C">
        <w:rPr>
          <w:rFonts w:eastAsia="Times New Roman" w:cs="Times New Roman"/>
          <w:b/>
          <w:bCs/>
          <w:color w:val="000000"/>
          <w:szCs w:val="24"/>
        </w:rPr>
        <w:t>4.37</w:t>
      </w:r>
      <w:r w:rsidR="0063763C">
        <w:rPr>
          <w:rFonts w:eastAsia="Times New Roman" w:cs="Times New Roman"/>
          <w:color w:val="000000"/>
          <w:szCs w:val="24"/>
        </w:rPr>
        <w:t>)</w:t>
      </w:r>
      <w:r w:rsidRPr="003E5113">
        <w:rPr>
          <w:rFonts w:eastAsia="Times New Roman" w:cs="Times New Roman"/>
          <w:color w:val="000000"/>
          <w:szCs w:val="24"/>
        </w:rPr>
        <w:t xml:space="preserve">. </w:t>
      </w:r>
      <w:r>
        <w:rPr>
          <w:rFonts w:eastAsia="Times New Roman" w:cs="Times New Roman"/>
          <w:color w:val="000000"/>
          <w:szCs w:val="24"/>
        </w:rPr>
        <w:t>Due to the relatedness of our existing compound collection to known coronavirus replication inhibitors, we hypothesized that assessment of our</w:t>
      </w:r>
      <w:r w:rsidRPr="003E5113">
        <w:rPr>
          <w:rFonts w:eastAsia="Times New Roman" w:cs="Times New Roman"/>
          <w:color w:val="000000"/>
          <w:szCs w:val="24"/>
        </w:rPr>
        <w:t xml:space="preserve"> library featuring structurally diverse scaffolds will expand the chemical space being explored </w:t>
      </w:r>
      <w:r>
        <w:rPr>
          <w:rFonts w:eastAsia="Times New Roman" w:cs="Times New Roman"/>
          <w:color w:val="000000"/>
          <w:szCs w:val="24"/>
        </w:rPr>
        <w:t>during</w:t>
      </w:r>
      <w:r w:rsidRPr="003E5113">
        <w:rPr>
          <w:rFonts w:eastAsia="Times New Roman" w:cs="Times New Roman"/>
          <w:color w:val="000000"/>
          <w:szCs w:val="24"/>
        </w:rPr>
        <w:t xml:space="preserve"> the search of SARS-CoV-2 inhibitors.</w:t>
      </w:r>
    </w:p>
    <w:p w14:paraId="52256207" w14:textId="44EB342E" w:rsidR="00230631" w:rsidRPr="00740647" w:rsidRDefault="00230631" w:rsidP="00230631">
      <w:pPr>
        <w:ind w:firstLine="720"/>
        <w:rPr>
          <w:rFonts w:eastAsia="Times New Roman" w:cs="Times New Roman"/>
          <w:color w:val="000000"/>
          <w:szCs w:val="24"/>
        </w:rPr>
      </w:pPr>
      <w:r w:rsidRPr="00230631">
        <w:rPr>
          <w:rFonts w:eastAsia="Times New Roman" w:cs="Times New Roman"/>
          <w:color w:val="000000"/>
          <w:szCs w:val="24"/>
        </w:rPr>
        <w:t xml:space="preserve">Since the coronavirus </w:t>
      </w:r>
      <w:proofErr w:type="spellStart"/>
      <w:r w:rsidRPr="00230631">
        <w:rPr>
          <w:rFonts w:eastAsia="Times New Roman" w:cs="Times New Roman"/>
          <w:color w:val="000000"/>
          <w:szCs w:val="24"/>
        </w:rPr>
        <w:t>PL</w:t>
      </w:r>
      <w:r w:rsidRPr="00230631">
        <w:rPr>
          <w:rFonts w:eastAsia="Times New Roman" w:cs="Times New Roman"/>
          <w:color w:val="000000"/>
          <w:szCs w:val="24"/>
          <w:vertAlign w:val="superscript"/>
        </w:rPr>
        <w:t>pro</w:t>
      </w:r>
      <w:proofErr w:type="spellEnd"/>
      <w:r w:rsidRPr="00230631">
        <w:rPr>
          <w:rFonts w:eastAsia="Times New Roman" w:cs="Times New Roman"/>
          <w:color w:val="000000"/>
          <w:szCs w:val="24"/>
        </w:rPr>
        <w:t xml:space="preserve"> is involved in regulation of host interferon and nuclear factor </w:t>
      </w:r>
      <w:proofErr w:type="spellStart"/>
      <w:r w:rsidRPr="00230631">
        <w:rPr>
          <w:rFonts w:eastAsia="Times New Roman" w:cs="Times New Roman"/>
          <w:color w:val="000000"/>
          <w:szCs w:val="24"/>
        </w:rPr>
        <w:t>κB</w:t>
      </w:r>
      <w:proofErr w:type="spellEnd"/>
      <w:r w:rsidRPr="00230631">
        <w:rPr>
          <w:rFonts w:eastAsia="Times New Roman" w:cs="Times New Roman"/>
          <w:color w:val="000000"/>
          <w:szCs w:val="24"/>
        </w:rPr>
        <w:t xml:space="preserve"> (NF-</w:t>
      </w:r>
      <w:proofErr w:type="spellStart"/>
      <w:r w:rsidRPr="00230631">
        <w:rPr>
          <w:rFonts w:eastAsia="Times New Roman" w:cs="Times New Roman"/>
          <w:color w:val="000000"/>
          <w:szCs w:val="24"/>
        </w:rPr>
        <w:t>κB</w:t>
      </w:r>
      <w:proofErr w:type="spellEnd"/>
      <w:r w:rsidRPr="00230631">
        <w:rPr>
          <w:rFonts w:eastAsia="Times New Roman" w:cs="Times New Roman"/>
          <w:color w:val="000000"/>
          <w:szCs w:val="24"/>
        </w:rPr>
        <w:t>) pathways,</w:t>
      </w:r>
      <w:r w:rsidRPr="00230631">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{"citationID":"wGS8ZMUI","properties":{"formattedCitation":"\\super 127\\nosupersub{}","plainCitation":"127","noteIndex":0},"citationItems":[{"id":861,"uris":["http://zotero.org/users/6503767/items/68GMTIDY"],"itemData":{"id":861,"type":"article-journal","abstract":"The papain-like protease PLpro is an essential coronavirus enzyme that is required for processing viral polyproteins to generate a functional replicase complex and enable viral spread1,2. PLpro is also implicated in cleaving proteinaceous post-translational modifications on host proteins as an evasion mechanism against host antiviral immune responses3–5. Here we perform biochemical, structural and functional characterization of the severe acute respiratory syndrome coronavirus 2 (SARS-CoV-2) PLpro (SCoV2-PLpro) and outline differences with SARS-CoV PLpro (SCoV-PLpro) in regulation of host interferon and NF-κB pathways. SCoV2-PLpro and SCoV-PLpro share 83% sequence identity but exhibit different host substrate preferences; SCoV2-PLpro preferentially cleaves the ubiquitin-like interferon-stimulated gene 15 protein (ISG15), whereas SCoV-PLpro predominantly targets ubiquitin chains. The crystal structure of SCoV2-PLpro in complex with ISG15 reveals distinctive interactions with the amino-terminal ubiquitin-like domain of ISG15, highlighting the high affinity and specificity of these interactions. Furthermore, upon infection, SCoV2-PLpro contributes to the cleavage of ISG15 from interferon responsive factor 3 (IRF3) and attenuates type I interferon responses. Notably, inhibition of SCoV2-PLpro with GRL-0617 impairs the virus-induced cytopathogenic effect, maintains the antiviral interferon pathway and reduces viral replication in infected cells. These results highlight a potential dual therapeutic strategy in which targeting of SCoV2-PLpro can suppress SARS-CoV-2 infection and promote antiviral immunity.","container-title":"Nature","DOI":"10.1038/s41586-020-2601-5","ISSN":"1476-4687","issue":"7835","language":"en","note":"number: 7835\npublisher: Nature Publishing Group","page":"657-662","source":"www-nature-com.ezproxy.lib.ou.edu","title":"Papain-like protease regulates SARS-CoV-2 viral spread and innate immunity","volume":"587","author":[{"family":"Shin","given":"Donghyuk"},{"family":"Mukherjee","given":"Rukmini"},{"family":"Grewe","given":"Diana"},{"family":"Bojkova","given":"Denisa"},{"family":"Baek","given":"Kheewoong"},{"family":"Bhattacharya","given":"Anshu"},{"family":"Schulz","given":"Laura"},{"family":"Widera","given":"Marek"},{"family":"Mehdipour","given":"Ahmad Reza"},{"family":"Tascher","given":"Georg"},{"family":"Geurink","given":"Paul P."},{"family":"Wilhelm","given":"Alexander"},{"family":"Heden van Noort","given":"Gerbrand J.","non-dropping-particle":"van der"},{"family":"Ovaa","given":"Huib"},{"family":"Müller","given":"Stefan"},{"family":"Knobeloch","given":"Klaus-Peter"},{"family":"Rajalingam","given":"Krishnaraj"},{"family":"Schulman","given":"Brenda A."},{"family":"Cinatl","given":"Jindrich"},{"family":"Hummer","given":"Gerhard"},{"family":"Ciesek","given":"Sandra"},{"family":"Dikic","given":"Ivan"}],"issued":{"date-parts":[["2020",11]]}}}],"schema":"https://github.com/citation-style-language/schema/raw/master/csl-citation.json"} </w:instrText>
      </w:r>
      <w:r w:rsidRPr="00230631">
        <w:rPr>
          <w:rFonts w:eastAsia="Times New Roman" w:cs="Times New Roman"/>
          <w:color w:val="000000"/>
          <w:szCs w:val="24"/>
        </w:rPr>
        <w:fldChar w:fldCharType="separate"/>
      </w:r>
      <w:r w:rsidR="00B26382" w:rsidRPr="00B26382">
        <w:rPr>
          <w:rFonts w:cs="Times New Roman"/>
          <w:szCs w:val="24"/>
          <w:vertAlign w:val="superscript"/>
        </w:rPr>
        <w:t>127</w:t>
      </w:r>
      <w:r w:rsidRPr="00230631">
        <w:rPr>
          <w:rFonts w:eastAsia="Times New Roman" w:cs="Times New Roman"/>
          <w:color w:val="000000"/>
          <w:szCs w:val="24"/>
        </w:rPr>
        <w:fldChar w:fldCharType="end"/>
      </w:r>
      <w:r w:rsidRPr="00230631">
        <w:rPr>
          <w:rFonts w:eastAsia="Times New Roman" w:cs="Times New Roman"/>
          <w:color w:val="000000"/>
          <w:szCs w:val="24"/>
        </w:rPr>
        <w:t xml:space="preserve"> and dysregulation of NF-kB can lead to inflammatory diseases and tumorigenesis,</w:t>
      </w:r>
      <w:r w:rsidRPr="00230631">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{"citationID":"eRRU82Me","properties":{"formattedCitation":"\\super 128\\nosupersub{}","plainCitation":"128","noteIndex":0},"citationItems":[{"id":858,"uris":["http://zotero.org/users/6503767/items/6IMVIQN2"],"itemData":{"id":858,"type":"article-journal","abstract":"The nuclear factor κB (NF-κB) transcription factor regulates the expression of genes involved in cell survival and immune responses. We have identified a novel interferon (IFN)-activated signaling pathway that leads to NF-κB activation and demonstrate that a subset of IFN-stimulated genes and microRNAs that play key roles in cellular response to IFN is regulated by NF-κB. This review focuses on the IFN-induced NF-κB activation pathway and the role of NF-κB in the expression of IFN-induced coding and noncoding genes, antiviral activity and apoptosis, and the therapeutic application of IFN in cancer and infectious disease.","container-title":"Journal of Interferon &amp; Cytokine Research","DOI":"10.1089/jir.2011.0028","ISSN":"1079-9907","issue":"7","journalAbbreviation":"J Interferon Cytokine Res","note":"PMID: 21631354\nPMCID: PMC3128784","page":"553-559","source":"PubMed Central","title":"The Role of Nuclear Factor κB in the Interferon Response","volume":"31","author":[{"family":"Pfeffer","given":"Lawrence M."}],"issued":{"date-parts":[["2011",7]]}}}],"schema":"https://github.com/citation-style-language/schema/raw/master/csl-citation.json"} </w:instrText>
      </w:r>
      <w:r w:rsidRPr="00230631">
        <w:rPr>
          <w:rFonts w:eastAsia="Times New Roman" w:cs="Times New Roman"/>
          <w:color w:val="000000"/>
          <w:szCs w:val="24"/>
        </w:rPr>
        <w:fldChar w:fldCharType="separate"/>
      </w:r>
      <w:r w:rsidR="00B26382" w:rsidRPr="00B26382">
        <w:rPr>
          <w:rFonts w:cs="Times New Roman"/>
          <w:szCs w:val="24"/>
          <w:vertAlign w:val="superscript"/>
        </w:rPr>
        <w:t>128</w:t>
      </w:r>
      <w:r w:rsidRPr="00230631">
        <w:rPr>
          <w:rFonts w:eastAsia="Times New Roman" w:cs="Times New Roman"/>
          <w:color w:val="000000"/>
          <w:szCs w:val="24"/>
        </w:rPr>
        <w:fldChar w:fldCharType="end"/>
      </w:r>
      <w:r w:rsidRPr="00230631">
        <w:rPr>
          <w:rFonts w:eastAsia="Times New Roman" w:cs="Times New Roman"/>
          <w:color w:val="000000"/>
          <w:szCs w:val="24"/>
        </w:rPr>
        <w:t xml:space="preserve"> it is possible that </w:t>
      </w:r>
      <w:proofErr w:type="spellStart"/>
      <w:r w:rsidRPr="00230631">
        <w:rPr>
          <w:rFonts w:eastAsia="Times New Roman" w:cs="Times New Roman"/>
          <w:color w:val="000000"/>
          <w:szCs w:val="24"/>
        </w:rPr>
        <w:t>PL</w:t>
      </w:r>
      <w:r w:rsidRPr="00230631">
        <w:rPr>
          <w:rFonts w:eastAsia="Times New Roman" w:cs="Times New Roman"/>
          <w:color w:val="000000"/>
          <w:szCs w:val="24"/>
          <w:vertAlign w:val="superscript"/>
        </w:rPr>
        <w:t>pro</w:t>
      </w:r>
      <w:proofErr w:type="spellEnd"/>
      <w:r w:rsidRPr="00230631">
        <w:rPr>
          <w:rFonts w:eastAsia="Times New Roman" w:cs="Times New Roman"/>
          <w:color w:val="000000"/>
          <w:szCs w:val="24"/>
        </w:rPr>
        <w:t xml:space="preserve"> inhibitors might lead to more off-target downstream (and potentially detrimental) effects. Especially with recent reports on the safety profiles of </w:t>
      </w:r>
      <w:proofErr w:type="spellStart"/>
      <w:r w:rsidRPr="00230631">
        <w:rPr>
          <w:rFonts w:eastAsia="Times New Roman" w:cs="Times New Roman"/>
          <w:color w:val="000000"/>
          <w:szCs w:val="24"/>
        </w:rPr>
        <w:t>M</w:t>
      </w:r>
      <w:r w:rsidRPr="00230631">
        <w:rPr>
          <w:rFonts w:eastAsia="Times New Roman" w:cs="Times New Roman"/>
          <w:color w:val="000000"/>
          <w:szCs w:val="24"/>
          <w:vertAlign w:val="superscript"/>
        </w:rPr>
        <w:t>pro</w:t>
      </w:r>
      <w:proofErr w:type="spellEnd"/>
      <w:r w:rsidRPr="00230631">
        <w:rPr>
          <w:rFonts w:eastAsia="Times New Roman" w:cs="Times New Roman"/>
          <w:color w:val="000000"/>
          <w:szCs w:val="24"/>
        </w:rPr>
        <w:t xml:space="preserve"> </w:t>
      </w:r>
      <w:r w:rsidRPr="00230631">
        <w:rPr>
          <w:rFonts w:eastAsia="Times New Roman" w:cs="Times New Roman"/>
          <w:color w:val="000000"/>
          <w:szCs w:val="24"/>
        </w:rPr>
        <w:lastRenderedPageBreak/>
        <w:t>inhibitors,</w:t>
      </w:r>
      <w:r w:rsidRPr="00230631">
        <w:rPr>
          <w:rFonts w:eastAsia="Times New Roman" w:cs="Times New Roman"/>
          <w:color w:val="000000"/>
          <w:szCs w:val="24"/>
        </w:rPr>
        <w:fldChar w:fldCharType="begin"/>
      </w:r>
      <w:r w:rsidR="00B26382">
        <w:rPr>
          <w:rFonts w:eastAsia="Times New Roman" w:cs="Times New Roman"/>
          <w:color w:val="000000"/>
          <w:szCs w:val="24"/>
        </w:rPr>
        <w:instrText xml:space="preserve"> ADDIN ZOTERO_ITEM CSL_CITATION {"citationID":"M2GUxOvx","properties":{"formattedCitation":"\\super 129,130\\nosupersub{}","plainCitation":"129,130","noteIndex":0},"citationItems":[{"id":864,"uris":["http://zotero.org/users/6503767/items/AV9DAVEE"],"itemData":{"id":864,"type":"article-journal","abstract":"Coronaviruses cause diseases in humans and livestock. The SARS-CoV-2 is infecting millions of human beings, with high morbidity and mortality worldwide. The main protease (Mpro) of coronavirus plays a pivotal role in viral replication and transcription, which, in theory, is an attractive drug target for antiviral drug development. It has been extensively discussed whether Xanthohumol is able to help COVID-19 patients. Here, we report that Xanthohumol, a small molecule in clinical trials from hops (Humulus lupulus), was a potent pan-inhibitor for various coronaviruses by targeting Mpro, for example, betacoronavirus SARS-CoV-2 (IC50 value of 1.53 μM), and alphacoronavirus PEDV (IC50 value of 7.51 μM). Xanthohumol inhibited Mpro activities in the enzymatical assays, while pretreatment with Xanthohumol restricted the SARS-CoV-2 and PEDV replication in Vero-E6 cells. Therefore, Xanthohumol is a potent pan-inhibitor of coronaviruses and an excellent lead compound for further drug development.","container-title":"International Journal of Molecular Sciences","DOI":"10.3390/ijms222212134","ISSN":"1422-0067","issue":"22","language":"en","note":"number: 22\npublisher: Multidisciplinary Digital Publishing Institute","page":"12134","source":"www.mdpi.com","title":"Xanthohumol Is a Potent Pan-Inhibitor of Coronaviruses Targeting Main Protease","volume":"22","author":[{"family":"Lin","given":"Yuxi"},{"family":"Zang","given":"Ruochen"},{"family":"Ma","given":"Yanlong"},{"family":"Wang","given":"Zhuoya"},{"family":"Li","given":"Li"},{"family":"Ding","given":"Siyuan"},{"family":"Zhang","given":"Rong"},{"family":"Wei","given":"Zhiqiang"},{"family":"Yang","given":"Jinbo"},{"family":"Wang","given":"Xin"}],"issued":{"date-parts":[["2021",1]]}}},{"id":848,"uris":["http://zotero.org/users/6503767/items/DSTZ67RQ"],"itemData":{"id":848,"type":"article-journal","container-title":"Science","DOI":"10.1126/science.abl4784","issue":"6575","note":"publisher: American Association for the Advancement of Science","page":"1586-1593","source":"www-science-org.ezproxy.lib.ou.edu (Atypon)","title":"An oral SARS-CoV-2 Mpro inhibitor clinical candidate for the treatment of COVID-19","volume":"374","author":[{"family":"Owen","given":"Dafydd R."},{"family":"Allerton","given":"Charlotte M. N."},{"family":"Anderson","given":"Annaliesa S."},{"family":"Aschenbrenner","given":"Lisa"},{"family":"Avery","given":"Melissa"},{"family":"Berritt","given":"Simon"},{"family":"Boras","given":"Britton"},{"family":"Cardin","given":"Rhonda D."},{"family":"Carlo","given":"Anthony"},{"family":"Coffman","given":"Karen J."},{"family":"Dantonio","given":"Alyssa"},{"family":"Di","given":"Li"},{"family":"Eng","given":"Heather"},{"family":"Ferre","given":"RoseAnn"},{"family":"Gajiwala","given":"Ketan S."},{"family":"Gibson","given":"Scott A."},{"family":"Greasley","given":"Samantha E."},{"family":"Hurst","given":"Brett L."},{"family":"Kadar","given":"Eugene P."},{"family":"Kalgutkar","given":"Amit S."},{"family":"Lee","given":"Jack C."},{"family":"Lee","given":"Jisun"},{"family":"Liu","given":"Wei"},{"family":"Mason","given":"Stephen W."},{"family":"Noell","given":"Stephen"},{"family":"Novak","given":"Jonathan J."},{"family":"Obach","given":"R. Scott"},{"family":"Ogilvie","given":"Kevin"},{"family":"Patel","given":"Nandini C."},{"family":"Pettersson","given":"Martin"},{"family":"Rai","given":"Devendra K."},{"family":"Reese","given":"Matthew R."},{"family":"Sammons","given":"Matthew F."},{"family":"Sathish","given":"Jean G."},{"family":"Singh","given":"Ravi Shankar P."},{"family":"Steppan","given":"Claire M."},{"family":"Stewart","given":"Al E."},{"family":"Tuttle","given":"Jamison B."},{"family":"Updyke","given":"Lawrence"},{"family":"Verhoest","given":"Patrick R."},{"family":"Wei","given":"Liuqing"},{"family":"Yang","given":"Qingyi"},{"family":"Zhu","given":"Yuao"}],"issued":{"date-parts":[["2021",12,24]]}}}],"schema":"https://github.com/citation-style-language/schema/raw/master/csl-citation.json"} </w:instrText>
      </w:r>
      <w:r w:rsidRPr="00230631">
        <w:rPr>
          <w:rFonts w:eastAsia="Times New Roman" w:cs="Times New Roman"/>
          <w:color w:val="000000"/>
          <w:szCs w:val="24"/>
        </w:rPr>
        <w:fldChar w:fldCharType="separate"/>
      </w:r>
      <w:r w:rsidR="00B26382" w:rsidRPr="00B26382">
        <w:rPr>
          <w:rFonts w:cs="Times New Roman"/>
          <w:szCs w:val="24"/>
          <w:vertAlign w:val="superscript"/>
        </w:rPr>
        <w:t>129,130</w:t>
      </w:r>
      <w:r w:rsidRPr="00230631">
        <w:rPr>
          <w:rFonts w:eastAsia="Times New Roman" w:cs="Times New Roman"/>
          <w:color w:val="000000"/>
          <w:szCs w:val="24"/>
        </w:rPr>
        <w:fldChar w:fldCharType="end"/>
      </w:r>
      <w:r w:rsidRPr="00230631">
        <w:rPr>
          <w:rFonts w:eastAsia="Times New Roman" w:cs="Times New Roman"/>
          <w:color w:val="000000"/>
          <w:szCs w:val="24"/>
        </w:rPr>
        <w:t xml:space="preserve"> we decided to focus our efforts on exploring the chemical space and structure-activity relationships (SAR) of </w:t>
      </w:r>
      <w:proofErr w:type="spellStart"/>
      <w:r w:rsidRPr="00230631">
        <w:rPr>
          <w:rFonts w:eastAsia="Times New Roman" w:cs="Times New Roman"/>
          <w:color w:val="000000"/>
          <w:szCs w:val="24"/>
        </w:rPr>
        <w:t>M</w:t>
      </w:r>
      <w:r w:rsidRPr="00230631">
        <w:rPr>
          <w:rFonts w:eastAsia="Times New Roman" w:cs="Times New Roman"/>
          <w:color w:val="000000"/>
          <w:szCs w:val="24"/>
          <w:vertAlign w:val="superscript"/>
        </w:rPr>
        <w:t>pro</w:t>
      </w:r>
      <w:proofErr w:type="spellEnd"/>
      <w:r w:rsidRPr="00230631">
        <w:rPr>
          <w:rFonts w:eastAsia="Times New Roman" w:cs="Times New Roman"/>
          <w:color w:val="000000"/>
          <w:szCs w:val="24"/>
        </w:rPr>
        <w:t xml:space="preserve"> inhibitors.</w:t>
      </w:r>
    </w:p>
    <w:p w14:paraId="7D894952" w14:textId="01E9CCB0" w:rsidR="003A5ACD" w:rsidRDefault="003A5ACD" w:rsidP="003A5ACD">
      <w:pPr>
        <w:pStyle w:val="Subsection"/>
      </w:pPr>
      <w:bookmarkStart w:id="111" w:name="_Toc100241884"/>
      <w:bookmarkStart w:id="112" w:name="_Toc102586248"/>
      <w:r w:rsidRPr="003E5113">
        <w:t>1.</w:t>
      </w:r>
      <w:r>
        <w:t>3</w:t>
      </w:r>
      <w:r w:rsidRPr="003E5113">
        <w:t>.</w:t>
      </w:r>
      <w:r>
        <w:t>3</w:t>
      </w:r>
      <w:r w:rsidRPr="003E5113">
        <w:t xml:space="preserve"> Summary </w:t>
      </w:r>
      <w:r>
        <w:t>of</w:t>
      </w:r>
      <w:r w:rsidRPr="003E5113">
        <w:t xml:space="preserve"> what was accomplished</w:t>
      </w:r>
      <w:bookmarkEnd w:id="111"/>
      <w:r w:rsidR="00143C5D">
        <w:t>.</w:t>
      </w:r>
      <w:bookmarkEnd w:id="112"/>
    </w:p>
    <w:p w14:paraId="64F4ECFD" w14:textId="2EB52196" w:rsidR="00780905" w:rsidRDefault="00780905" w:rsidP="006055EE">
      <w:pPr>
        <w:ind w:firstLine="720"/>
      </w:pPr>
      <w:r>
        <w:t xml:space="preserve">25 compounds from the Duerfeldt lab small molecule library were sent to Dr. John </w:t>
      </w:r>
      <w:proofErr w:type="spellStart"/>
      <w:r>
        <w:t>Teijaro</w:t>
      </w:r>
      <w:proofErr w:type="spellEnd"/>
      <w:r>
        <w:t xml:space="preserve"> at the Scripps Research Institute (TSRI) for evaluation in an established phenotypic cellular assay.</w:t>
      </w:r>
      <w:r>
        <w:fldChar w:fldCharType="begin"/>
      </w:r>
      <w:r w:rsidR="00B26382">
        <w:instrText xml:space="preserve"> ADDIN ZOTERO_ITEM CSL_CITATION {"citationID":"V6HzIXgY","properties":{"formattedCitation":"\\super 131\\nosupersub{}","plainCitation":"131","noteIndex":0},"citationItems":[{"id":944,"uris":["http://zotero.org/users/6503767/items/K4PW7AV4"],"itemData":{"id":944,"type":"article-journal","abstract":"Here, the authors perform repurposing screens of the ReFRAME drug library in two cell lines and identify inhibitors of SARS-CoV-2 infection. Antiviral activity of prodrug MK-4482 is confirmed in hamsters.","container-title":"Nature Communications","DOI":"10.1038/s41467-021-23328-0","ISSN":"2041-1723","issue":"1","journalAbbreviation":"Nat Commun","language":"en","note":"number: 1\npublisher: Nature Publishing Group","page":"1-14","source":"www-nature-com.ezproxy.lib.ou.edu","title":"Drug repurposing screens identify chemical entities for the development of COVID-19 interventions","volume":"12","author":[{"family":"Bakowski","given":"Malina A."},{"family":"Beutler","given":"Nathan"},{"family":"Wolff","given":"Karen C."},{"family":"Kirkpatrick","given":"Melanie G."},{"family":"Chen","given":"Emily"},{"family":"Nguyen","given":"Tu-Trinh H."},{"family":"Riva","given":"Laura"},{"family":"Shaabani","given":"Namir"},{"family":"Parren","given":"Mara"},{"family":"Ricketts","given":"James"},{"family":"Gupta","given":"Anil K."},{"family":"Pan","given":"Kastin"},{"family":"Kuo","given":"Peiting"},{"family":"Fuller","given":"MacKenzie"},{"family":"Garcia","given":"Elijah"},{"family":"Teijaro","given":"John R."},{"family":"Yang","given":"Linlin"},{"family":"Sahoo","given":"Debashis"},{"family":"Chi","given":"Victor"},{"family":"Huang","given":"Edward"},{"family":"Vargas","given":"Natalia"},{"family":"Roberts","given":"Amanda J."},{"family":"Das","given":"Soumita"},{"family":"Ghosh","given":"Pradipta"},{"family":"Woods","given":"Ashley K."},{"family":"Joseph","given":"Sean B."},{"family":"Hull","given":"Mitchell V."},{"family":"Schultz","given":"Peter G."},{"family":"Burton","given":"Dennis R."},{"family":"Chatterjee","given":"Arnab K."},{"family":"McNamara","given":"Case W."},{"family":"Rogers","given":"Thomas F."}],"issued":{"date-parts":[["2021",6,3]]}}}],"schema":"https://github.com/citation-style-language/schema/raw/master/csl-citation.json"} </w:instrText>
      </w:r>
      <w:r>
        <w:fldChar w:fldCharType="separate"/>
      </w:r>
      <w:r w:rsidR="00B26382" w:rsidRPr="00B26382">
        <w:rPr>
          <w:rFonts w:cs="Times New Roman"/>
          <w:szCs w:val="24"/>
          <w:vertAlign w:val="superscript"/>
        </w:rPr>
        <w:t>131</w:t>
      </w:r>
      <w:r>
        <w:fldChar w:fldCharType="end"/>
      </w:r>
      <w:r>
        <w:t xml:space="preserve"> In this assay, compounds (initial concentration of 1 </w:t>
      </w:r>
      <w:proofErr w:type="spellStart"/>
      <w:r>
        <w:rPr>
          <w:rFonts w:ascii="Calibri" w:hAnsi="Calibri" w:cs="Calibri"/>
        </w:rPr>
        <w:t>μ</w:t>
      </w:r>
      <w:r>
        <w:t>M</w:t>
      </w:r>
      <w:proofErr w:type="spellEnd"/>
      <w:r>
        <w:t xml:space="preserve">) were added to the wells concomitantly with SARS-CoV-2, and morphological changes in cells were monitored </w:t>
      </w:r>
      <w:r w:rsidR="00230631">
        <w:t>over 3 days</w:t>
      </w:r>
      <w:r>
        <w:t xml:space="preserve"> to determine viral cytopathic effect (CPE). </w:t>
      </w:r>
      <w:r w:rsidR="00230631">
        <w:t>Unfortunately, all of our submitted compounds were found to be inactive, and further studies on existing compounds in our library were halted.</w:t>
      </w:r>
    </w:p>
    <w:p w14:paraId="4FDDE78F" w14:textId="4ADDC4B6" w:rsidR="00692E05" w:rsidRDefault="00692E05" w:rsidP="00692E05">
      <w:r>
        <w:rPr>
          <w:noProof/>
        </w:rPr>
        <mc:AlternateContent>
          <mc:Choice Requires="wps">
            <w:drawing>
              <wp:inline distT="0" distB="0" distL="0" distR="0" wp14:anchorId="38D04E30" wp14:editId="0FBBEBB2">
                <wp:extent cx="5943600" cy="4047214"/>
                <wp:effectExtent l="0" t="0" r="19050" b="10795"/>
                <wp:docPr id="5" name="Text Box 2" descr="Structural evolution from ML188 to JG58. &#10;Percent inhibition is shown under compound nam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47214"/>
                        </a:xfrm>
                        <a:prstGeom prst="rect">
                          <a:avLst/>
                        </a:prstGeom>
                        <a:solidFill>
                          <a:srgbClr val="FFFFFF"/>
                        </a:solidFill>
                        <a:ln w="9525">
                          <a:solidFill>
                            <a:srgbClr val="000000"/>
                          </a:solidFill>
                          <a:miter lim="800000"/>
                          <a:headEnd/>
                          <a:tailEnd/>
                        </a:ln>
                      </wps:spPr>
                      <wps:txbx>
                        <w:txbxContent>
                          <w:p w14:paraId="7C75D62F" w14:textId="77777777" w:rsidR="00692E05" w:rsidRDefault="00692E05" w:rsidP="00692E05">
                            <w:pPr>
                              <w:keepNext/>
                              <w:spacing w:after="0"/>
                              <w:jc w:val="center"/>
                            </w:pPr>
                            <w:r>
                              <w:rPr>
                                <w:noProof/>
                              </w:rPr>
                              <w:drawing>
                                <wp:inline distT="0" distB="0" distL="0" distR="0" wp14:anchorId="44E5C62C" wp14:editId="5176F581">
                                  <wp:extent cx="5327374" cy="3303141"/>
                                  <wp:effectExtent l="0" t="0" r="6985" b="0"/>
                                  <wp:docPr id="6" name="Picture 6" descr="Structural evolution from ML188 to JG5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tructural evolution from ML188 to JG58. "/>
                                          <pic:cNvPicPr/>
                                        </pic:nvPicPr>
                                        <pic:blipFill>
                                          <a:blip r:embed="rId101">
                                            <a:extLst>
                                              <a:ext uri="{28A0092B-C50C-407E-A947-70E740481C1C}">
                                                <a14:useLocalDpi xmlns:a14="http://schemas.microsoft.com/office/drawing/2010/main" val="0"/>
                                              </a:ext>
                                            </a:extLst>
                                          </a:blip>
                                          <a:stretch>
                                            <a:fillRect/>
                                          </a:stretch>
                                        </pic:blipFill>
                                        <pic:spPr>
                                          <a:xfrm>
                                            <a:off x="0" y="0"/>
                                            <a:ext cx="5335854" cy="3308399"/>
                                          </a:xfrm>
                                          <a:prstGeom prst="rect">
                                            <a:avLst/>
                                          </a:prstGeom>
                                        </pic:spPr>
                                      </pic:pic>
                                    </a:graphicData>
                                  </a:graphic>
                                </wp:inline>
                              </w:drawing>
                            </w:r>
                          </w:p>
                          <w:p w14:paraId="6D53338C" w14:textId="07778D72" w:rsidR="00692E05" w:rsidRDefault="00692E05" w:rsidP="00DF51F5">
                            <w:pPr>
                              <w:pStyle w:val="Caption"/>
                            </w:pPr>
                            <w:bookmarkStart w:id="113" w:name="_Ref100543359"/>
                            <w:bookmarkStart w:id="114" w:name="_Toc100748294"/>
                            <w:r>
                              <w:t>Figure 1.</w:t>
                            </w:r>
                            <w:fldSimple w:instr=" SEQ Figure \* ARABIC ">
                              <w:r w:rsidR="00AA5AAC">
                                <w:rPr>
                                  <w:noProof/>
                                </w:rPr>
                                <w:t>13</w:t>
                              </w:r>
                            </w:fldSimple>
                            <w:bookmarkEnd w:id="113"/>
                            <w:r>
                              <w:t>. Structural evolution from ML188 to JG58.</w:t>
                            </w:r>
                            <w:bookmarkEnd w:id="114"/>
                            <w:r>
                              <w:t xml:space="preserve"> </w:t>
                            </w:r>
                          </w:p>
                          <w:p w14:paraId="2BED691D" w14:textId="77777777" w:rsidR="00692E05" w:rsidRPr="00886205" w:rsidRDefault="00692E05" w:rsidP="00692E05">
                            <w:r>
                              <w:t xml:space="preserve">Percent inhibition is shown under compound name. </w:t>
                            </w:r>
                          </w:p>
                          <w:p w14:paraId="4DE63CB3" w14:textId="77777777" w:rsidR="00692E05" w:rsidRDefault="00692E05" w:rsidP="00692E05"/>
                        </w:txbxContent>
                      </wps:txbx>
                      <wps:bodyPr rot="0" vert="horz" wrap="square" lIns="91440" tIns="45720" rIns="91440" bIns="45720" anchor="t" anchorCtr="0">
                        <a:noAutofit/>
                      </wps:bodyPr>
                    </wps:wsp>
                  </a:graphicData>
                </a:graphic>
              </wp:inline>
            </w:drawing>
          </mc:Choice>
          <mc:Fallback>
            <w:pict>
              <v:shape w14:anchorId="38D04E30" id="_x0000_s1041" type="#_x0000_t202" alt="Structural evolution from ML188 to JG58. &#10;Percent inhibition is shown under compound name. " style="width:468pt;height:31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">
                <v:textbox>
                  <w:txbxContent>
                    <w:p w14:paraId="7C75D62F" w14:textId="77777777" w:rsidR="00692E05" w:rsidRDefault="00692E05" w:rsidP="00692E05">
                      <w:pPr>
                        <w:keepNext/>
                        <w:spacing w:after="0"/>
                        <w:jc w:val="center"/>
                      </w:pPr>
                      <w:r>
                        <w:rPr>
                          <w:noProof/>
                        </w:rPr>
                        <w:drawing>
                          <wp:inline distT="0" distB="0" distL="0" distR="0" wp14:anchorId="44E5C62C" wp14:editId="5176F581">
                            <wp:extent cx="5327374" cy="3303141"/>
                            <wp:effectExtent l="0" t="0" r="6985" b="0"/>
                            <wp:docPr id="6" name="Picture 6" descr="Structural evolution from ML188 to JG5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tructural evolution from ML188 to JG58. "/>
                                    <pic:cNvPicPr/>
                                  </pic:nvPicPr>
                                  <pic:blipFill>
                                    <a:blip r:embed="rId101">
                                      <a:extLst>
                                        <a:ext uri="{28A0092B-C50C-407E-A947-70E740481C1C}">
                                          <a14:useLocalDpi xmlns:a14="http://schemas.microsoft.com/office/drawing/2010/main" val="0"/>
                                        </a:ext>
                                      </a:extLst>
                                    </a:blip>
                                    <a:stretch>
                                      <a:fillRect/>
                                    </a:stretch>
                                  </pic:blipFill>
                                  <pic:spPr>
                                    <a:xfrm>
                                      <a:off x="0" y="0"/>
                                      <a:ext cx="5335854" cy="3308399"/>
                                    </a:xfrm>
                                    <a:prstGeom prst="rect">
                                      <a:avLst/>
                                    </a:prstGeom>
                                  </pic:spPr>
                                </pic:pic>
                              </a:graphicData>
                            </a:graphic>
                          </wp:inline>
                        </w:drawing>
                      </w:r>
                    </w:p>
                    <w:p w14:paraId="6D53338C" w14:textId="07778D72" w:rsidR="00692E05" w:rsidRDefault="00692E05" w:rsidP="00DF51F5">
                      <w:pPr>
                        <w:pStyle w:val="Caption"/>
                      </w:pPr>
                      <w:bookmarkStart w:id="115" w:name="_Ref100543359"/>
                      <w:bookmarkStart w:id="116" w:name="_Toc100748294"/>
                      <w:r>
                        <w:t>Figure 1.</w:t>
                      </w:r>
                      <w:fldSimple w:instr=" SEQ Figure \* ARABIC ">
                        <w:r w:rsidR="00AA5AAC">
                          <w:rPr>
                            <w:noProof/>
                          </w:rPr>
                          <w:t>13</w:t>
                        </w:r>
                      </w:fldSimple>
                      <w:bookmarkEnd w:id="115"/>
                      <w:r>
                        <w:t>. Structural evolution from ML188 to JG58.</w:t>
                      </w:r>
                      <w:bookmarkEnd w:id="116"/>
                      <w:r>
                        <w:t xml:space="preserve"> </w:t>
                      </w:r>
                    </w:p>
                    <w:p w14:paraId="2BED691D" w14:textId="77777777" w:rsidR="00692E05" w:rsidRPr="00886205" w:rsidRDefault="00692E05" w:rsidP="00692E05">
                      <w:r>
                        <w:t xml:space="preserve">Percent inhibition is shown under compound name. </w:t>
                      </w:r>
                    </w:p>
                    <w:p w14:paraId="4DE63CB3" w14:textId="77777777" w:rsidR="00692E05" w:rsidRDefault="00692E05" w:rsidP="00692E05"/>
                  </w:txbxContent>
                </v:textbox>
                <w10:anchorlock/>
              </v:shape>
            </w:pict>
          </mc:Fallback>
        </mc:AlternateContent>
      </w:r>
    </w:p>
    <w:p w14:paraId="048934CC" w14:textId="6548C5D6" w:rsidR="006055EE" w:rsidRDefault="00230631" w:rsidP="00A06EC5">
      <w:pPr>
        <w:ind w:firstLine="720"/>
        <w:rPr>
          <w:rFonts w:eastAsia="Times New Roman" w:cs="Times New Roman"/>
          <w:color w:val="000000"/>
          <w:szCs w:val="24"/>
        </w:rPr>
      </w:pPr>
      <w:r>
        <w:lastRenderedPageBreak/>
        <w:t xml:space="preserve">In continuation of our goal to expand the chemical space and structural diversity of </w:t>
      </w:r>
      <w:proofErr w:type="spellStart"/>
      <w:r>
        <w:t>M</w:t>
      </w:r>
      <w:r w:rsidRPr="00F25BAB">
        <w:rPr>
          <w:vertAlign w:val="superscript"/>
        </w:rPr>
        <w:t>pro</w:t>
      </w:r>
      <w:proofErr w:type="spellEnd"/>
      <w:r>
        <w:t xml:space="preserve"> inhibitors, we gained inspiration from a remarkable database provided by </w:t>
      </w:r>
      <w:r w:rsidRPr="0013350A">
        <w:t>Diamond Light Source</w:t>
      </w:r>
      <w:r w:rsidR="00A06EC5">
        <w:t>.</w:t>
      </w:r>
      <w:r>
        <w:fldChar w:fldCharType="begin"/>
      </w:r>
      <w:r w:rsidR="00B26382">
        <w:instrText xml:space="preserve"> ADDIN ZOTERO_ITEM CSL_CITATION {"citationID":"3fyc9uwA","properties":{"formattedCitation":"\\super 132\\nosupersub{}","plainCitation":"132","noteIndex":0},"citationItems":[{"id":866,"uris":["http://zotero.org/users/6503767/items/VKZSM2KX"],"itemData":{"id":866,"type":"article-journal","container-title":"Drug Discovery Today","DOI":"10.1016/j.drudis.2019.03.009","ISSN":"13596446","issue":"5","journalAbbreviation":"Drug Discovery Today","language":"en","page":"1081-1086","source":"DOI.org (Crossref)","title":"Crystallographic screening using ultra-low-molecular-weight ligands to guide drug design","volume":"24","author":[{"family":"O’Reilly","given":"Marc"},{"family":"Cleasby","given":"Anne"},{"family":"Davies","given":"Thomas G."},{"family":"Hall","given":"Richard J."},{"family":"Ludlow","given":"R. Frederick"},{"family":"Murray","given":"Christopher W."},{"family":"Tisi","given":"Dominic"},{"family":"Jhoti","given":"Harren"}],"issued":{"date-parts":[["2019",5]]}}}],"schema":"https://github.com/citation-style-language/schema/raw/master/csl-citation.json"} </w:instrText>
      </w:r>
      <w:r>
        <w:fldChar w:fldCharType="separate"/>
      </w:r>
      <w:r w:rsidR="00B26382" w:rsidRPr="00B26382">
        <w:rPr>
          <w:rFonts w:cs="Times New Roman"/>
          <w:szCs w:val="24"/>
          <w:vertAlign w:val="superscript"/>
        </w:rPr>
        <w:t>132</w:t>
      </w:r>
      <w:r>
        <w:fldChar w:fldCharType="end"/>
      </w:r>
      <w:r>
        <w:t xml:space="preserve"> </w:t>
      </w:r>
      <w:r w:rsidR="00A06EC5">
        <w:t xml:space="preserve">With their database and our own preliminary </w:t>
      </w:r>
      <w:r w:rsidR="00A06EC5" w:rsidRPr="00A06EC5">
        <w:rPr>
          <w:i/>
          <w:iCs/>
        </w:rPr>
        <w:t>in silico</w:t>
      </w:r>
      <w:r w:rsidR="00A06EC5">
        <w:t xml:space="preserve"> modelling, n</w:t>
      </w:r>
      <w:r>
        <w:t xml:space="preserve">ovel chemotypes of inhibitors were identified, </w:t>
      </w:r>
      <w:r w:rsidR="00A06EC5">
        <w:t>inspiring</w:t>
      </w:r>
      <w:r>
        <w:t xml:space="preserve"> three scaffolds for us to explore</w:t>
      </w:r>
      <w:r w:rsidR="00692E05">
        <w:t xml:space="preserve"> and evaluate for </w:t>
      </w:r>
      <w:proofErr w:type="spellStart"/>
      <w:r w:rsidR="00692E05">
        <w:t>M</w:t>
      </w:r>
      <w:r w:rsidR="00692E05" w:rsidRPr="00F25BAB">
        <w:rPr>
          <w:vertAlign w:val="superscript"/>
        </w:rPr>
        <w:t>pro</w:t>
      </w:r>
      <w:proofErr w:type="spellEnd"/>
      <w:r w:rsidR="00692E05">
        <w:t xml:space="preserve"> inhibition</w:t>
      </w:r>
      <w:r w:rsidR="00A06EC5">
        <w:t xml:space="preserve"> (</w:t>
      </w:r>
      <w:r>
        <w:t>urea, piperazine, and peptidomimetic</w:t>
      </w:r>
      <w:r w:rsidR="00A06EC5">
        <w:t>)</w:t>
      </w:r>
      <w:r>
        <w:t xml:space="preserve">. </w:t>
      </w:r>
      <w:r w:rsidR="00692E05">
        <w:t>I was personally tasked with synthesizing peptidomimetic compounds. Using the multi-component Ugi coupling reaction,</w:t>
      </w:r>
      <w:r w:rsidR="00692E05">
        <w:fldChar w:fldCharType="begin"/>
      </w:r>
      <w:r w:rsidR="00B26382">
        <w:instrText xml:space="preserve"> ADDIN ZOTERO_ITEM CSL_CITATION {"citationID":"PeONOHWw","properties":{"formattedCitation":"\\super 133\\nosupersub{}","plainCitation":"133","noteIndex":0},"citationItems":[{"id":867,"uris":["http://zotero.org/users/6503767/items/V8RMS6E4"],"itemData":{"id":867,"type":"article-journal","abstract":"The α-addition of immonium ions and anions (OH−, SeH−, S2O3 2−, N3− NCO− NCS−, RCO2 −, ROCO2−) to isonitriles, accompanied by secondary reactions provides a means for the one-stage synthesis of organic nitrogen compounds starting with two to five different components. Thus, by the condensations of amines (ammonia, primary, and secondary aliphatic and aromatic amines, hydrazines) and aldehydes or ketones with isonitriles and acids, a number of α-aminocarboxylic acid amides, thioamides, selenoamides, 1,5-disubstituted retrazoles, hydantoin imides, thiohydantoin imides, α-acylamino carboxylic acid amides, oligopeptide derivatives, β-lactams, derivatives of penicillanic acid, urethanes, diacylimides, and various hydrazine derivatives, can be prepared. The reactions are easily carried out and take place under mild conditions. Yields of more than 90% are frequently encountered.","container-title":"Angewandte Chemie International Edition in English","DOI":"10.1002/anie.196200081","ISSN":"1521-3773","issue":"1","language":"en","note":"_eprint: https://onlinelibrary.wiley.com/doi/pdf/10.1002/anie.196200081","page":"8-21","source":"Wiley Online Library","title":"The α-Addition of Immonium Ions and Anions to Isonitriles Accompanied by Secondary Reactions","volume":"1","author":[{"family":"Ugi","given":"Ivar"}],"issued":{"date-parts":[["1962"]]}}}],"schema":"https://github.com/citation-style-language/schema/raw/master/csl-citation.json"} </w:instrText>
      </w:r>
      <w:r w:rsidR="00692E05">
        <w:fldChar w:fldCharType="separate"/>
      </w:r>
      <w:r w:rsidR="00B26382" w:rsidRPr="00B26382">
        <w:rPr>
          <w:rFonts w:cs="Times New Roman"/>
          <w:szCs w:val="24"/>
          <w:vertAlign w:val="superscript"/>
        </w:rPr>
        <w:t>133</w:t>
      </w:r>
      <w:r w:rsidR="00692E05">
        <w:fldChar w:fldCharType="end"/>
      </w:r>
      <w:r w:rsidR="00692E05">
        <w:t xml:space="preserve"> I was able to rapidly generate 18 bis-amide compounds which were evaluated for protease activity with a commercial FRET-based assay kit. </w:t>
      </w:r>
      <w:r w:rsidR="00A06EC5">
        <w:t>ML188 (</w:t>
      </w:r>
      <w:r w:rsidR="00A06EC5" w:rsidRPr="00C95BC2">
        <w:rPr>
          <w:b/>
          <w:bCs/>
        </w:rPr>
        <w:t>4.10</w:t>
      </w:r>
      <w:r w:rsidR="00A06EC5">
        <w:t xml:space="preserve">) was used as the positive control because it is a known non-covalent </w:t>
      </w:r>
      <w:proofErr w:type="spellStart"/>
      <w:r w:rsidR="00A06EC5">
        <w:t>M</w:t>
      </w:r>
      <w:r w:rsidR="00A06EC5" w:rsidRPr="00B42008">
        <w:rPr>
          <w:vertAlign w:val="superscript"/>
        </w:rPr>
        <w:t>pro</w:t>
      </w:r>
      <w:proofErr w:type="spellEnd"/>
      <w:r w:rsidR="00A06EC5">
        <w:t xml:space="preserve"> inhibitor.</w:t>
      </w:r>
      <w:r w:rsidR="00A06EC5">
        <w:fldChar w:fldCharType="begin"/>
      </w:r>
      <w:r w:rsidR="00B26382">
        <w:instrText xml:space="preserve"> ADDIN ZOTERO_ITEM CSL_CITATION {"citationID":"BKhGPbcI","properties":{"formattedCitation":"\\super 134,135\\nosupersub{}","plainCitation":"134,135","noteIndex":0},"citationItems":[{"id":419,"uris":["http://zotero.org/users/6503767/items/FZJRUIXU"],"itemData":{"id":419,"type":"article-journal","abstract":"A high-throughput screen of the NIH molecular libraries sample collection and subsequent optimization of a lead dipeptide-like series of severe acute respiratory syndrome (SARS) main protease (3CLpro) inhibitors led to the identiﬁcation of probe compound ML188 (16-(R), (R)-N-(4-(tertbutyl)phenyl)-N-(2-(tert-butylamino)-2-oxo-1-(pyridin-3-yl)ethyl)furan-2-carboxamide, Pubchem CID: 46897844). Unlike the majority of reported coronavirus 3CLpro inhibitors that act via covalent modiﬁcation of the enzyme, 16-(R) is a noncovalent SARS-CoV 3CLpro inhibitor with moderate MW and good enzyme and antiviral inhibitory activity. A multicomponent Ugi reaction was utilized to rapidly explore structure−activity relationships within S1′, S1, and S2 enzyme binding pockets. The X-ray structure of SARS-CoV 3CLpro bound with 16-(R) was instrumental in guiding subsequent rounds of chemistry optimization. 16-(R) provides an excellent starting point for the further design and reﬁnement of 3CLpro inhibitors that act by a noncovalent mechanism of action.","container-title":"Journal of Medicinal Chemistry","DOI":"10.1021/jm301580n","ISSN":"0022-2623, 1520-4804","issue":"2","journalAbbreviation":"J. Med. Chem.","language":"en","page":"534-546","source":"DOI.org (Crossref)","title":"Discovery, Synthesis, And Structure-Based Optimization of a Series of &lt;i&gt;N&lt;/i&gt; -( &lt;i&gt;tert&lt;/i&gt; -Butyl)-2-( &lt;i&gt;N&lt;/i&gt; -arylamido)-2-(pyridin-3-yl) Acetamides (ML188) as Potent Noncovalent Small Molecule Inhibitors of the Severe Acute Respiratory Syndrome Coronavirus (SARS-CoV) 3CL Protease","volume":"56","author":[{"family":"Jacobs","given":"Jon"},{"family":"Grum-Tokars","given":"Valerie"},{"family":"Zhou","given":"Ya"},{"family":"Turlington","given":"Mark"},{"family":"Saldanha","given":"S. Adrian"},{"family":"Chase","given":"Peter"},{"family":"Eggler","given":"Aimee"},{"family":"Dawson","given":"Eric S."},{"family":"Baez-Santos","given":"Yahira M."},{"family":"Tomar","given":"Sakshi"},{"family":"Mielech","given":"Anna M."},{"family":"Baker","given":"Susan C."},{"family":"Lindsley","given":"Craig W."},{"family":"Hodder","given":"Peter"},{"family":"Mesecar","given":"Andrew"},{"family":"Stauffer","given":"Shaun R."}],"issued":{"date-parts":[["2013",1,24]]}}},{"id":51,"uris":["http://zotero.org/users/6503767/items/A23WQW9R"],"itemData":{"id":51,"type":"article-journal","abstract":"Herein we report the discovery and SAR of a novel series of SARS-CoV 3CLpro inhibitors identiﬁed through the NIH Molecular Libraries Probe Production Centers Network (MLPCN). In addition to ML188, ML300 represents the second probe declared for 3CLpro from this collaborative effort. The Xray structure of SARS-CoV 3CLpro bound with a ML300 analog highlights a unique induced-ﬁt reorganization of the S2–S4 binding pockets leading to the ﬁrst sub-micromolar noncovalent 3CLpro inhibitors retaining a single amide bond.","container-title":"Bioorganic &amp; Medicinal Chemistry Letters","DOI":"10.1016/j.bmcl.2013.08.112","ISSN":"0960894X","issue":"22","journalAbbreviation":"Bioorganic &amp; Medicinal Chemistry Letters","language":"en","page":"6172-6177","source":"DOI.org (Crossref)","title":"Discovery of N-(benzo[1,2,3]triazol-1-yl)-N-(benzyl)acetamido)phenyl) carboxamides as severe acute respiratory syndrome coronavirus (SARS-CoV) 3CLpro inhibitors: Identification of ML300 and noncovalent nanomolar inhibitors with an induced-fit binding","title-short":"Discovery of N-(benzo[1,2,3]triazol-1-yl)-N-(benzyl)acetamido)phenyl) carboxamides as severe acute respiratory syndrome coronavirus (SARS-CoV) 3CLpro inhibitors","volume":"23","author":[{"family":"Turlington","given":"Mark"},{"family":"Chun","given":"Aspen"},{"family":"Tomar","given":"Sakshi"},{"family":"Eggler","given":"Aimee"},{"family":"Grum-Tokars","given":"Valerie"},{"family":"Jacobs","given":"Jon"},{"family":"Daniels","given":"J. Scott"},{"family":"Dawson","given":"Eric"},{"family":"Saldanha","given":"Adrian"},{"family":"Chase","given":"Peter"},{"family":"Baez-Santos","given":"Yahira M."},{"family":"Lindsley","given":"Craig W."},{"family":"Hodder","given":"Peter"},{"family":"Mesecar","given":"Andrew D."},{"family":"Stauffer","given":"Shaun R."}],"issued":{"date-parts":[["2013",11]]}}}],"schema":"https://github.com/citation-style-language/schema/raw/master/csl-citation.json"} </w:instrText>
      </w:r>
      <w:r w:rsidR="00A06EC5">
        <w:fldChar w:fldCharType="separate"/>
      </w:r>
      <w:r w:rsidR="00B26382" w:rsidRPr="00B26382">
        <w:rPr>
          <w:rFonts w:cs="Times New Roman"/>
          <w:szCs w:val="24"/>
          <w:vertAlign w:val="superscript"/>
        </w:rPr>
        <w:t>134,135</w:t>
      </w:r>
      <w:r w:rsidR="00A06EC5">
        <w:fldChar w:fldCharType="end"/>
      </w:r>
      <w:r w:rsidR="00A06EC5">
        <w:t xml:space="preserve"> From this small SAR project, </w:t>
      </w:r>
      <w:r w:rsidR="00A06EC5" w:rsidRPr="00A06EC5">
        <w:rPr>
          <w:b/>
          <w:bCs/>
        </w:rPr>
        <w:t>JG58</w:t>
      </w:r>
      <w:r w:rsidR="00A06EC5">
        <w:t xml:space="preserve"> was found to exhibit ~20% higher inhibition activity compared to ML188 (</w:t>
      </w:r>
      <w:r w:rsidR="00A06EC5" w:rsidRPr="00A06EC5">
        <w:rPr>
          <w:b/>
          <w:bCs/>
        </w:rPr>
        <w:fldChar w:fldCharType="begin"/>
      </w:r>
      <w:r w:rsidR="00A06EC5" w:rsidRPr="00A06EC5">
        <w:rPr>
          <w:b/>
          <w:bCs/>
        </w:rPr>
        <w:instrText xml:space="preserve"> REF _Ref100543359 \h </w:instrText>
      </w:r>
      <w:r w:rsidR="00A06EC5">
        <w:rPr>
          <w:b/>
          <w:bCs/>
        </w:rPr>
        <w:instrText xml:space="preserve"> \* MERGEFORMAT </w:instrText>
      </w:r>
      <w:r w:rsidR="00A06EC5" w:rsidRPr="00A06EC5">
        <w:rPr>
          <w:b/>
          <w:bCs/>
        </w:rPr>
      </w:r>
      <w:r w:rsidR="00A06EC5" w:rsidRPr="00A06EC5">
        <w:rPr>
          <w:b/>
          <w:bCs/>
        </w:rPr>
        <w:fldChar w:fldCharType="separate"/>
      </w:r>
      <w:r w:rsidR="00AA5AAC" w:rsidRPr="00AA5AAC">
        <w:rPr>
          <w:b/>
          <w:bCs/>
        </w:rPr>
        <w:t>Figure 1.13</w:t>
      </w:r>
      <w:r w:rsidR="00A06EC5" w:rsidRPr="00A06EC5">
        <w:rPr>
          <w:b/>
          <w:bCs/>
        </w:rPr>
        <w:fldChar w:fldCharType="end"/>
      </w:r>
      <w:r w:rsidR="00A06EC5">
        <w:t>).</w:t>
      </w:r>
      <w:r w:rsidR="00A06EC5">
        <w:rPr>
          <w:rFonts w:eastAsia="Times New Roman" w:cs="Times New Roman"/>
          <w:color w:val="000000"/>
          <w:szCs w:val="24"/>
        </w:rPr>
        <w:t xml:space="preserve"> </w:t>
      </w:r>
      <w:r w:rsidR="006055EE">
        <w:rPr>
          <w:rFonts w:eastAsia="Times New Roman" w:cs="Times New Roman"/>
          <w:color w:val="000000"/>
          <w:szCs w:val="24"/>
        </w:rPr>
        <w:t xml:space="preserve">Our preliminary work towards expanding the chemical space of coronavirus protease inhibitors will be discussed in </w:t>
      </w:r>
      <w:r w:rsidR="00A06EC5" w:rsidRPr="00A06EC5">
        <w:rPr>
          <w:rFonts w:eastAsia="Times New Roman" w:cs="Times New Roman"/>
          <w:b/>
          <w:bCs/>
          <w:color w:val="000000"/>
          <w:szCs w:val="24"/>
        </w:rPr>
        <w:t>Chapter 4</w:t>
      </w:r>
      <w:r w:rsidR="00A06EC5">
        <w:rPr>
          <w:rFonts w:eastAsia="Times New Roman" w:cs="Times New Roman"/>
          <w:color w:val="000000"/>
          <w:szCs w:val="24"/>
        </w:rPr>
        <w:t>.</w:t>
      </w:r>
    </w:p>
    <w:p w14:paraId="6BE795A1" w14:textId="7E62718E" w:rsidR="00912DB9" w:rsidRDefault="00912DB9">
      <w:pPr>
        <w:spacing w:line="259" w:lineRule="auto"/>
        <w:jc w:val="left"/>
        <w:rPr>
          <w:rFonts w:cs="Times New Roman"/>
          <w:szCs w:val="24"/>
        </w:rPr>
      </w:pPr>
    </w:p>
    <w:p w14:paraId="4417642F" w14:textId="77777777" w:rsidR="003A5ACD" w:rsidRPr="003E5113" w:rsidRDefault="003A5ACD" w:rsidP="003A5ACD">
      <w:pPr>
        <w:pStyle w:val="Section"/>
      </w:pPr>
      <w:bookmarkStart w:id="117" w:name="_Toc100241885"/>
      <w:bookmarkStart w:id="118" w:name="_Toc102586249"/>
      <w:r>
        <w:t xml:space="preserve">1.4 </w:t>
      </w:r>
      <w:r w:rsidRPr="003E5113">
        <w:t>References</w:t>
      </w:r>
      <w:r>
        <w:t xml:space="preserve"> for Chapter 1</w:t>
      </w:r>
      <w:bookmarkEnd w:id="117"/>
      <w:bookmarkEnd w:id="118"/>
    </w:p>
    <w:p w14:paraId="776407BB" w14:textId="77777777" w:rsidR="00551F90" w:rsidRDefault="003A5ACD" w:rsidP="00551F90">
      <w:pPr>
        <w:pStyle w:val="Bibliography"/>
        <w:spacing w:line="480" w:lineRule="auto"/>
      </w:pPr>
      <w:r w:rsidRPr="003E5113">
        <w:fldChar w:fldCharType="begin"/>
      </w:r>
      <w:r w:rsidR="00551F90">
        <w:instrText xml:space="preserve"> ADDIN ZOTERO_BIBL {"uncited":[],"omitted":[],"custom":[]} CSL_BIBLIOGRAPHY </w:instrText>
      </w:r>
      <w:r w:rsidRPr="003E5113">
        <w:fldChar w:fldCharType="separate"/>
      </w:r>
      <w:r w:rsidR="00551F90">
        <w:t xml:space="preserve">(1) </w:t>
      </w:r>
      <w:r w:rsidR="00551F90">
        <w:tab/>
      </w:r>
      <w:proofErr w:type="spellStart"/>
      <w:r w:rsidR="00551F90">
        <w:t>Santajit</w:t>
      </w:r>
      <w:proofErr w:type="spellEnd"/>
      <w:r w:rsidR="00551F90">
        <w:t xml:space="preserve">, S.; </w:t>
      </w:r>
      <w:proofErr w:type="spellStart"/>
      <w:r w:rsidR="00551F90">
        <w:t>Indrawattana</w:t>
      </w:r>
      <w:proofErr w:type="spellEnd"/>
      <w:r w:rsidR="00551F90">
        <w:t xml:space="preserve">, N. Mechanisms of Antimicrobial Resistance in ESKAPE Pathogens. </w:t>
      </w:r>
      <w:r w:rsidR="00551F90">
        <w:rPr>
          <w:i/>
          <w:iCs/>
        </w:rPr>
        <w:t>Biomed Res Int</w:t>
      </w:r>
      <w:r w:rsidR="00551F90">
        <w:t xml:space="preserve"> </w:t>
      </w:r>
      <w:r w:rsidR="00551F90">
        <w:rPr>
          <w:b/>
          <w:bCs/>
        </w:rPr>
        <w:t>2016</w:t>
      </w:r>
      <w:r w:rsidR="00551F90">
        <w:t xml:space="preserve">, </w:t>
      </w:r>
      <w:r w:rsidR="00551F90">
        <w:rPr>
          <w:i/>
          <w:iCs/>
        </w:rPr>
        <w:t>2016</w:t>
      </w:r>
      <w:r w:rsidR="00551F90">
        <w:t>, 2475067. https://doi.org/10.1155/2016/2475067.</w:t>
      </w:r>
    </w:p>
    <w:p w14:paraId="53898E10" w14:textId="77777777" w:rsidR="00551F90" w:rsidRDefault="00551F90" w:rsidP="00551F90">
      <w:pPr>
        <w:pStyle w:val="Bibliography"/>
        <w:spacing w:line="480" w:lineRule="auto"/>
      </w:pPr>
      <w:r>
        <w:t xml:space="preserve">(2) </w:t>
      </w:r>
      <w:r>
        <w:tab/>
        <w:t xml:space="preserve">Oliveira, J.; </w:t>
      </w:r>
      <w:proofErr w:type="spellStart"/>
      <w:r>
        <w:t>Reygaert</w:t>
      </w:r>
      <w:proofErr w:type="spellEnd"/>
      <w:r>
        <w:t xml:space="preserve">, W. C. Gram Negative Bacteria. In </w:t>
      </w:r>
      <w:proofErr w:type="spellStart"/>
      <w:r>
        <w:rPr>
          <w:i/>
          <w:iCs/>
        </w:rPr>
        <w:t>StatPearls</w:t>
      </w:r>
      <w:proofErr w:type="spellEnd"/>
      <w:r>
        <w:t xml:space="preserve">; </w:t>
      </w:r>
      <w:proofErr w:type="spellStart"/>
      <w:r>
        <w:t>StatPearls</w:t>
      </w:r>
      <w:proofErr w:type="spellEnd"/>
      <w:r>
        <w:t xml:space="preserve"> Publishing: Treasure Island (FL), 2021.</w:t>
      </w:r>
    </w:p>
    <w:p w14:paraId="5F1BE2D6" w14:textId="77777777" w:rsidR="00551F90" w:rsidRDefault="00551F90" w:rsidP="00551F90">
      <w:pPr>
        <w:pStyle w:val="Bibliography"/>
        <w:spacing w:line="480" w:lineRule="auto"/>
      </w:pPr>
      <w:r>
        <w:t xml:space="preserve">(3) </w:t>
      </w:r>
      <w:r>
        <w:tab/>
      </w:r>
      <w:proofErr w:type="spellStart"/>
      <w:r>
        <w:t>Breijyeh</w:t>
      </w:r>
      <w:proofErr w:type="spellEnd"/>
      <w:r>
        <w:t xml:space="preserve">, Z.; Jubeh, B.; Karaman, R. Resistance of Gram-Negative Bacteria to Current Antibacterial Agents and Approaches to Resolve It. </w:t>
      </w:r>
      <w:r>
        <w:rPr>
          <w:i/>
          <w:iCs/>
        </w:rPr>
        <w:t>Molecules</w:t>
      </w:r>
      <w:r>
        <w:t xml:space="preserve"> </w:t>
      </w:r>
      <w:r>
        <w:rPr>
          <w:b/>
          <w:bCs/>
        </w:rPr>
        <w:t>2020</w:t>
      </w:r>
      <w:r>
        <w:t xml:space="preserve">, </w:t>
      </w:r>
      <w:r>
        <w:rPr>
          <w:i/>
          <w:iCs/>
        </w:rPr>
        <w:t>25</w:t>
      </w:r>
      <w:r>
        <w:t xml:space="preserve"> (6), 1340. https://doi.org/10.3390/molecules25061340.</w:t>
      </w:r>
    </w:p>
    <w:p w14:paraId="4BDA2294" w14:textId="77777777" w:rsidR="00551F90" w:rsidRDefault="00551F90" w:rsidP="00551F90">
      <w:pPr>
        <w:pStyle w:val="Bibliography"/>
        <w:spacing w:line="480" w:lineRule="auto"/>
      </w:pPr>
      <w:r>
        <w:t xml:space="preserve">(4) </w:t>
      </w:r>
      <w:r>
        <w:tab/>
        <w:t xml:space="preserve">Li, X.-Z.; </w:t>
      </w:r>
      <w:proofErr w:type="spellStart"/>
      <w:r>
        <w:t>Plésiat</w:t>
      </w:r>
      <w:proofErr w:type="spellEnd"/>
      <w:r>
        <w:t xml:space="preserve">, P.; Nikaido, H. The Challenge of Efflux-Mediated Antibiotic Resistance in Gram-Negative Bacteria. </w:t>
      </w:r>
      <w:r>
        <w:rPr>
          <w:i/>
          <w:iCs/>
        </w:rPr>
        <w:t xml:space="preserve">Clin </w:t>
      </w:r>
      <w:proofErr w:type="spellStart"/>
      <w:r>
        <w:rPr>
          <w:i/>
          <w:iCs/>
        </w:rPr>
        <w:t>Microbiol</w:t>
      </w:r>
      <w:proofErr w:type="spellEnd"/>
      <w:r>
        <w:rPr>
          <w:i/>
          <w:iCs/>
        </w:rPr>
        <w:t xml:space="preserve"> Rev</w:t>
      </w:r>
      <w:r>
        <w:t xml:space="preserve"> </w:t>
      </w:r>
      <w:r>
        <w:rPr>
          <w:b/>
          <w:bCs/>
        </w:rPr>
        <w:t>2015</w:t>
      </w:r>
      <w:r>
        <w:t xml:space="preserve">, </w:t>
      </w:r>
      <w:r>
        <w:rPr>
          <w:i/>
          <w:iCs/>
        </w:rPr>
        <w:t>28</w:t>
      </w:r>
      <w:r>
        <w:t xml:space="preserve"> (2), 337–418. https://doi.org/10.1128/CMR.00117-14.</w:t>
      </w:r>
    </w:p>
    <w:p w14:paraId="0A6D64C1" w14:textId="77777777" w:rsidR="00551F90" w:rsidRDefault="00551F90" w:rsidP="00551F90">
      <w:pPr>
        <w:pStyle w:val="Bibliography"/>
        <w:spacing w:line="480" w:lineRule="auto"/>
      </w:pPr>
      <w:r>
        <w:lastRenderedPageBreak/>
        <w:t xml:space="preserve">(5) </w:t>
      </w:r>
      <w:r>
        <w:tab/>
      </w:r>
      <w:proofErr w:type="spellStart"/>
      <w:r>
        <w:t>Ruppé</w:t>
      </w:r>
      <w:proofErr w:type="spellEnd"/>
      <w:r>
        <w:t xml:space="preserve">, É.; </w:t>
      </w:r>
      <w:proofErr w:type="spellStart"/>
      <w:r>
        <w:t>Woerther</w:t>
      </w:r>
      <w:proofErr w:type="spellEnd"/>
      <w:r>
        <w:t xml:space="preserve">, P.-L.; Barbier, F. Mechanisms of Antimicrobial Resistance in Gram-Negative Bacilli. </w:t>
      </w:r>
      <w:r>
        <w:rPr>
          <w:i/>
          <w:iCs/>
        </w:rPr>
        <w:t>Ann Intensive Care</w:t>
      </w:r>
      <w:r>
        <w:t xml:space="preserve"> </w:t>
      </w:r>
      <w:r>
        <w:rPr>
          <w:b/>
          <w:bCs/>
        </w:rPr>
        <w:t>2015</w:t>
      </w:r>
      <w:r>
        <w:t xml:space="preserve">, </w:t>
      </w:r>
      <w:r>
        <w:rPr>
          <w:i/>
          <w:iCs/>
        </w:rPr>
        <w:t>5</w:t>
      </w:r>
      <w:r>
        <w:t>, 21. https://doi.org/10.1186/s13613-015-0061-0.</w:t>
      </w:r>
    </w:p>
    <w:p w14:paraId="21BF038D" w14:textId="77777777" w:rsidR="00551F90" w:rsidRDefault="00551F90" w:rsidP="00551F90">
      <w:pPr>
        <w:pStyle w:val="Bibliography"/>
        <w:spacing w:line="480" w:lineRule="auto"/>
      </w:pPr>
      <w:r>
        <w:t xml:space="preserve">(6) </w:t>
      </w:r>
      <w:r>
        <w:tab/>
        <w:t xml:space="preserve">Naas, T.; </w:t>
      </w:r>
      <w:proofErr w:type="spellStart"/>
      <w:r>
        <w:t>Dortet</w:t>
      </w:r>
      <w:proofErr w:type="spellEnd"/>
      <w:r>
        <w:t xml:space="preserve">, L.; Iorga, B. I. Structural and Functional Aspects of Class A </w:t>
      </w:r>
      <w:proofErr w:type="spellStart"/>
      <w:r>
        <w:t>Carbapenemases</w:t>
      </w:r>
      <w:proofErr w:type="spellEnd"/>
      <w:r>
        <w:t xml:space="preserve">. </w:t>
      </w:r>
      <w:proofErr w:type="spellStart"/>
      <w:r>
        <w:rPr>
          <w:i/>
          <w:iCs/>
        </w:rPr>
        <w:t>Curr</w:t>
      </w:r>
      <w:proofErr w:type="spellEnd"/>
      <w:r>
        <w:rPr>
          <w:i/>
          <w:iCs/>
        </w:rPr>
        <w:t xml:space="preserve"> Drug Targets</w:t>
      </w:r>
      <w:r>
        <w:t xml:space="preserve"> </w:t>
      </w:r>
      <w:r>
        <w:rPr>
          <w:b/>
          <w:bCs/>
        </w:rPr>
        <w:t>2016</w:t>
      </w:r>
      <w:r>
        <w:t xml:space="preserve">, </w:t>
      </w:r>
      <w:r>
        <w:rPr>
          <w:i/>
          <w:iCs/>
        </w:rPr>
        <w:t>17</w:t>
      </w:r>
      <w:r>
        <w:t xml:space="preserve"> (9), 1006–1028. https://doi.org/10.2174/1389450117666160310144501.</w:t>
      </w:r>
    </w:p>
    <w:p w14:paraId="37F7FDFB" w14:textId="77777777" w:rsidR="00551F90" w:rsidRDefault="00551F90" w:rsidP="00551F90">
      <w:pPr>
        <w:pStyle w:val="Bibliography"/>
        <w:spacing w:line="480" w:lineRule="auto"/>
      </w:pPr>
      <w:r>
        <w:t xml:space="preserve">(7) </w:t>
      </w:r>
      <w:r>
        <w:tab/>
        <w:t xml:space="preserve">Kidd, T. J.; Mills, G.; Sá-Pessoa, J.; </w:t>
      </w:r>
      <w:proofErr w:type="spellStart"/>
      <w:r>
        <w:t>Dumigan</w:t>
      </w:r>
      <w:proofErr w:type="spellEnd"/>
      <w:r>
        <w:t xml:space="preserve">, A.; Frank, C. G.; Insua, J. L.; Ingram, R.; Hobley, L.; Bengoechea, J. A. A Klebsiella Pneumoniae Antibiotic Resistance Mechanism That Subdues Host </w:t>
      </w:r>
      <w:proofErr w:type="spellStart"/>
      <w:r>
        <w:t>Defences</w:t>
      </w:r>
      <w:proofErr w:type="spellEnd"/>
      <w:r>
        <w:t xml:space="preserve"> and Promotes Virulence. </w:t>
      </w:r>
      <w:r>
        <w:rPr>
          <w:i/>
          <w:iCs/>
        </w:rPr>
        <w:t>EMBO Mol Med</w:t>
      </w:r>
      <w:r>
        <w:t xml:space="preserve"> </w:t>
      </w:r>
      <w:r>
        <w:rPr>
          <w:b/>
          <w:bCs/>
        </w:rPr>
        <w:t>2017</w:t>
      </w:r>
      <w:r>
        <w:t xml:space="preserve">, </w:t>
      </w:r>
      <w:r>
        <w:rPr>
          <w:i/>
          <w:iCs/>
        </w:rPr>
        <w:t>9</w:t>
      </w:r>
      <w:r>
        <w:t xml:space="preserve"> (4), 430–447. https://doi.org/10.15252/emmm.201607336.</w:t>
      </w:r>
    </w:p>
    <w:p w14:paraId="3FD76425" w14:textId="77777777" w:rsidR="00551F90" w:rsidRDefault="00551F90" w:rsidP="00551F90">
      <w:pPr>
        <w:pStyle w:val="Bibliography"/>
        <w:spacing w:line="480" w:lineRule="auto"/>
      </w:pPr>
      <w:r>
        <w:t xml:space="preserve">(8) </w:t>
      </w:r>
      <w:r>
        <w:tab/>
        <w:t xml:space="preserve">Russo, T. A.; Johnson, J. R. Medical and Economic Impact of Extraintestinal Infections Due to Escherichia Coli: Focus on an Increasingly Important Endemic Problem. </w:t>
      </w:r>
      <w:r>
        <w:rPr>
          <w:i/>
          <w:iCs/>
        </w:rPr>
        <w:t>Microbes Infect</w:t>
      </w:r>
      <w:r>
        <w:t xml:space="preserve"> </w:t>
      </w:r>
      <w:r>
        <w:rPr>
          <w:b/>
          <w:bCs/>
        </w:rPr>
        <w:t>2003</w:t>
      </w:r>
      <w:r>
        <w:t xml:space="preserve">, </w:t>
      </w:r>
      <w:r>
        <w:rPr>
          <w:i/>
          <w:iCs/>
        </w:rPr>
        <w:t>5</w:t>
      </w:r>
      <w:r>
        <w:t xml:space="preserve"> (5), 449–456. https://doi.org/10.1016/s1286-4579(03)00049-2.</w:t>
      </w:r>
    </w:p>
    <w:p w14:paraId="4529B0BD" w14:textId="77777777" w:rsidR="00551F90" w:rsidRDefault="00551F90" w:rsidP="00551F90">
      <w:pPr>
        <w:pStyle w:val="Bibliography"/>
        <w:spacing w:line="480" w:lineRule="auto"/>
      </w:pPr>
      <w:r>
        <w:t xml:space="preserve">(9) </w:t>
      </w:r>
      <w:r>
        <w:tab/>
        <w:t xml:space="preserve">Johnson, J. R. Virulence Factors in Escherichia Coli Urinary Tract Infection. </w:t>
      </w:r>
      <w:r>
        <w:rPr>
          <w:i/>
          <w:iCs/>
        </w:rPr>
        <w:t xml:space="preserve">Clin </w:t>
      </w:r>
      <w:proofErr w:type="spellStart"/>
      <w:r>
        <w:rPr>
          <w:i/>
          <w:iCs/>
        </w:rPr>
        <w:t>Microbiol</w:t>
      </w:r>
      <w:proofErr w:type="spellEnd"/>
      <w:r>
        <w:rPr>
          <w:i/>
          <w:iCs/>
        </w:rPr>
        <w:t xml:space="preserve"> Rev</w:t>
      </w:r>
      <w:r>
        <w:t xml:space="preserve"> </w:t>
      </w:r>
      <w:r>
        <w:rPr>
          <w:b/>
          <w:bCs/>
        </w:rPr>
        <w:t>1991</w:t>
      </w:r>
      <w:r>
        <w:t xml:space="preserve">, </w:t>
      </w:r>
      <w:r>
        <w:rPr>
          <w:i/>
          <w:iCs/>
        </w:rPr>
        <w:t>4</w:t>
      </w:r>
      <w:r>
        <w:t xml:space="preserve"> (1), 80–128. https://doi.org/10.1128/CMR.4.1.80.</w:t>
      </w:r>
    </w:p>
    <w:p w14:paraId="6B6E1F92" w14:textId="77777777" w:rsidR="00551F90" w:rsidRDefault="00551F90" w:rsidP="00551F90">
      <w:pPr>
        <w:pStyle w:val="Bibliography"/>
        <w:spacing w:line="480" w:lineRule="auto"/>
      </w:pPr>
      <w:r>
        <w:t xml:space="preserve">(10) </w:t>
      </w:r>
      <w:r>
        <w:tab/>
        <w:t xml:space="preserve">Boucher, H. W.; Talbot, G. H.; Bradley, J. S.; Edwards, J. E.; Gilbert, D.; Rice, L. B.; Scheld, M.; </w:t>
      </w:r>
      <w:proofErr w:type="spellStart"/>
      <w:r>
        <w:t>Spellberg</w:t>
      </w:r>
      <w:proofErr w:type="spellEnd"/>
      <w:r>
        <w:t xml:space="preserve">, B.; Bartlett, J. Bad Bugs, No Drugs: No ESKAPE! An Update from the Infectious Diseases Society of America. </w:t>
      </w:r>
      <w:r>
        <w:rPr>
          <w:i/>
          <w:iCs/>
        </w:rPr>
        <w:t>Clin Infect Dis</w:t>
      </w:r>
      <w:r>
        <w:t xml:space="preserve"> </w:t>
      </w:r>
      <w:r>
        <w:rPr>
          <w:b/>
          <w:bCs/>
        </w:rPr>
        <w:t>2009</w:t>
      </w:r>
      <w:r>
        <w:t xml:space="preserve">, </w:t>
      </w:r>
      <w:r>
        <w:rPr>
          <w:i/>
          <w:iCs/>
        </w:rPr>
        <w:t>48</w:t>
      </w:r>
      <w:r>
        <w:t xml:space="preserve"> (1), 1–12. https://doi.org/10.1086/595011.</w:t>
      </w:r>
    </w:p>
    <w:p w14:paraId="7ABE06DE" w14:textId="77777777" w:rsidR="00551F90" w:rsidRDefault="00551F90" w:rsidP="00551F90">
      <w:pPr>
        <w:pStyle w:val="Bibliography"/>
        <w:spacing w:line="480" w:lineRule="auto"/>
      </w:pPr>
      <w:r>
        <w:t xml:space="preserve">(11) </w:t>
      </w:r>
      <w:r>
        <w:tab/>
        <w:t xml:space="preserve">Coates, A. R.; Halls, G.; Hu, Y. Novel Classes of Antibiotics or More of the Same? </w:t>
      </w:r>
      <w:r>
        <w:rPr>
          <w:i/>
          <w:iCs/>
        </w:rPr>
        <w:t>British Journal of Pharmacology</w:t>
      </w:r>
      <w:r>
        <w:t xml:space="preserve"> </w:t>
      </w:r>
      <w:r>
        <w:rPr>
          <w:b/>
          <w:bCs/>
        </w:rPr>
        <w:t>2011</w:t>
      </w:r>
      <w:r>
        <w:t xml:space="preserve">, </w:t>
      </w:r>
      <w:r>
        <w:rPr>
          <w:i/>
          <w:iCs/>
        </w:rPr>
        <w:t>163</w:t>
      </w:r>
      <w:r>
        <w:t xml:space="preserve"> (1), 184–194. https://doi.org/10.1111/j.1476-5381.2011.01250.x.</w:t>
      </w:r>
    </w:p>
    <w:p w14:paraId="671A62F7" w14:textId="77777777" w:rsidR="00551F90" w:rsidRDefault="00551F90" w:rsidP="00551F90">
      <w:pPr>
        <w:pStyle w:val="Bibliography"/>
        <w:spacing w:line="480" w:lineRule="auto"/>
      </w:pPr>
      <w:r>
        <w:lastRenderedPageBreak/>
        <w:t xml:space="preserve">(12) </w:t>
      </w:r>
      <w:r>
        <w:tab/>
        <w:t>CDC. What Exactly is Antibiotic Resistance? https://www.cdc.gov/drugresistance/about.html (accessed 2021 -10 -27).</w:t>
      </w:r>
    </w:p>
    <w:p w14:paraId="7A53825B" w14:textId="77777777" w:rsidR="00551F90" w:rsidRDefault="00551F90" w:rsidP="00551F90">
      <w:pPr>
        <w:pStyle w:val="Bibliography"/>
        <w:spacing w:line="480" w:lineRule="auto"/>
      </w:pPr>
      <w:r>
        <w:t xml:space="preserve">(13) </w:t>
      </w:r>
      <w:r>
        <w:tab/>
        <w:t xml:space="preserve">van Rensburg, J. J.; Fortney, K. R.; Chen, L.; Krieger, A. J.; Lima, B. P.; Wolfe, A. J.; Katz, B. P.; Zhang, Z.; Spinola, S. M. Development and Validation of a High-Throughput Cell-Based Screen </w:t>
      </w:r>
      <w:proofErr w:type="gramStart"/>
      <w:r>
        <w:t>To</w:t>
      </w:r>
      <w:proofErr w:type="gramEnd"/>
      <w:r>
        <w:t xml:space="preserve"> Identify Activators of a Bacterial Two-Component Signal Transduction System. </w:t>
      </w:r>
      <w:proofErr w:type="spellStart"/>
      <w:r>
        <w:rPr>
          <w:i/>
          <w:iCs/>
        </w:rPr>
        <w:t>Antimicrob</w:t>
      </w:r>
      <w:proofErr w:type="spellEnd"/>
      <w:r>
        <w:rPr>
          <w:i/>
          <w:iCs/>
        </w:rPr>
        <w:t xml:space="preserve">. Agents </w:t>
      </w:r>
      <w:proofErr w:type="spellStart"/>
      <w:r>
        <w:rPr>
          <w:i/>
          <w:iCs/>
        </w:rPr>
        <w:t>Chemother</w:t>
      </w:r>
      <w:proofErr w:type="spellEnd"/>
      <w:r>
        <w:rPr>
          <w:i/>
          <w:iCs/>
        </w:rPr>
        <w:t>.</w:t>
      </w:r>
      <w:r>
        <w:t xml:space="preserve"> </w:t>
      </w:r>
      <w:r>
        <w:rPr>
          <w:b/>
          <w:bCs/>
        </w:rPr>
        <w:t>2015</w:t>
      </w:r>
      <w:r>
        <w:t xml:space="preserve">, </w:t>
      </w:r>
      <w:r>
        <w:rPr>
          <w:i/>
          <w:iCs/>
        </w:rPr>
        <w:t>59</w:t>
      </w:r>
      <w:r>
        <w:t xml:space="preserve"> (7), 3789–3799. https://doi.org/10.1128/AAC.00236-15.</w:t>
      </w:r>
    </w:p>
    <w:p w14:paraId="70BCDB16" w14:textId="77777777" w:rsidR="00551F90" w:rsidRDefault="00551F90" w:rsidP="00551F90">
      <w:pPr>
        <w:pStyle w:val="Bibliography"/>
        <w:spacing w:line="480" w:lineRule="auto"/>
      </w:pPr>
      <w:r>
        <w:t xml:space="preserve">(14) </w:t>
      </w:r>
      <w:r>
        <w:tab/>
        <w:t xml:space="preserve">Tiwari, S.; Jamal, S. B.; Hassan, S. S.; Carvalho, P. V. S. D.; Almeida, S.; </w:t>
      </w:r>
      <w:proofErr w:type="spellStart"/>
      <w:r>
        <w:t>Barh</w:t>
      </w:r>
      <w:proofErr w:type="spellEnd"/>
      <w:r>
        <w:t xml:space="preserve">, D.; Ghosh, P.; Silva, A.; Castro, T. L. P.; Azevedo, V. Two-Component Signal Transduction Systems of Pathogenic Bacteria </w:t>
      </w:r>
      <w:proofErr w:type="gramStart"/>
      <w:r>
        <w:t>As</w:t>
      </w:r>
      <w:proofErr w:type="gramEnd"/>
      <w:r>
        <w:t xml:space="preserve"> Targets for Antimicrobial Therapy: An Overview. </w:t>
      </w:r>
      <w:r>
        <w:rPr>
          <w:i/>
          <w:iCs/>
        </w:rPr>
        <w:t>Frontiers in Microbiology</w:t>
      </w:r>
      <w:r>
        <w:t xml:space="preserve"> </w:t>
      </w:r>
      <w:r>
        <w:rPr>
          <w:b/>
          <w:bCs/>
        </w:rPr>
        <w:t>2017</w:t>
      </w:r>
      <w:r>
        <w:t xml:space="preserve">, </w:t>
      </w:r>
      <w:r>
        <w:rPr>
          <w:i/>
          <w:iCs/>
        </w:rPr>
        <w:t>8</w:t>
      </w:r>
      <w:r>
        <w:t>, 1878. https://doi.org/10.3389/fmicb.2017.01878.</w:t>
      </w:r>
    </w:p>
    <w:p w14:paraId="182DC8EA" w14:textId="77777777" w:rsidR="00551F90" w:rsidRDefault="00551F90" w:rsidP="00551F90">
      <w:pPr>
        <w:pStyle w:val="Bibliography"/>
        <w:spacing w:line="480" w:lineRule="auto"/>
      </w:pPr>
      <w:r>
        <w:t xml:space="preserve">(15) </w:t>
      </w:r>
      <w:r>
        <w:tab/>
        <w:t xml:space="preserve">Stock, A. M.; Robinson, V. L.; Goudreau, P. N. Two-Component Signal Transduction. </w:t>
      </w:r>
      <w:r>
        <w:rPr>
          <w:i/>
          <w:iCs/>
        </w:rPr>
        <w:t xml:space="preserve">Annu. Rev. </w:t>
      </w:r>
      <w:proofErr w:type="spellStart"/>
      <w:r>
        <w:rPr>
          <w:i/>
          <w:iCs/>
        </w:rPr>
        <w:t>Biochem</w:t>
      </w:r>
      <w:proofErr w:type="spellEnd"/>
      <w:r>
        <w:rPr>
          <w:i/>
          <w:iCs/>
        </w:rPr>
        <w:t>.</w:t>
      </w:r>
      <w:r>
        <w:t xml:space="preserve"> </w:t>
      </w:r>
      <w:r>
        <w:rPr>
          <w:b/>
          <w:bCs/>
        </w:rPr>
        <w:t>2000</w:t>
      </w:r>
      <w:r>
        <w:t xml:space="preserve">, </w:t>
      </w:r>
      <w:r>
        <w:rPr>
          <w:i/>
          <w:iCs/>
        </w:rPr>
        <w:t>69</w:t>
      </w:r>
      <w:r>
        <w:t xml:space="preserve"> (1), 183–215. https://doi.org/10.1146/annurev.biochem.69.1.183.</w:t>
      </w:r>
    </w:p>
    <w:p w14:paraId="2F817E78" w14:textId="77777777" w:rsidR="00551F90" w:rsidRDefault="00551F90" w:rsidP="00551F90">
      <w:pPr>
        <w:pStyle w:val="Bibliography"/>
        <w:spacing w:line="480" w:lineRule="auto"/>
      </w:pPr>
      <w:r>
        <w:t xml:space="preserve">(16) </w:t>
      </w:r>
      <w:r>
        <w:tab/>
        <w:t xml:space="preserve">Atanasov, A. G.; </w:t>
      </w:r>
      <w:proofErr w:type="spellStart"/>
      <w:r>
        <w:t>Zotchev</w:t>
      </w:r>
      <w:proofErr w:type="spellEnd"/>
      <w:r>
        <w:t xml:space="preserve">, S. B.; </w:t>
      </w:r>
      <w:proofErr w:type="spellStart"/>
      <w:r>
        <w:t>Dirsch</w:t>
      </w:r>
      <w:proofErr w:type="spellEnd"/>
      <w:r>
        <w:t xml:space="preserve">, V. M.; </w:t>
      </w:r>
      <w:proofErr w:type="spellStart"/>
      <w:r>
        <w:t>Supuran</w:t>
      </w:r>
      <w:proofErr w:type="spellEnd"/>
      <w:r>
        <w:t xml:space="preserve">, C. T. Natural Products in Drug Discovery: Advances and Opportunities. </w:t>
      </w:r>
      <w:r>
        <w:rPr>
          <w:i/>
          <w:iCs/>
        </w:rPr>
        <w:t xml:space="preserve">Nat Rev Drug </w:t>
      </w:r>
      <w:proofErr w:type="spellStart"/>
      <w:r>
        <w:rPr>
          <w:i/>
          <w:iCs/>
        </w:rPr>
        <w:t>Discov</w:t>
      </w:r>
      <w:proofErr w:type="spellEnd"/>
      <w:r>
        <w:t xml:space="preserve"> </w:t>
      </w:r>
      <w:r>
        <w:rPr>
          <w:b/>
          <w:bCs/>
        </w:rPr>
        <w:t>2021</w:t>
      </w:r>
      <w:r>
        <w:t xml:space="preserve">, </w:t>
      </w:r>
      <w:r>
        <w:rPr>
          <w:i/>
          <w:iCs/>
        </w:rPr>
        <w:t>20</w:t>
      </w:r>
      <w:r>
        <w:t xml:space="preserve"> (3), 200–216. https://doi.org/10.1038/s41573-020-00114-z.</w:t>
      </w:r>
    </w:p>
    <w:p w14:paraId="15DD83AF" w14:textId="77777777" w:rsidR="00551F90" w:rsidRDefault="00551F90" w:rsidP="00551F90">
      <w:pPr>
        <w:pStyle w:val="Bibliography"/>
        <w:spacing w:line="480" w:lineRule="auto"/>
      </w:pPr>
      <w:r>
        <w:t xml:space="preserve">(17) </w:t>
      </w:r>
      <w:r>
        <w:tab/>
        <w:t xml:space="preserve">Newman, D. J.; Cragg, G. M. Natural Products as Sources of New Drugs from 1981 to 2014. </w:t>
      </w:r>
      <w:r>
        <w:rPr>
          <w:i/>
          <w:iCs/>
        </w:rPr>
        <w:t>J Nat Prod</w:t>
      </w:r>
      <w:r>
        <w:t xml:space="preserve"> </w:t>
      </w:r>
      <w:r>
        <w:rPr>
          <w:b/>
          <w:bCs/>
        </w:rPr>
        <w:t>2016</w:t>
      </w:r>
      <w:r>
        <w:t xml:space="preserve">, </w:t>
      </w:r>
      <w:r>
        <w:rPr>
          <w:i/>
          <w:iCs/>
        </w:rPr>
        <w:t>79</w:t>
      </w:r>
      <w:r>
        <w:t xml:space="preserve"> (3), 629–661. https://doi.org/10.1021/acs.jnatprod.5b01055.</w:t>
      </w:r>
    </w:p>
    <w:p w14:paraId="6E118BFD" w14:textId="77777777" w:rsidR="00551F90" w:rsidRDefault="00551F90" w:rsidP="00551F90">
      <w:pPr>
        <w:pStyle w:val="Bibliography"/>
        <w:spacing w:line="480" w:lineRule="auto"/>
      </w:pPr>
      <w:r>
        <w:t xml:space="preserve">(18) </w:t>
      </w:r>
      <w:r>
        <w:tab/>
      </w:r>
      <w:proofErr w:type="spellStart"/>
      <w:r>
        <w:t>Waltenberger</w:t>
      </w:r>
      <w:proofErr w:type="spellEnd"/>
      <w:r>
        <w:t xml:space="preserve">, B.; Mocan, A.; </w:t>
      </w:r>
      <w:proofErr w:type="spellStart"/>
      <w:r>
        <w:t>Šmejkal</w:t>
      </w:r>
      <w:proofErr w:type="spellEnd"/>
      <w:r>
        <w:t xml:space="preserve">, K.; Heiss, E. H.; Atanasov, A. G. Natural Products to Counteract the Epidemic of Cardiovascular and Metabolic Disorders. </w:t>
      </w:r>
      <w:r>
        <w:rPr>
          <w:i/>
          <w:iCs/>
        </w:rPr>
        <w:t>Molecules</w:t>
      </w:r>
      <w:r>
        <w:t xml:space="preserve"> </w:t>
      </w:r>
      <w:r>
        <w:rPr>
          <w:b/>
          <w:bCs/>
        </w:rPr>
        <w:t>2016</w:t>
      </w:r>
      <w:r>
        <w:t xml:space="preserve">, </w:t>
      </w:r>
      <w:r>
        <w:rPr>
          <w:i/>
          <w:iCs/>
        </w:rPr>
        <w:t>21</w:t>
      </w:r>
      <w:r>
        <w:t xml:space="preserve"> (6), 807. https://doi.org/10.3390/molecules21060807.</w:t>
      </w:r>
    </w:p>
    <w:p w14:paraId="32346AB0" w14:textId="77777777" w:rsidR="00551F90" w:rsidRDefault="00551F90" w:rsidP="00551F90">
      <w:pPr>
        <w:pStyle w:val="Bibliography"/>
        <w:spacing w:line="480" w:lineRule="auto"/>
      </w:pPr>
      <w:r>
        <w:t xml:space="preserve">(19) </w:t>
      </w:r>
      <w:r>
        <w:tab/>
        <w:t xml:space="preserve">Atanasov, A. G.; </w:t>
      </w:r>
      <w:proofErr w:type="spellStart"/>
      <w:r>
        <w:t>Waltenberger</w:t>
      </w:r>
      <w:proofErr w:type="spellEnd"/>
      <w:r>
        <w:t xml:space="preserve">, B.; </w:t>
      </w:r>
      <w:proofErr w:type="spellStart"/>
      <w:r>
        <w:t>Pferschy-Wenzig</w:t>
      </w:r>
      <w:proofErr w:type="spellEnd"/>
      <w:r>
        <w:t xml:space="preserve">, E.-M.; Linder, T.; Wawrosch, C.; Uhrin, P.; </w:t>
      </w:r>
      <w:proofErr w:type="spellStart"/>
      <w:r>
        <w:t>Temml</w:t>
      </w:r>
      <w:proofErr w:type="spellEnd"/>
      <w:r>
        <w:t xml:space="preserve">, V.; Wang, L.; Schwaiger, S.; Heiss, E. H.; Rollinger, J. M.; Schuster, D.; </w:t>
      </w:r>
      <w:proofErr w:type="spellStart"/>
      <w:r>
        <w:lastRenderedPageBreak/>
        <w:t>Breuss</w:t>
      </w:r>
      <w:proofErr w:type="spellEnd"/>
      <w:r>
        <w:t xml:space="preserve">, J. M.; </w:t>
      </w:r>
      <w:proofErr w:type="spellStart"/>
      <w:r>
        <w:t>Bochkov</w:t>
      </w:r>
      <w:proofErr w:type="spellEnd"/>
      <w:r>
        <w:t xml:space="preserve">, V.; </w:t>
      </w:r>
      <w:proofErr w:type="spellStart"/>
      <w:r>
        <w:t>Mihovilovic</w:t>
      </w:r>
      <w:proofErr w:type="spellEnd"/>
      <w:r>
        <w:t xml:space="preserve">, M. D.; Kopp, B.; Bauer, R.; </w:t>
      </w:r>
      <w:proofErr w:type="spellStart"/>
      <w:r>
        <w:t>Dirsch</w:t>
      </w:r>
      <w:proofErr w:type="spellEnd"/>
      <w:r>
        <w:t xml:space="preserve">, V. M.; </w:t>
      </w:r>
      <w:proofErr w:type="spellStart"/>
      <w:r>
        <w:t>Stuppner</w:t>
      </w:r>
      <w:proofErr w:type="spellEnd"/>
      <w:r>
        <w:t xml:space="preserve">, H. Discovery and Resupply of Pharmacologically Active Plant-Derived Natural Products: A Review. </w:t>
      </w:r>
      <w:proofErr w:type="spellStart"/>
      <w:r>
        <w:rPr>
          <w:i/>
          <w:iCs/>
        </w:rPr>
        <w:t>Biotechnol</w:t>
      </w:r>
      <w:proofErr w:type="spellEnd"/>
      <w:r>
        <w:rPr>
          <w:i/>
          <w:iCs/>
        </w:rPr>
        <w:t xml:space="preserve"> Adv</w:t>
      </w:r>
      <w:r>
        <w:t xml:space="preserve"> </w:t>
      </w:r>
      <w:r>
        <w:rPr>
          <w:b/>
          <w:bCs/>
        </w:rPr>
        <w:t>2015</w:t>
      </w:r>
      <w:r>
        <w:t xml:space="preserve">, </w:t>
      </w:r>
      <w:r>
        <w:rPr>
          <w:i/>
          <w:iCs/>
        </w:rPr>
        <w:t>33</w:t>
      </w:r>
      <w:r>
        <w:t xml:space="preserve"> (8), 1582–1614. https://doi.org/10.1016/j.biotechadv.2015.08.001.</w:t>
      </w:r>
    </w:p>
    <w:p w14:paraId="1FEDAC7E" w14:textId="77777777" w:rsidR="00551F90" w:rsidRDefault="00551F90" w:rsidP="00551F90">
      <w:pPr>
        <w:pStyle w:val="Bibliography"/>
        <w:spacing w:line="480" w:lineRule="auto"/>
      </w:pPr>
      <w:r>
        <w:t xml:space="preserve">(20) </w:t>
      </w:r>
      <w:r>
        <w:tab/>
      </w:r>
      <w:proofErr w:type="spellStart"/>
      <w:r>
        <w:t>Sertuerner</w:t>
      </w:r>
      <w:proofErr w:type="spellEnd"/>
      <w:r>
        <w:t xml:space="preserve">. </w:t>
      </w:r>
      <w:proofErr w:type="spellStart"/>
      <w:r>
        <w:t>Ueber</w:t>
      </w:r>
      <w:proofErr w:type="spellEnd"/>
      <w:r>
        <w:t xml:space="preserve"> Das </w:t>
      </w:r>
      <w:proofErr w:type="spellStart"/>
      <w:r>
        <w:t>Morphium</w:t>
      </w:r>
      <w:proofErr w:type="spellEnd"/>
      <w:r>
        <w:t xml:space="preserve">, Eine Neue </w:t>
      </w:r>
      <w:proofErr w:type="spellStart"/>
      <w:r>
        <w:t>Salzfähige</w:t>
      </w:r>
      <w:proofErr w:type="spellEnd"/>
      <w:r>
        <w:t xml:space="preserve"> </w:t>
      </w:r>
      <w:proofErr w:type="spellStart"/>
      <w:r>
        <w:t>Grundlage</w:t>
      </w:r>
      <w:proofErr w:type="spellEnd"/>
      <w:r>
        <w:t xml:space="preserve">, Und Die </w:t>
      </w:r>
      <w:proofErr w:type="spellStart"/>
      <w:r>
        <w:t>Mekonsäure</w:t>
      </w:r>
      <w:proofErr w:type="spellEnd"/>
      <w:r>
        <w:t xml:space="preserve">, Als </w:t>
      </w:r>
      <w:proofErr w:type="spellStart"/>
      <w:r>
        <w:t>Hauptbestandtheile</w:t>
      </w:r>
      <w:proofErr w:type="spellEnd"/>
      <w:r>
        <w:t xml:space="preserve"> Des </w:t>
      </w:r>
      <w:proofErr w:type="spellStart"/>
      <w:r>
        <w:t>Opiums</w:t>
      </w:r>
      <w:proofErr w:type="spellEnd"/>
      <w:r>
        <w:t xml:space="preserve">. </w:t>
      </w:r>
      <w:proofErr w:type="spellStart"/>
      <w:r>
        <w:rPr>
          <w:i/>
          <w:iCs/>
        </w:rPr>
        <w:t>Annalen</w:t>
      </w:r>
      <w:proofErr w:type="spellEnd"/>
      <w:r>
        <w:rPr>
          <w:i/>
          <w:iCs/>
        </w:rPr>
        <w:t xml:space="preserve"> der </w:t>
      </w:r>
      <w:proofErr w:type="spellStart"/>
      <w:r>
        <w:rPr>
          <w:i/>
          <w:iCs/>
        </w:rPr>
        <w:t>Physik</w:t>
      </w:r>
      <w:proofErr w:type="spellEnd"/>
      <w:r>
        <w:t xml:space="preserve"> </w:t>
      </w:r>
      <w:r>
        <w:rPr>
          <w:b/>
          <w:bCs/>
        </w:rPr>
        <w:t>1817</w:t>
      </w:r>
      <w:r>
        <w:t xml:space="preserve">, </w:t>
      </w:r>
      <w:r>
        <w:rPr>
          <w:i/>
          <w:iCs/>
        </w:rPr>
        <w:t>55</w:t>
      </w:r>
      <w:r>
        <w:t xml:space="preserve"> (1), 56–89. https://doi.org/10.1002/andp.18170550104.</w:t>
      </w:r>
    </w:p>
    <w:p w14:paraId="7BFF2D58" w14:textId="77777777" w:rsidR="00551F90" w:rsidRDefault="00551F90" w:rsidP="00551F90">
      <w:pPr>
        <w:pStyle w:val="Bibliography"/>
        <w:spacing w:line="480" w:lineRule="auto"/>
      </w:pPr>
      <w:r>
        <w:t xml:space="preserve">(21) </w:t>
      </w:r>
      <w:r>
        <w:tab/>
      </w:r>
      <w:proofErr w:type="spellStart"/>
      <w:r>
        <w:t>Hosztafi</w:t>
      </w:r>
      <w:proofErr w:type="spellEnd"/>
      <w:r>
        <w:t xml:space="preserve">, S. The Discovery of Alkaloids. </w:t>
      </w:r>
      <w:proofErr w:type="spellStart"/>
      <w:r>
        <w:rPr>
          <w:i/>
          <w:iCs/>
        </w:rPr>
        <w:t>Pharmazie</w:t>
      </w:r>
      <w:proofErr w:type="spellEnd"/>
      <w:r>
        <w:t xml:space="preserve"> </w:t>
      </w:r>
      <w:r>
        <w:rPr>
          <w:b/>
          <w:bCs/>
        </w:rPr>
        <w:t>1997</w:t>
      </w:r>
      <w:r>
        <w:t xml:space="preserve">, </w:t>
      </w:r>
      <w:r>
        <w:rPr>
          <w:i/>
          <w:iCs/>
        </w:rPr>
        <w:t>52</w:t>
      </w:r>
      <w:r>
        <w:t xml:space="preserve"> (7), 546–550.</w:t>
      </w:r>
    </w:p>
    <w:p w14:paraId="077B856E" w14:textId="77777777" w:rsidR="00551F90" w:rsidRDefault="00551F90" w:rsidP="00551F90">
      <w:pPr>
        <w:pStyle w:val="Bibliography"/>
        <w:spacing w:line="480" w:lineRule="auto"/>
      </w:pPr>
      <w:r>
        <w:t xml:space="preserve">(22) </w:t>
      </w:r>
      <w:r>
        <w:tab/>
        <w:t xml:space="preserve">Achan, J.; </w:t>
      </w:r>
      <w:proofErr w:type="spellStart"/>
      <w:r>
        <w:t>Talisuna</w:t>
      </w:r>
      <w:proofErr w:type="spellEnd"/>
      <w:r>
        <w:t xml:space="preserve">, A. O.; Erhart, A.; Yeka, A.; </w:t>
      </w:r>
      <w:proofErr w:type="spellStart"/>
      <w:r>
        <w:t>Tibenderana</w:t>
      </w:r>
      <w:proofErr w:type="spellEnd"/>
      <w:r>
        <w:t xml:space="preserve">, J. K.; </w:t>
      </w:r>
      <w:proofErr w:type="spellStart"/>
      <w:r>
        <w:t>Baliraine</w:t>
      </w:r>
      <w:proofErr w:type="spellEnd"/>
      <w:r>
        <w:t xml:space="preserve">, F. N.; Rosenthal, P. J.; D’Alessandro, U. Quinine, an Old Anti-Malarial Drug in a Modern World: Role in the Treatment of Malaria. </w:t>
      </w:r>
      <w:r>
        <w:rPr>
          <w:i/>
          <w:iCs/>
        </w:rPr>
        <w:t>Malar J</w:t>
      </w:r>
      <w:r>
        <w:t xml:space="preserve"> </w:t>
      </w:r>
      <w:r>
        <w:rPr>
          <w:b/>
          <w:bCs/>
        </w:rPr>
        <w:t>2011</w:t>
      </w:r>
      <w:r>
        <w:t xml:space="preserve">, </w:t>
      </w:r>
      <w:r>
        <w:rPr>
          <w:i/>
          <w:iCs/>
        </w:rPr>
        <w:t>10</w:t>
      </w:r>
      <w:r>
        <w:t>, 144. https://doi.org/10.1186/1475-2875-10-144.</w:t>
      </w:r>
    </w:p>
    <w:p w14:paraId="28BA7533" w14:textId="77777777" w:rsidR="00551F90" w:rsidRDefault="00551F90" w:rsidP="00551F90">
      <w:pPr>
        <w:pStyle w:val="Bibliography"/>
        <w:spacing w:line="480" w:lineRule="auto"/>
      </w:pPr>
      <w:r>
        <w:t xml:space="preserve">(23) </w:t>
      </w:r>
      <w:r>
        <w:tab/>
        <w:t xml:space="preserve">Runge, F. F. </w:t>
      </w:r>
      <w:proofErr w:type="spellStart"/>
      <w:r>
        <w:t>Neueste</w:t>
      </w:r>
      <w:proofErr w:type="spellEnd"/>
      <w:r>
        <w:t xml:space="preserve"> </w:t>
      </w:r>
      <w:proofErr w:type="spellStart"/>
      <w:r>
        <w:t>phytochemische</w:t>
      </w:r>
      <w:proofErr w:type="spellEnd"/>
      <w:r>
        <w:t xml:space="preserve"> </w:t>
      </w:r>
      <w:proofErr w:type="spellStart"/>
      <w:r>
        <w:t>Entdeckungen</w:t>
      </w:r>
      <w:proofErr w:type="spellEnd"/>
      <w:r>
        <w:t xml:space="preserve"> </w:t>
      </w:r>
      <w:proofErr w:type="spellStart"/>
      <w:r>
        <w:t>zur</w:t>
      </w:r>
      <w:proofErr w:type="spellEnd"/>
      <w:r>
        <w:t xml:space="preserve"> </w:t>
      </w:r>
      <w:proofErr w:type="spellStart"/>
      <w:r>
        <w:t>Begründung</w:t>
      </w:r>
      <w:proofErr w:type="spellEnd"/>
      <w:r>
        <w:t xml:space="preserve"> </w:t>
      </w:r>
      <w:proofErr w:type="spellStart"/>
      <w:r>
        <w:t>einer</w:t>
      </w:r>
      <w:proofErr w:type="spellEnd"/>
      <w:r>
        <w:t xml:space="preserve"> </w:t>
      </w:r>
      <w:proofErr w:type="spellStart"/>
      <w:r>
        <w:t>wissenschaftlichen</w:t>
      </w:r>
      <w:proofErr w:type="spellEnd"/>
      <w:r>
        <w:t xml:space="preserve"> </w:t>
      </w:r>
      <w:proofErr w:type="spellStart"/>
      <w:r>
        <w:t>Phytochemie</w:t>
      </w:r>
      <w:proofErr w:type="spellEnd"/>
      <w:r>
        <w:t>; G. Reimer: Verlin, 1820; pp 144–159.</w:t>
      </w:r>
    </w:p>
    <w:p w14:paraId="142EEDC3" w14:textId="77777777" w:rsidR="00551F90" w:rsidRDefault="00551F90" w:rsidP="00551F90">
      <w:pPr>
        <w:pStyle w:val="Bibliography"/>
        <w:spacing w:line="480" w:lineRule="auto"/>
      </w:pPr>
      <w:r>
        <w:t xml:space="preserve">(24) </w:t>
      </w:r>
      <w:r>
        <w:tab/>
      </w:r>
      <w:proofErr w:type="spellStart"/>
      <w:r>
        <w:t>Henningfield</w:t>
      </w:r>
      <w:proofErr w:type="spellEnd"/>
      <w:r>
        <w:t xml:space="preserve">, J. E.; Zeller, M. Nicotine Psychopharmacology Research Contributions to United States and Global Tobacco Regulation: A Look Back and a Look Forward. </w:t>
      </w:r>
      <w:r>
        <w:rPr>
          <w:i/>
          <w:iCs/>
        </w:rPr>
        <w:t>Psychopharmacology</w:t>
      </w:r>
      <w:r>
        <w:t xml:space="preserve"> </w:t>
      </w:r>
      <w:r>
        <w:rPr>
          <w:b/>
          <w:bCs/>
        </w:rPr>
        <w:t>2006</w:t>
      </w:r>
      <w:r>
        <w:t xml:space="preserve">, </w:t>
      </w:r>
      <w:r>
        <w:rPr>
          <w:i/>
          <w:iCs/>
        </w:rPr>
        <w:t>184</w:t>
      </w:r>
      <w:r>
        <w:t xml:space="preserve"> (3), 286–291. https://doi.org/10.1007/s00213-006-0308-4.</w:t>
      </w:r>
    </w:p>
    <w:p w14:paraId="67640936" w14:textId="77777777" w:rsidR="00551F90" w:rsidRDefault="00551F90" w:rsidP="00551F90">
      <w:pPr>
        <w:pStyle w:val="Bibliography"/>
        <w:spacing w:line="480" w:lineRule="auto"/>
      </w:pPr>
      <w:r>
        <w:t xml:space="preserve">(25) </w:t>
      </w:r>
      <w:r>
        <w:tab/>
      </w:r>
      <w:proofErr w:type="spellStart"/>
      <w:r>
        <w:t>Pomara</w:t>
      </w:r>
      <w:proofErr w:type="spellEnd"/>
      <w:r>
        <w:t xml:space="preserve">, C.; Cassano, T.; D’Errico, S.; Bello, S.; Romano, A. D.; </w:t>
      </w:r>
      <w:proofErr w:type="spellStart"/>
      <w:r>
        <w:t>Riezzo</w:t>
      </w:r>
      <w:proofErr w:type="spellEnd"/>
      <w:r>
        <w:t xml:space="preserve">, I.; </w:t>
      </w:r>
      <w:proofErr w:type="spellStart"/>
      <w:r>
        <w:t>Serviddio</w:t>
      </w:r>
      <w:proofErr w:type="spellEnd"/>
      <w:r>
        <w:t xml:space="preserve">, G. Data Available on the Extent of Cocaine Use and Dependence: Biochemistry, Pharmacologic Effects and Global Burden of Disease of Cocaine Abusers. </w:t>
      </w:r>
      <w:r>
        <w:rPr>
          <w:i/>
          <w:iCs/>
        </w:rPr>
        <w:t>CMC</w:t>
      </w:r>
      <w:r>
        <w:t xml:space="preserve"> </w:t>
      </w:r>
      <w:r>
        <w:rPr>
          <w:b/>
          <w:bCs/>
        </w:rPr>
        <w:t>2012</w:t>
      </w:r>
      <w:r>
        <w:t xml:space="preserve">, </w:t>
      </w:r>
      <w:r>
        <w:rPr>
          <w:i/>
          <w:iCs/>
        </w:rPr>
        <w:t>19</w:t>
      </w:r>
      <w:r>
        <w:t xml:space="preserve"> (33), 5647–5657. https://doi.org/10.2174/092986712803988811.</w:t>
      </w:r>
    </w:p>
    <w:p w14:paraId="03C23F60" w14:textId="77777777" w:rsidR="00551F90" w:rsidRDefault="00551F90" w:rsidP="00551F90">
      <w:pPr>
        <w:pStyle w:val="Bibliography"/>
        <w:spacing w:line="480" w:lineRule="auto"/>
      </w:pPr>
      <w:r>
        <w:lastRenderedPageBreak/>
        <w:t xml:space="preserve">(26) </w:t>
      </w:r>
      <w:r>
        <w:tab/>
        <w:t xml:space="preserve">Corson, T. W.; Crews, C. M. Molecular Understanding and Modern Application of Traditional Medicines: Triumphs and Trials. </w:t>
      </w:r>
      <w:r>
        <w:rPr>
          <w:i/>
          <w:iCs/>
        </w:rPr>
        <w:t>Cell</w:t>
      </w:r>
      <w:r>
        <w:t xml:space="preserve"> </w:t>
      </w:r>
      <w:r>
        <w:rPr>
          <w:b/>
          <w:bCs/>
        </w:rPr>
        <w:t>2007</w:t>
      </w:r>
      <w:r>
        <w:t xml:space="preserve">, </w:t>
      </w:r>
      <w:r>
        <w:rPr>
          <w:i/>
          <w:iCs/>
        </w:rPr>
        <w:t>130</w:t>
      </w:r>
      <w:r>
        <w:t xml:space="preserve"> (5), 769–774. https://doi.org/10.1016/j.cell.2007.08.021.</w:t>
      </w:r>
    </w:p>
    <w:p w14:paraId="4E0608C9" w14:textId="77777777" w:rsidR="00551F90" w:rsidRDefault="00551F90" w:rsidP="00551F90">
      <w:pPr>
        <w:pStyle w:val="Bibliography"/>
        <w:spacing w:line="480" w:lineRule="auto"/>
      </w:pPr>
      <w:r>
        <w:t xml:space="preserve">(27) </w:t>
      </w:r>
      <w:r>
        <w:tab/>
        <w:t xml:space="preserve">Cushnie, T. P. T.; Cushnie, B.; Lamb, A. J. Alkaloids: An Overview of Their Antibacterial, Antibiotic-Enhancing and </w:t>
      </w:r>
      <w:proofErr w:type="spellStart"/>
      <w:r>
        <w:t>Antivirulence</w:t>
      </w:r>
      <w:proofErr w:type="spellEnd"/>
      <w:r>
        <w:t xml:space="preserve"> Activities. </w:t>
      </w:r>
      <w:r>
        <w:rPr>
          <w:i/>
          <w:iCs/>
        </w:rPr>
        <w:t>International Journal of Antimicrobial Agents</w:t>
      </w:r>
      <w:r>
        <w:t xml:space="preserve"> </w:t>
      </w:r>
      <w:r>
        <w:rPr>
          <w:b/>
          <w:bCs/>
        </w:rPr>
        <w:t>2014</w:t>
      </w:r>
      <w:r>
        <w:t xml:space="preserve">, </w:t>
      </w:r>
      <w:r>
        <w:rPr>
          <w:i/>
          <w:iCs/>
        </w:rPr>
        <w:t>44</w:t>
      </w:r>
      <w:r>
        <w:t xml:space="preserve"> (5), 377–386. https://doi.org/10.1016/j.ijantimicag.2014.06.001.</w:t>
      </w:r>
    </w:p>
    <w:p w14:paraId="588BE8BA" w14:textId="77777777" w:rsidR="00551F90" w:rsidRDefault="00551F90" w:rsidP="00551F90">
      <w:pPr>
        <w:pStyle w:val="Bibliography"/>
        <w:spacing w:line="480" w:lineRule="auto"/>
      </w:pPr>
      <w:r>
        <w:t xml:space="preserve">(28) </w:t>
      </w:r>
      <w:r>
        <w:tab/>
        <w:t xml:space="preserve">Millan, M. J.; Newman‐Tancredi, A.; </w:t>
      </w:r>
      <w:proofErr w:type="spellStart"/>
      <w:r>
        <w:t>Audinot</w:t>
      </w:r>
      <w:proofErr w:type="spellEnd"/>
      <w:r>
        <w:t xml:space="preserve">, V.; </w:t>
      </w:r>
      <w:proofErr w:type="spellStart"/>
      <w:r>
        <w:t>Cussac</w:t>
      </w:r>
      <w:proofErr w:type="spellEnd"/>
      <w:r>
        <w:t xml:space="preserve">, D.; Lejeune, F.; Nicolas, J.-P.; </w:t>
      </w:r>
      <w:proofErr w:type="spellStart"/>
      <w:r>
        <w:t>Cogé</w:t>
      </w:r>
      <w:proofErr w:type="spellEnd"/>
      <w:r>
        <w:t xml:space="preserve">, F.; </w:t>
      </w:r>
      <w:proofErr w:type="spellStart"/>
      <w:r>
        <w:t>Galizzi</w:t>
      </w:r>
      <w:proofErr w:type="spellEnd"/>
      <w:r>
        <w:t xml:space="preserve">, J.-P.; Boutin, J. A.; Rivet, J.-M.; </w:t>
      </w:r>
      <w:proofErr w:type="spellStart"/>
      <w:r>
        <w:t>Dekeyne</w:t>
      </w:r>
      <w:proofErr w:type="spellEnd"/>
      <w:r>
        <w:t xml:space="preserve">, A.; Gobert, A. Agonist and Antagonist Actions of Yohimbine as Compared to </w:t>
      </w:r>
      <w:proofErr w:type="spellStart"/>
      <w:r>
        <w:t>Fluparoxan</w:t>
      </w:r>
      <w:proofErr w:type="spellEnd"/>
      <w:r>
        <w:t xml:space="preserve"> at Α2-Adrenergic Receptors (AR)s, Serotonin (5-HT)1A, 5-HT1B, 5-HT1D and Dopamine D2 and D3 Receptors. Significance for the Modulation of </w:t>
      </w:r>
      <w:proofErr w:type="spellStart"/>
      <w:r>
        <w:t>Frontocortical</w:t>
      </w:r>
      <w:proofErr w:type="spellEnd"/>
      <w:r>
        <w:t xml:space="preserve"> Monoaminergic Transmission and Depressive States. </w:t>
      </w:r>
      <w:r>
        <w:rPr>
          <w:i/>
          <w:iCs/>
        </w:rPr>
        <w:t>Synapse</w:t>
      </w:r>
      <w:r>
        <w:t xml:space="preserve"> </w:t>
      </w:r>
      <w:r>
        <w:rPr>
          <w:b/>
          <w:bCs/>
        </w:rPr>
        <w:t>2000</w:t>
      </w:r>
      <w:r>
        <w:t xml:space="preserve">, </w:t>
      </w:r>
      <w:r>
        <w:rPr>
          <w:i/>
          <w:iCs/>
        </w:rPr>
        <w:t>35</w:t>
      </w:r>
      <w:r>
        <w:t xml:space="preserve"> (2), 79–95. https://doi.org/10.1002/(SICI)1098-2396(200002)35:2&lt;</w:t>
      </w:r>
      <w:proofErr w:type="gramStart"/>
      <w:r>
        <w:t>79::</w:t>
      </w:r>
      <w:proofErr w:type="gramEnd"/>
      <w:r>
        <w:t>AID-SYN1&gt;3.0.CO;2-X.</w:t>
      </w:r>
    </w:p>
    <w:p w14:paraId="0A6BFC05" w14:textId="77777777" w:rsidR="00551F90" w:rsidRDefault="00551F90" w:rsidP="00551F90">
      <w:pPr>
        <w:pStyle w:val="Bibliography"/>
        <w:spacing w:line="480" w:lineRule="auto"/>
      </w:pPr>
      <w:r>
        <w:t xml:space="preserve">(29) </w:t>
      </w:r>
      <w:r>
        <w:tab/>
        <w:t xml:space="preserve">Mizukami, H.; </w:t>
      </w:r>
      <w:proofErr w:type="spellStart"/>
      <w:r>
        <w:t>Nordlov</w:t>
      </w:r>
      <w:proofErr w:type="spellEnd"/>
      <w:r>
        <w:t xml:space="preserve">, H.; Lee, S.-L.; Scott, A. I. Purification and Properties of </w:t>
      </w:r>
      <w:proofErr w:type="spellStart"/>
      <w:r>
        <w:t>Strictosidine</w:t>
      </w:r>
      <w:proofErr w:type="spellEnd"/>
      <w:r>
        <w:t xml:space="preserve"> Synthetase (an Enzyme Condensing Tryptamine and </w:t>
      </w:r>
      <w:proofErr w:type="spellStart"/>
      <w:r>
        <w:t>Secologanin</w:t>
      </w:r>
      <w:proofErr w:type="spellEnd"/>
      <w:r>
        <w:t xml:space="preserve">) from Catharanthus Roseus Cultured Cells. </w:t>
      </w:r>
      <w:r>
        <w:rPr>
          <w:i/>
          <w:iCs/>
        </w:rPr>
        <w:t>Biochemistry</w:t>
      </w:r>
      <w:r>
        <w:t xml:space="preserve"> </w:t>
      </w:r>
      <w:r>
        <w:rPr>
          <w:b/>
          <w:bCs/>
        </w:rPr>
        <w:t>1979</w:t>
      </w:r>
      <w:r>
        <w:t xml:space="preserve">, </w:t>
      </w:r>
      <w:r>
        <w:rPr>
          <w:i/>
          <w:iCs/>
        </w:rPr>
        <w:t>18</w:t>
      </w:r>
      <w:r>
        <w:t xml:space="preserve"> (17), 3760–3763. https://doi.org/10.1021/bi00584a018.</w:t>
      </w:r>
    </w:p>
    <w:p w14:paraId="6BAFF420" w14:textId="77777777" w:rsidR="00551F90" w:rsidRDefault="00551F90" w:rsidP="00551F90">
      <w:pPr>
        <w:pStyle w:val="Bibliography"/>
        <w:spacing w:line="480" w:lineRule="auto"/>
      </w:pPr>
      <w:r>
        <w:t xml:space="preserve">(30) </w:t>
      </w:r>
      <w:r>
        <w:tab/>
        <w:t xml:space="preserve">Hassan, Z.; </w:t>
      </w:r>
      <w:proofErr w:type="spellStart"/>
      <w:r>
        <w:t>Muzaimi</w:t>
      </w:r>
      <w:proofErr w:type="spellEnd"/>
      <w:r>
        <w:t xml:space="preserve">, M.; Navaratnam, V.; Yusoff, N. H. M.; Suhaimi, F. W.; Vadivelu, R.; </w:t>
      </w:r>
      <w:proofErr w:type="spellStart"/>
      <w:r>
        <w:t>Vicknasingam</w:t>
      </w:r>
      <w:proofErr w:type="spellEnd"/>
      <w:r>
        <w:t xml:space="preserve">, B. K.; Amato, D.; von </w:t>
      </w:r>
      <w:proofErr w:type="spellStart"/>
      <w:r>
        <w:t>Hörsten</w:t>
      </w:r>
      <w:proofErr w:type="spellEnd"/>
      <w:r>
        <w:t xml:space="preserve">, S.; Ismail, N. I. W.; </w:t>
      </w:r>
      <w:proofErr w:type="spellStart"/>
      <w:r>
        <w:t>Jayabalan</w:t>
      </w:r>
      <w:proofErr w:type="spellEnd"/>
      <w:r>
        <w:t xml:space="preserve">, N.; Hazim, A. I.; Mansor, S. M.; Müller, C. P. From Kratom to </w:t>
      </w:r>
      <w:proofErr w:type="spellStart"/>
      <w:r>
        <w:t>Mitragynine</w:t>
      </w:r>
      <w:proofErr w:type="spellEnd"/>
      <w:r>
        <w:t xml:space="preserve"> and Its Derivatives: Physiological and </w:t>
      </w:r>
      <w:proofErr w:type="spellStart"/>
      <w:r>
        <w:t>Behavioural</w:t>
      </w:r>
      <w:proofErr w:type="spellEnd"/>
      <w:r>
        <w:t xml:space="preserve"> Effects Related to Use, Abuse, and Addiction. </w:t>
      </w:r>
      <w:r>
        <w:rPr>
          <w:i/>
          <w:iCs/>
        </w:rPr>
        <w:t>Neuroscience &amp; Biobehavioral Reviews</w:t>
      </w:r>
      <w:r>
        <w:t xml:space="preserve"> </w:t>
      </w:r>
      <w:r>
        <w:rPr>
          <w:b/>
          <w:bCs/>
        </w:rPr>
        <w:t>2013</w:t>
      </w:r>
      <w:r>
        <w:t xml:space="preserve">, </w:t>
      </w:r>
      <w:r>
        <w:rPr>
          <w:i/>
          <w:iCs/>
        </w:rPr>
        <w:t>37</w:t>
      </w:r>
      <w:r>
        <w:t xml:space="preserve"> (2), 138–151. https://doi.org/10.1016/j.neubiorev.2012.11.012.</w:t>
      </w:r>
    </w:p>
    <w:p w14:paraId="58356530" w14:textId="77777777" w:rsidR="00551F90" w:rsidRDefault="00551F90" w:rsidP="00551F90">
      <w:pPr>
        <w:pStyle w:val="Bibliography"/>
        <w:spacing w:line="480" w:lineRule="auto"/>
      </w:pPr>
      <w:r>
        <w:lastRenderedPageBreak/>
        <w:t xml:space="preserve">(31) </w:t>
      </w:r>
      <w:r>
        <w:tab/>
        <w:t xml:space="preserve">Marwat, S. K.; Rehman, F. </w:t>
      </w:r>
      <w:proofErr w:type="spellStart"/>
      <w:r>
        <w:t>ur</w:t>
      </w:r>
      <w:proofErr w:type="spellEnd"/>
      <w:r>
        <w:t>. Chapter 70 - Medicinal and Pharmacological Potential of Harmala (</w:t>
      </w:r>
      <w:proofErr w:type="spellStart"/>
      <w:r>
        <w:t>Peganum</w:t>
      </w:r>
      <w:proofErr w:type="spellEnd"/>
      <w:r>
        <w:t xml:space="preserve"> Harmala L.) Seeds. In </w:t>
      </w:r>
      <w:r>
        <w:rPr>
          <w:i/>
          <w:iCs/>
        </w:rPr>
        <w:t>Nuts and Seeds in Health and Disease Prevention</w:t>
      </w:r>
      <w:r>
        <w:t xml:space="preserve">; </w:t>
      </w:r>
      <w:proofErr w:type="spellStart"/>
      <w:r>
        <w:t>Preedy</w:t>
      </w:r>
      <w:proofErr w:type="spellEnd"/>
      <w:r>
        <w:t>, V. R., Watson, R. R., Patel, V. B., Eds.; Academic Press: San Diego, 2011; pp 585–599. https://doi.org/10.1016/B978-0-12-375688-6.10070-2.</w:t>
      </w:r>
    </w:p>
    <w:p w14:paraId="1377BC21" w14:textId="77777777" w:rsidR="00551F90" w:rsidRDefault="00551F90" w:rsidP="00551F90">
      <w:pPr>
        <w:pStyle w:val="Bibliography"/>
        <w:spacing w:line="480" w:lineRule="auto"/>
      </w:pPr>
      <w:r>
        <w:t xml:space="preserve">(32) </w:t>
      </w:r>
      <w:r>
        <w:tab/>
        <w:t xml:space="preserve">Schupp, P.; Poehner, T.; Edrada, R.; Ebel, R.; Berg, A.; Wray, V.; Proksch, P. </w:t>
      </w:r>
      <w:proofErr w:type="spellStart"/>
      <w:r>
        <w:t>Eudistomins</w:t>
      </w:r>
      <w:proofErr w:type="spellEnd"/>
      <w:r>
        <w:t xml:space="preserve"> W and X, Two New β-Carbolines from the Micronesian Tunicate </w:t>
      </w:r>
      <w:proofErr w:type="spellStart"/>
      <w:r>
        <w:t>Eudistoma</w:t>
      </w:r>
      <w:proofErr w:type="spellEnd"/>
      <w:r>
        <w:t xml:space="preserve"> Sp. </w:t>
      </w:r>
      <w:r>
        <w:rPr>
          <w:i/>
          <w:iCs/>
        </w:rPr>
        <w:t>J. Nat. Prod.</w:t>
      </w:r>
      <w:r>
        <w:t xml:space="preserve"> </w:t>
      </w:r>
      <w:r>
        <w:rPr>
          <w:b/>
          <w:bCs/>
        </w:rPr>
        <w:t>2003</w:t>
      </w:r>
      <w:r>
        <w:t xml:space="preserve">, </w:t>
      </w:r>
      <w:r>
        <w:rPr>
          <w:i/>
          <w:iCs/>
        </w:rPr>
        <w:t>66</w:t>
      </w:r>
      <w:r>
        <w:t xml:space="preserve"> (2), 272–275. https://doi.org/10.1021/np020315n.</w:t>
      </w:r>
    </w:p>
    <w:p w14:paraId="737901B8" w14:textId="77777777" w:rsidR="00551F90" w:rsidRDefault="00551F90" w:rsidP="00551F90">
      <w:pPr>
        <w:pStyle w:val="Bibliography"/>
        <w:spacing w:line="480" w:lineRule="auto"/>
      </w:pPr>
      <w:r>
        <w:t xml:space="preserve">(33) </w:t>
      </w:r>
      <w:r>
        <w:tab/>
        <w:t xml:space="preserve">Inman, W. D.; Bray, W. M.; Gassner, N. C.; Lokey, R. S.; Tenney, K.; Shen, Y. Y.; </w:t>
      </w:r>
      <w:proofErr w:type="spellStart"/>
      <w:r>
        <w:t>TenDyke</w:t>
      </w:r>
      <w:proofErr w:type="spellEnd"/>
      <w:r>
        <w:t xml:space="preserve">, K.; Suh, T.; Crews, P. A β-Carboline Alkaloid from the Papua New Guinea Marine Sponge </w:t>
      </w:r>
      <w:proofErr w:type="spellStart"/>
      <w:r>
        <w:t>Hyrtios</w:t>
      </w:r>
      <w:proofErr w:type="spellEnd"/>
      <w:r>
        <w:t xml:space="preserve"> Reticulatus. </w:t>
      </w:r>
      <w:r>
        <w:rPr>
          <w:i/>
          <w:iCs/>
        </w:rPr>
        <w:t>J Nat Prod</w:t>
      </w:r>
      <w:r>
        <w:t xml:space="preserve"> </w:t>
      </w:r>
      <w:r>
        <w:rPr>
          <w:b/>
          <w:bCs/>
        </w:rPr>
        <w:t>2010</w:t>
      </w:r>
      <w:r>
        <w:t xml:space="preserve">, </w:t>
      </w:r>
      <w:r>
        <w:rPr>
          <w:i/>
          <w:iCs/>
        </w:rPr>
        <w:t>73</w:t>
      </w:r>
      <w:r>
        <w:t xml:space="preserve"> (2), 255–257. https://doi.org/10.1021/np9005426.</w:t>
      </w:r>
    </w:p>
    <w:p w14:paraId="0443F7D8" w14:textId="77777777" w:rsidR="00551F90" w:rsidRDefault="00551F90" w:rsidP="00551F90">
      <w:pPr>
        <w:pStyle w:val="Bibliography"/>
        <w:spacing w:line="480" w:lineRule="auto"/>
      </w:pPr>
      <w:r>
        <w:t xml:space="preserve">(34) </w:t>
      </w:r>
      <w:r>
        <w:tab/>
        <w:t xml:space="preserve">Zhang, Q.-W.; Lin, L.-G.; Ye, W.-C. Techniques for Extraction and Isolation of Natural Products: A Comprehensive Review. </w:t>
      </w:r>
      <w:r>
        <w:rPr>
          <w:i/>
          <w:iCs/>
        </w:rPr>
        <w:t>Chinese Medicine</w:t>
      </w:r>
      <w:r>
        <w:t xml:space="preserve"> </w:t>
      </w:r>
      <w:r>
        <w:rPr>
          <w:b/>
          <w:bCs/>
        </w:rPr>
        <w:t>2018</w:t>
      </w:r>
      <w:r>
        <w:t xml:space="preserve">, </w:t>
      </w:r>
      <w:r>
        <w:rPr>
          <w:i/>
          <w:iCs/>
        </w:rPr>
        <w:t>13</w:t>
      </w:r>
      <w:r>
        <w:t xml:space="preserve"> (1), 20. https://doi.org/10.1186/s13020-018-0177-x.</w:t>
      </w:r>
    </w:p>
    <w:p w14:paraId="3E87C0A8" w14:textId="77777777" w:rsidR="00551F90" w:rsidRDefault="00551F90" w:rsidP="00551F90">
      <w:pPr>
        <w:pStyle w:val="Bibliography"/>
        <w:spacing w:line="480" w:lineRule="auto"/>
      </w:pPr>
      <w:r>
        <w:t xml:space="preserve">(35) </w:t>
      </w:r>
      <w:r>
        <w:tab/>
        <w:t xml:space="preserve">Jiao, W.-H.; Gao, H.; Li, C.-Y.; Zhao, F.; Jiang, R.-W.; Wang, Y.; Zhou, G.-X.; Yao, X.-S. Quassidines A−D, Bis-β-Carboline Alkaloids from the Stems of Picrasma </w:t>
      </w:r>
      <w:proofErr w:type="spellStart"/>
      <w:r>
        <w:t>Quassioides</w:t>
      </w:r>
      <w:proofErr w:type="spellEnd"/>
      <w:r>
        <w:t xml:space="preserve">. </w:t>
      </w:r>
      <w:r>
        <w:rPr>
          <w:i/>
          <w:iCs/>
        </w:rPr>
        <w:t>J. Nat. Prod.</w:t>
      </w:r>
      <w:r>
        <w:t xml:space="preserve"> </w:t>
      </w:r>
      <w:r>
        <w:rPr>
          <w:b/>
          <w:bCs/>
        </w:rPr>
        <w:t>2010</w:t>
      </w:r>
      <w:r>
        <w:t xml:space="preserve">, </w:t>
      </w:r>
      <w:r>
        <w:rPr>
          <w:i/>
          <w:iCs/>
        </w:rPr>
        <w:t>73</w:t>
      </w:r>
      <w:r>
        <w:t xml:space="preserve"> (2), 167–171. https://doi.org/10.1021/np900538r.</w:t>
      </w:r>
    </w:p>
    <w:p w14:paraId="78F6C6CB" w14:textId="77777777" w:rsidR="00551F90" w:rsidRDefault="00551F90" w:rsidP="00551F90">
      <w:pPr>
        <w:pStyle w:val="Bibliography"/>
        <w:spacing w:line="480" w:lineRule="auto"/>
      </w:pPr>
      <w:r>
        <w:t xml:space="preserve">(36) </w:t>
      </w:r>
      <w:r>
        <w:tab/>
        <w:t xml:space="preserve">Howes, M.-J. R.; Quave, C. L.; </w:t>
      </w:r>
      <w:proofErr w:type="spellStart"/>
      <w:r>
        <w:t>Collemare</w:t>
      </w:r>
      <w:proofErr w:type="spellEnd"/>
      <w:r>
        <w:t xml:space="preserve">, J.; Tatsis, E. C.; Twilley, D.; </w:t>
      </w:r>
      <w:proofErr w:type="spellStart"/>
      <w:r>
        <w:t>Lulekal</w:t>
      </w:r>
      <w:proofErr w:type="spellEnd"/>
      <w:r>
        <w:t xml:space="preserve">, E.; Farlow, A.; Li, L.; Cazar, M.-E.; Leaman, D. J.; Prescott, T. A. K.; Milliken, W.; Martin, C.; De Canha, M. N.; Lall, N.; Qin, H.; Walker, B. E.; Vásquez-Londoño, C.; </w:t>
      </w:r>
      <w:proofErr w:type="spellStart"/>
      <w:r>
        <w:t>Allkin</w:t>
      </w:r>
      <w:proofErr w:type="spellEnd"/>
      <w:r>
        <w:t xml:space="preserve">, B.; Rivers, M.; Simmonds, M. S. J.; Bell, E.; Battison, A.; Felix, J.; Forest, F.; Leon, C.; Williams, C.; Nic </w:t>
      </w:r>
      <w:proofErr w:type="spellStart"/>
      <w:r>
        <w:t>Lughadha</w:t>
      </w:r>
      <w:proofErr w:type="spellEnd"/>
      <w:r>
        <w:t xml:space="preserve">, E. Molecules from Nature: Reconciling Biodiversity Conservation and Global Healthcare Imperatives for Sustainable Use of Medicinal Plants and Fungi. </w:t>
      </w:r>
      <w:r>
        <w:rPr>
          <w:i/>
          <w:iCs/>
        </w:rPr>
        <w:t>PLANTS, PEOPLE, PLANET</w:t>
      </w:r>
      <w:r>
        <w:t xml:space="preserve"> </w:t>
      </w:r>
      <w:r>
        <w:rPr>
          <w:b/>
          <w:bCs/>
        </w:rPr>
        <w:t>2020</w:t>
      </w:r>
      <w:r>
        <w:t xml:space="preserve">, </w:t>
      </w:r>
      <w:r>
        <w:rPr>
          <w:i/>
          <w:iCs/>
        </w:rPr>
        <w:t>2</w:t>
      </w:r>
      <w:r>
        <w:t xml:space="preserve"> (5), 463–481. https://doi.org/10.1002/ppp3.10138.</w:t>
      </w:r>
    </w:p>
    <w:p w14:paraId="2E354AD0" w14:textId="77777777" w:rsidR="00551F90" w:rsidRDefault="00551F90" w:rsidP="00551F90">
      <w:pPr>
        <w:pStyle w:val="Bibliography"/>
        <w:spacing w:line="480" w:lineRule="auto"/>
      </w:pPr>
      <w:r>
        <w:lastRenderedPageBreak/>
        <w:t xml:space="preserve">(37) </w:t>
      </w:r>
      <w:r>
        <w:tab/>
        <w:t xml:space="preserve">Nicolaou, K. C.; Yang, Z.; Liu, J. J.; Ueno, H.; </w:t>
      </w:r>
      <w:proofErr w:type="spellStart"/>
      <w:r>
        <w:t>Nantermet</w:t>
      </w:r>
      <w:proofErr w:type="spellEnd"/>
      <w:r>
        <w:t xml:space="preserve">, P. G.; Guy, R. K.; Claiborne, C. F.; Renaud, J.; </w:t>
      </w:r>
      <w:proofErr w:type="spellStart"/>
      <w:r>
        <w:t>Couladouros</w:t>
      </w:r>
      <w:proofErr w:type="spellEnd"/>
      <w:r>
        <w:t xml:space="preserve">, E. A.; </w:t>
      </w:r>
      <w:proofErr w:type="spellStart"/>
      <w:r>
        <w:t>Paulvannan</w:t>
      </w:r>
      <w:proofErr w:type="spellEnd"/>
      <w:r>
        <w:t xml:space="preserve">, K.; Sorensen, E. J. Total Synthesis of Taxol. </w:t>
      </w:r>
      <w:r>
        <w:rPr>
          <w:i/>
          <w:iCs/>
        </w:rPr>
        <w:t>Nature</w:t>
      </w:r>
      <w:r>
        <w:t xml:space="preserve"> </w:t>
      </w:r>
      <w:r>
        <w:rPr>
          <w:b/>
          <w:bCs/>
        </w:rPr>
        <w:t>1994</w:t>
      </w:r>
      <w:r>
        <w:t xml:space="preserve">, </w:t>
      </w:r>
      <w:r>
        <w:rPr>
          <w:i/>
          <w:iCs/>
        </w:rPr>
        <w:t>367</w:t>
      </w:r>
      <w:r>
        <w:t xml:space="preserve"> (6464), 630–634. https://doi.org/10.1038/367630a0.</w:t>
      </w:r>
    </w:p>
    <w:p w14:paraId="4D83EB26" w14:textId="77777777" w:rsidR="00551F90" w:rsidRDefault="00551F90" w:rsidP="00551F90">
      <w:pPr>
        <w:pStyle w:val="Bibliography"/>
        <w:spacing w:line="480" w:lineRule="auto"/>
      </w:pPr>
      <w:r>
        <w:t xml:space="preserve">(38) </w:t>
      </w:r>
      <w:r>
        <w:tab/>
      </w:r>
      <w:proofErr w:type="spellStart"/>
      <w:r>
        <w:t>Danishefsky</w:t>
      </w:r>
      <w:proofErr w:type="spellEnd"/>
      <w:r>
        <w:t xml:space="preserve">, S. J.; Masters, J. J.; Young, W. B.; Link, J. T.; Snyder, L. B.; Magee, T. V.; Jung, D. K.; Isaacs, R. C. A.; Bornmann, W. G.; Alaimo, C. A.; Coburn, C. A.; Di Grandi, M. J. Total Synthesis of </w:t>
      </w:r>
      <w:proofErr w:type="spellStart"/>
      <w:r>
        <w:t>Baccatin</w:t>
      </w:r>
      <w:proofErr w:type="spellEnd"/>
      <w:r>
        <w:t xml:space="preserve"> III and Taxol. </w:t>
      </w:r>
      <w:r>
        <w:rPr>
          <w:i/>
          <w:iCs/>
        </w:rPr>
        <w:t>J. Am. Chem. Soc.</w:t>
      </w:r>
      <w:r>
        <w:t xml:space="preserve"> </w:t>
      </w:r>
      <w:r>
        <w:rPr>
          <w:b/>
          <w:bCs/>
        </w:rPr>
        <w:t>1996</w:t>
      </w:r>
      <w:r>
        <w:t xml:space="preserve">, </w:t>
      </w:r>
      <w:r>
        <w:rPr>
          <w:i/>
          <w:iCs/>
        </w:rPr>
        <w:t>118</w:t>
      </w:r>
      <w:r>
        <w:t xml:space="preserve"> (12), 2843–2859. https://doi.org/10.1021/ja952692a.</w:t>
      </w:r>
    </w:p>
    <w:p w14:paraId="58E0E59F" w14:textId="77777777" w:rsidR="00551F90" w:rsidRDefault="00551F90" w:rsidP="00551F90">
      <w:pPr>
        <w:pStyle w:val="Bibliography"/>
        <w:spacing w:line="480" w:lineRule="auto"/>
      </w:pPr>
      <w:r>
        <w:t xml:space="preserve">(39) </w:t>
      </w:r>
      <w:r>
        <w:tab/>
        <w:t xml:space="preserve">Kanda, Y.; Nakamura, H.; Umemiya, S.; </w:t>
      </w:r>
      <w:proofErr w:type="spellStart"/>
      <w:r>
        <w:t>Puthukanoori</w:t>
      </w:r>
      <w:proofErr w:type="spellEnd"/>
      <w:r>
        <w:t xml:space="preserve">, R. K.; Murthy Appala, V. R.; </w:t>
      </w:r>
      <w:proofErr w:type="spellStart"/>
      <w:r>
        <w:t>Gaddamanugu</w:t>
      </w:r>
      <w:proofErr w:type="spellEnd"/>
      <w:r>
        <w:t xml:space="preserve">, G. K.; </w:t>
      </w:r>
      <w:proofErr w:type="spellStart"/>
      <w:r>
        <w:t>Paraselli</w:t>
      </w:r>
      <w:proofErr w:type="spellEnd"/>
      <w:r>
        <w:t xml:space="preserve">, B. R.; Baran, P. S. Two-Phase Synthesis of Taxol. </w:t>
      </w:r>
      <w:r>
        <w:rPr>
          <w:i/>
          <w:iCs/>
        </w:rPr>
        <w:t>J. Am. Chem. Soc.</w:t>
      </w:r>
      <w:r>
        <w:t xml:space="preserve"> </w:t>
      </w:r>
      <w:r>
        <w:rPr>
          <w:b/>
          <w:bCs/>
        </w:rPr>
        <w:t>2020</w:t>
      </w:r>
      <w:r>
        <w:t xml:space="preserve">, </w:t>
      </w:r>
      <w:r>
        <w:rPr>
          <w:i/>
          <w:iCs/>
        </w:rPr>
        <w:t>142</w:t>
      </w:r>
      <w:r>
        <w:t xml:space="preserve"> (23), 10526–10533. https://doi.org/10.1021/jacs.0c03592.</w:t>
      </w:r>
    </w:p>
    <w:p w14:paraId="46D5F647" w14:textId="77777777" w:rsidR="00551F90" w:rsidRDefault="00551F90" w:rsidP="00551F90">
      <w:pPr>
        <w:pStyle w:val="Bibliography"/>
        <w:spacing w:line="480" w:lineRule="auto"/>
      </w:pPr>
      <w:r>
        <w:t xml:space="preserve">(40) </w:t>
      </w:r>
      <w:r>
        <w:tab/>
        <w:t xml:space="preserve">Hall, N. Creating Complexity – the Beauty and Logic of Synthesis. </w:t>
      </w:r>
      <w:r>
        <w:rPr>
          <w:i/>
          <w:iCs/>
        </w:rPr>
        <w:t xml:space="preserve">Chem. </w:t>
      </w:r>
      <w:proofErr w:type="spellStart"/>
      <w:r>
        <w:rPr>
          <w:i/>
          <w:iCs/>
        </w:rPr>
        <w:t>Commun</w:t>
      </w:r>
      <w:proofErr w:type="spellEnd"/>
      <w:r>
        <w:rPr>
          <w:i/>
          <w:iCs/>
        </w:rPr>
        <w:t>.</w:t>
      </w:r>
      <w:r>
        <w:t xml:space="preserve"> </w:t>
      </w:r>
      <w:r>
        <w:rPr>
          <w:b/>
          <w:bCs/>
        </w:rPr>
        <w:t>2003</w:t>
      </w:r>
      <w:r>
        <w:t>, No. 6, 661–664. https://doi.org/10.1039/B212248K.</w:t>
      </w:r>
    </w:p>
    <w:p w14:paraId="1955E2C1" w14:textId="77777777" w:rsidR="00551F90" w:rsidRDefault="00551F90" w:rsidP="00551F90">
      <w:pPr>
        <w:pStyle w:val="Bibliography"/>
        <w:spacing w:line="480" w:lineRule="auto"/>
      </w:pPr>
      <w:r>
        <w:t xml:space="preserve">(41) </w:t>
      </w:r>
      <w:r>
        <w:tab/>
        <w:t xml:space="preserve">Domínguez, G.; Pérez‐Castells, J. Chemistry of Β‐Carbolines as Synthetic Intermediates. </w:t>
      </w:r>
      <w:r>
        <w:rPr>
          <w:i/>
          <w:iCs/>
        </w:rPr>
        <w:t>Eur. J. Org. Chem.</w:t>
      </w:r>
      <w:r>
        <w:t xml:space="preserve"> </w:t>
      </w:r>
      <w:r>
        <w:rPr>
          <w:b/>
          <w:bCs/>
        </w:rPr>
        <w:t>2011</w:t>
      </w:r>
      <w:r>
        <w:t xml:space="preserve">, </w:t>
      </w:r>
      <w:r>
        <w:rPr>
          <w:i/>
          <w:iCs/>
        </w:rPr>
        <w:t>2011</w:t>
      </w:r>
      <w:r>
        <w:t xml:space="preserve"> (36), 7243–7253. https://doi.org/10.1002/ejoc.201100931.</w:t>
      </w:r>
    </w:p>
    <w:p w14:paraId="0EE8BB3E" w14:textId="77777777" w:rsidR="00551F90" w:rsidRDefault="00551F90" w:rsidP="00551F90">
      <w:pPr>
        <w:pStyle w:val="Bibliography"/>
        <w:spacing w:line="480" w:lineRule="auto"/>
      </w:pPr>
      <w:r>
        <w:t xml:space="preserve">(42) </w:t>
      </w:r>
      <w:r>
        <w:tab/>
        <w:t>Milen, M.; Ábrányi-Balogh, P. Synthesis of β-Carbolines (</w:t>
      </w:r>
      <w:proofErr w:type="spellStart"/>
      <w:r>
        <w:t>Microreview</w:t>
      </w:r>
      <w:proofErr w:type="spellEnd"/>
      <w:r>
        <w:t xml:space="preserve">). </w:t>
      </w:r>
      <w:r>
        <w:rPr>
          <w:i/>
          <w:iCs/>
        </w:rPr>
        <w:t xml:space="preserve">Chem </w:t>
      </w:r>
      <w:proofErr w:type="spellStart"/>
      <w:r>
        <w:rPr>
          <w:i/>
          <w:iCs/>
        </w:rPr>
        <w:t>Heterocycl</w:t>
      </w:r>
      <w:proofErr w:type="spellEnd"/>
      <w:r>
        <w:rPr>
          <w:i/>
          <w:iCs/>
        </w:rPr>
        <w:t xml:space="preserve"> Comp</w:t>
      </w:r>
      <w:r>
        <w:t xml:space="preserve"> </w:t>
      </w:r>
      <w:r>
        <w:rPr>
          <w:b/>
          <w:bCs/>
        </w:rPr>
        <w:t>2016</w:t>
      </w:r>
      <w:r>
        <w:t xml:space="preserve">, </w:t>
      </w:r>
      <w:r>
        <w:rPr>
          <w:i/>
          <w:iCs/>
        </w:rPr>
        <w:t>52</w:t>
      </w:r>
      <w:r>
        <w:t xml:space="preserve"> (12), 996–998. https://doi.org/10.1007/s10593-017-1997-9.</w:t>
      </w:r>
    </w:p>
    <w:p w14:paraId="1163E4AF" w14:textId="77777777" w:rsidR="00551F90" w:rsidRDefault="00551F90" w:rsidP="00551F90">
      <w:pPr>
        <w:pStyle w:val="Bibliography"/>
        <w:spacing w:line="480" w:lineRule="auto"/>
      </w:pPr>
      <w:r>
        <w:t xml:space="preserve">(43) </w:t>
      </w:r>
      <w:r>
        <w:tab/>
      </w:r>
      <w:proofErr w:type="spellStart"/>
      <w:r>
        <w:t>Stöckigt</w:t>
      </w:r>
      <w:proofErr w:type="spellEnd"/>
      <w:r>
        <w:t xml:space="preserve">, J.; </w:t>
      </w:r>
      <w:proofErr w:type="spellStart"/>
      <w:r>
        <w:t>Antonchick</w:t>
      </w:r>
      <w:proofErr w:type="spellEnd"/>
      <w:r>
        <w:t xml:space="preserve">, A. P.; Wu, F.; Waldmann, H. The Pictet-Spengler Reaction in Nature and in Organic Chemistry. </w:t>
      </w:r>
      <w:proofErr w:type="spellStart"/>
      <w:r>
        <w:rPr>
          <w:i/>
          <w:iCs/>
        </w:rPr>
        <w:t>Angew</w:t>
      </w:r>
      <w:proofErr w:type="spellEnd"/>
      <w:r>
        <w:rPr>
          <w:i/>
          <w:iCs/>
        </w:rPr>
        <w:t>. Chem. Int. Ed.</w:t>
      </w:r>
      <w:r>
        <w:t xml:space="preserve"> </w:t>
      </w:r>
      <w:r>
        <w:rPr>
          <w:b/>
          <w:bCs/>
        </w:rPr>
        <w:t>2011</w:t>
      </w:r>
      <w:r>
        <w:t xml:space="preserve">, </w:t>
      </w:r>
      <w:r>
        <w:rPr>
          <w:i/>
          <w:iCs/>
        </w:rPr>
        <w:t>50</w:t>
      </w:r>
      <w:r>
        <w:t xml:space="preserve"> (37), 8538–8564. https://doi.org/10.1002/anie.201008071.</w:t>
      </w:r>
    </w:p>
    <w:p w14:paraId="4048D907" w14:textId="77777777" w:rsidR="00551F90" w:rsidRDefault="00551F90" w:rsidP="00551F90">
      <w:pPr>
        <w:pStyle w:val="Bibliography"/>
        <w:spacing w:line="480" w:lineRule="auto"/>
      </w:pPr>
      <w:r>
        <w:t xml:space="preserve">(44) </w:t>
      </w:r>
      <w:r>
        <w:tab/>
        <w:t xml:space="preserve">Pictet, A.; Spengler, Theod. </w:t>
      </w:r>
      <w:proofErr w:type="spellStart"/>
      <w:r>
        <w:t>Über</w:t>
      </w:r>
      <w:proofErr w:type="spellEnd"/>
      <w:r>
        <w:t xml:space="preserve"> Die </w:t>
      </w:r>
      <w:proofErr w:type="spellStart"/>
      <w:r>
        <w:t>Bildung</w:t>
      </w:r>
      <w:proofErr w:type="spellEnd"/>
      <w:r>
        <w:t xml:space="preserve"> von </w:t>
      </w:r>
      <w:proofErr w:type="spellStart"/>
      <w:r>
        <w:t>Isochinolin-Derivaten</w:t>
      </w:r>
      <w:proofErr w:type="spellEnd"/>
      <w:r>
        <w:t xml:space="preserve"> Durch </w:t>
      </w:r>
      <w:proofErr w:type="spellStart"/>
      <w:r>
        <w:t>Einwirkung</w:t>
      </w:r>
      <w:proofErr w:type="spellEnd"/>
      <w:r>
        <w:t xml:space="preserve"> von Methylal Auf Phenyl-</w:t>
      </w:r>
      <w:proofErr w:type="spellStart"/>
      <w:r>
        <w:t>Äthylamin</w:t>
      </w:r>
      <w:proofErr w:type="spellEnd"/>
      <w:r>
        <w:t xml:space="preserve">, Phenyl-Alanin Und </w:t>
      </w:r>
      <w:proofErr w:type="spellStart"/>
      <w:r>
        <w:t>Tyrosin</w:t>
      </w:r>
      <w:proofErr w:type="spellEnd"/>
      <w:r>
        <w:t xml:space="preserve">. </w:t>
      </w:r>
      <w:proofErr w:type="spellStart"/>
      <w:r>
        <w:rPr>
          <w:i/>
          <w:iCs/>
        </w:rPr>
        <w:t>Berichte</w:t>
      </w:r>
      <w:proofErr w:type="spellEnd"/>
      <w:r>
        <w:rPr>
          <w:i/>
          <w:iCs/>
        </w:rPr>
        <w:t xml:space="preserve"> der </w:t>
      </w:r>
      <w:proofErr w:type="spellStart"/>
      <w:r>
        <w:rPr>
          <w:i/>
          <w:iCs/>
        </w:rPr>
        <w:t>deutschen</w:t>
      </w:r>
      <w:proofErr w:type="spellEnd"/>
      <w:r>
        <w:rPr>
          <w:i/>
          <w:iCs/>
        </w:rPr>
        <w:t xml:space="preserve"> </w:t>
      </w:r>
      <w:proofErr w:type="spellStart"/>
      <w:r>
        <w:rPr>
          <w:i/>
          <w:iCs/>
        </w:rPr>
        <w:t>chemischen</w:t>
      </w:r>
      <w:proofErr w:type="spellEnd"/>
      <w:r>
        <w:rPr>
          <w:i/>
          <w:iCs/>
        </w:rPr>
        <w:t xml:space="preserve"> Gesellschaft</w:t>
      </w:r>
      <w:r>
        <w:t xml:space="preserve"> </w:t>
      </w:r>
      <w:r>
        <w:rPr>
          <w:b/>
          <w:bCs/>
        </w:rPr>
        <w:t>1911</w:t>
      </w:r>
      <w:r>
        <w:t xml:space="preserve">, </w:t>
      </w:r>
      <w:r>
        <w:rPr>
          <w:i/>
          <w:iCs/>
        </w:rPr>
        <w:t>44</w:t>
      </w:r>
      <w:r>
        <w:t xml:space="preserve"> (3), 2030–2036. https://doi.org/10.1002/cber.19110440309.</w:t>
      </w:r>
    </w:p>
    <w:p w14:paraId="45BAB803" w14:textId="77777777" w:rsidR="00551F90" w:rsidRDefault="00551F90" w:rsidP="00551F90">
      <w:pPr>
        <w:pStyle w:val="Bibliography"/>
        <w:spacing w:line="480" w:lineRule="auto"/>
      </w:pPr>
      <w:r>
        <w:lastRenderedPageBreak/>
        <w:t xml:space="preserve">(45) </w:t>
      </w:r>
      <w:r>
        <w:tab/>
        <w:t xml:space="preserve">Zheng, C.; Xia, Z.-L.; You, S.-L. Unified Mechanistic Understandings of Pictet-Spengler Reactions. </w:t>
      </w:r>
      <w:r>
        <w:rPr>
          <w:i/>
          <w:iCs/>
        </w:rPr>
        <w:t>Chem</w:t>
      </w:r>
      <w:r>
        <w:t xml:space="preserve"> </w:t>
      </w:r>
      <w:r>
        <w:rPr>
          <w:b/>
          <w:bCs/>
        </w:rPr>
        <w:t>2018</w:t>
      </w:r>
      <w:r>
        <w:t xml:space="preserve">, </w:t>
      </w:r>
      <w:r>
        <w:rPr>
          <w:i/>
          <w:iCs/>
        </w:rPr>
        <w:t>4</w:t>
      </w:r>
      <w:r>
        <w:t xml:space="preserve"> (8), 1952–1966. https://doi.org/10.1016/j.chempr.2018.06.006.</w:t>
      </w:r>
    </w:p>
    <w:p w14:paraId="27321618" w14:textId="77777777" w:rsidR="00551F90" w:rsidRDefault="00551F90" w:rsidP="00551F90">
      <w:pPr>
        <w:pStyle w:val="Bibliography"/>
        <w:spacing w:line="480" w:lineRule="auto"/>
      </w:pPr>
      <w:r>
        <w:t xml:space="preserve">(46) </w:t>
      </w:r>
      <w:r>
        <w:tab/>
        <w:t xml:space="preserve">Whaley, W. M.; </w:t>
      </w:r>
      <w:proofErr w:type="spellStart"/>
      <w:r>
        <w:t>Govindachari</w:t>
      </w:r>
      <w:proofErr w:type="spellEnd"/>
      <w:r>
        <w:t xml:space="preserve">, T. R. The Pictet-Spengler Synthesis of </w:t>
      </w:r>
      <w:proofErr w:type="spellStart"/>
      <w:r>
        <w:t>Tetrahydroisoquinolines</w:t>
      </w:r>
      <w:proofErr w:type="spellEnd"/>
      <w:r>
        <w:t xml:space="preserve"> and Related Compounds. In </w:t>
      </w:r>
      <w:r>
        <w:rPr>
          <w:i/>
          <w:iCs/>
        </w:rPr>
        <w:t>Organic Reactions</w:t>
      </w:r>
      <w:r>
        <w:t>; John Wiley &amp; Sons, Ltd, 2011; pp 151–190. https://doi.org/10.1002/0471264180.or006.03.</w:t>
      </w:r>
    </w:p>
    <w:p w14:paraId="478669BD" w14:textId="77777777" w:rsidR="00551F90" w:rsidRDefault="00551F90" w:rsidP="00551F90">
      <w:pPr>
        <w:pStyle w:val="Bibliography"/>
        <w:spacing w:line="480" w:lineRule="auto"/>
      </w:pPr>
      <w:r>
        <w:t xml:space="preserve">(47) </w:t>
      </w:r>
      <w:r>
        <w:tab/>
        <w:t xml:space="preserve">Cox, E. D.; Cook, J. M. The Pictet-Spengler Condensation: A New Direction for an Old Reaction. </w:t>
      </w:r>
      <w:r>
        <w:rPr>
          <w:i/>
          <w:iCs/>
        </w:rPr>
        <w:t>Chem. Rev.</w:t>
      </w:r>
      <w:r>
        <w:t xml:space="preserve"> </w:t>
      </w:r>
      <w:r>
        <w:rPr>
          <w:b/>
          <w:bCs/>
        </w:rPr>
        <w:t>1995</w:t>
      </w:r>
      <w:r>
        <w:t xml:space="preserve">, </w:t>
      </w:r>
      <w:r>
        <w:rPr>
          <w:i/>
          <w:iCs/>
        </w:rPr>
        <w:t>95</w:t>
      </w:r>
      <w:r>
        <w:t xml:space="preserve"> (6), 1797–1842. https://doi.org/10.1021/cr00038a004.</w:t>
      </w:r>
    </w:p>
    <w:p w14:paraId="0A935B65" w14:textId="77777777" w:rsidR="00551F90" w:rsidRDefault="00551F90" w:rsidP="00551F90">
      <w:pPr>
        <w:pStyle w:val="Bibliography"/>
        <w:spacing w:line="480" w:lineRule="auto"/>
      </w:pPr>
      <w:r>
        <w:t xml:space="preserve">(48) </w:t>
      </w:r>
      <w:r>
        <w:tab/>
        <w:t xml:space="preserve">Yokoyama, A.; Ohwada, T.; </w:t>
      </w:r>
      <w:proofErr w:type="spellStart"/>
      <w:r>
        <w:t>Shudo</w:t>
      </w:r>
      <w:proofErr w:type="spellEnd"/>
      <w:r>
        <w:t xml:space="preserve">, K. Prototype Pictet−Spengler Reactions Catalyzed by </w:t>
      </w:r>
      <w:proofErr w:type="spellStart"/>
      <w:r>
        <w:t>Superacids</w:t>
      </w:r>
      <w:proofErr w:type="spellEnd"/>
      <w:r>
        <w:t xml:space="preserve">. Involvement of </w:t>
      </w:r>
      <w:proofErr w:type="spellStart"/>
      <w:r>
        <w:t>Dicationic</w:t>
      </w:r>
      <w:proofErr w:type="spellEnd"/>
      <w:r>
        <w:t xml:space="preserve"> </w:t>
      </w:r>
      <w:proofErr w:type="spellStart"/>
      <w:r>
        <w:t>Superelectrophiles</w:t>
      </w:r>
      <w:proofErr w:type="spellEnd"/>
      <w:r>
        <w:t xml:space="preserve">. </w:t>
      </w:r>
      <w:r>
        <w:rPr>
          <w:i/>
          <w:iCs/>
        </w:rPr>
        <w:t>J. Org. Chem.</w:t>
      </w:r>
      <w:r>
        <w:t xml:space="preserve"> </w:t>
      </w:r>
      <w:r>
        <w:rPr>
          <w:b/>
          <w:bCs/>
        </w:rPr>
        <w:t>1999</w:t>
      </w:r>
      <w:r>
        <w:t xml:space="preserve">, </w:t>
      </w:r>
      <w:r>
        <w:rPr>
          <w:i/>
          <w:iCs/>
        </w:rPr>
        <w:t>64</w:t>
      </w:r>
      <w:r>
        <w:t xml:space="preserve"> (2), 611–617. https://doi.org/10.1021/jo982019e.</w:t>
      </w:r>
    </w:p>
    <w:p w14:paraId="5225DC1A" w14:textId="77777777" w:rsidR="00551F90" w:rsidRDefault="00551F90" w:rsidP="00551F90">
      <w:pPr>
        <w:pStyle w:val="Bibliography"/>
        <w:spacing w:line="480" w:lineRule="auto"/>
      </w:pPr>
      <w:r>
        <w:t xml:space="preserve">(49) </w:t>
      </w:r>
      <w:r>
        <w:tab/>
        <w:t xml:space="preserve">Yamada, H.; Kawate, T.; </w:t>
      </w:r>
      <w:proofErr w:type="spellStart"/>
      <w:r>
        <w:t>Matsumizu</w:t>
      </w:r>
      <w:proofErr w:type="spellEnd"/>
      <w:r>
        <w:t>, M.; Nishida, A.; Yamaguchi, K.; Nakagawa, M. Chiral Lewis Acid-Mediated Enantioselective Pictet−Spengler Reaction of Nb-</w:t>
      </w:r>
      <w:proofErr w:type="spellStart"/>
      <w:r>
        <w:t>Hydroxytryptamine</w:t>
      </w:r>
      <w:proofErr w:type="spellEnd"/>
      <w:r>
        <w:t xml:space="preserve"> with Aldehydes. </w:t>
      </w:r>
      <w:r>
        <w:rPr>
          <w:i/>
          <w:iCs/>
        </w:rPr>
        <w:t>J. Org. Chem.</w:t>
      </w:r>
      <w:r>
        <w:t xml:space="preserve"> </w:t>
      </w:r>
      <w:r>
        <w:rPr>
          <w:b/>
          <w:bCs/>
        </w:rPr>
        <w:t>1998</w:t>
      </w:r>
      <w:r>
        <w:t xml:space="preserve">, </w:t>
      </w:r>
      <w:r>
        <w:rPr>
          <w:i/>
          <w:iCs/>
        </w:rPr>
        <w:t>63</w:t>
      </w:r>
      <w:r>
        <w:t xml:space="preserve"> (18), 6348–6354. https://doi.org/10.1021/jo980810h.</w:t>
      </w:r>
    </w:p>
    <w:p w14:paraId="1179A3F2" w14:textId="77777777" w:rsidR="00551F90" w:rsidRDefault="00551F90" w:rsidP="00551F90">
      <w:pPr>
        <w:pStyle w:val="Bibliography"/>
        <w:spacing w:line="480" w:lineRule="auto"/>
      </w:pPr>
      <w:r>
        <w:t xml:space="preserve">(50) </w:t>
      </w:r>
      <w:r>
        <w:tab/>
        <w:t xml:space="preserve">Sharma, S. D.; Bhaduri, S.; Kaur, G. Diastereoselective Synthesis of 1,3-Disubstituted 1,2,3,4-Tetrahydro-β-Carbolines Using Pictet-Spengler Reaction in Non-Acidic Aprotic Media. </w:t>
      </w:r>
      <w:r>
        <w:rPr>
          <w:i/>
          <w:iCs/>
        </w:rPr>
        <w:t>Indian. J. Org. Chem.</w:t>
      </w:r>
      <w:r>
        <w:t xml:space="preserve"> </w:t>
      </w:r>
      <w:r>
        <w:rPr>
          <w:b/>
          <w:bCs/>
        </w:rPr>
        <w:t>2007</w:t>
      </w:r>
      <w:r>
        <w:t xml:space="preserve">, </w:t>
      </w:r>
      <w:r>
        <w:rPr>
          <w:i/>
          <w:iCs/>
        </w:rPr>
        <w:t>38</w:t>
      </w:r>
      <w:r>
        <w:t xml:space="preserve"> (14), 2710–2715. https://doi.org/10.1002/chin.200714162.</w:t>
      </w:r>
    </w:p>
    <w:p w14:paraId="02932DDF" w14:textId="77777777" w:rsidR="00551F90" w:rsidRDefault="00551F90" w:rsidP="00551F90">
      <w:pPr>
        <w:pStyle w:val="Bibliography"/>
        <w:spacing w:line="480" w:lineRule="auto"/>
      </w:pPr>
      <w:r>
        <w:t xml:space="preserve">(51) </w:t>
      </w:r>
      <w:r>
        <w:tab/>
      </w:r>
      <w:proofErr w:type="spellStart"/>
      <w:r>
        <w:t>Nören</w:t>
      </w:r>
      <w:proofErr w:type="spellEnd"/>
      <w:r>
        <w:t xml:space="preserve">-Müller, A.; Wilk, W.; Saxena, K.; Schwalbe, H.; Kaiser, M.; Waldmann, H. Discovery of a New Class of Inhibitors of Mycobacterium Tuberculosis Protein Tyrosine Phosphatase B by Biology-Oriented Synthesis. </w:t>
      </w:r>
      <w:proofErr w:type="spellStart"/>
      <w:r>
        <w:rPr>
          <w:i/>
          <w:iCs/>
        </w:rPr>
        <w:t>Angew</w:t>
      </w:r>
      <w:proofErr w:type="spellEnd"/>
      <w:r>
        <w:rPr>
          <w:i/>
          <w:iCs/>
        </w:rPr>
        <w:t xml:space="preserve"> Chem Int Ed Engl</w:t>
      </w:r>
      <w:r>
        <w:t xml:space="preserve"> </w:t>
      </w:r>
      <w:r>
        <w:rPr>
          <w:b/>
          <w:bCs/>
        </w:rPr>
        <w:t>2008</w:t>
      </w:r>
      <w:r>
        <w:t xml:space="preserve">, </w:t>
      </w:r>
      <w:r>
        <w:rPr>
          <w:i/>
          <w:iCs/>
        </w:rPr>
        <w:t>47</w:t>
      </w:r>
      <w:r>
        <w:t xml:space="preserve"> (32), 5973–5977. https://doi.org/10.1002/anie.200801566.</w:t>
      </w:r>
    </w:p>
    <w:p w14:paraId="635364E7" w14:textId="77777777" w:rsidR="00551F90" w:rsidRDefault="00551F90" w:rsidP="00551F90">
      <w:pPr>
        <w:pStyle w:val="Bibliography"/>
        <w:spacing w:line="480" w:lineRule="auto"/>
      </w:pPr>
      <w:r>
        <w:lastRenderedPageBreak/>
        <w:t xml:space="preserve">(52) </w:t>
      </w:r>
      <w:r>
        <w:tab/>
      </w:r>
      <w:proofErr w:type="spellStart"/>
      <w:r>
        <w:t>Bou</w:t>
      </w:r>
      <w:proofErr w:type="spellEnd"/>
      <w:r>
        <w:t xml:space="preserve">-Hamdan, F. R.; Leighton, J. L. Highly Enantioselective Pictet–Spengler Reactions with α-Ketoamide-Derived </w:t>
      </w:r>
      <w:proofErr w:type="spellStart"/>
      <w:r>
        <w:t>Ketimines</w:t>
      </w:r>
      <w:proofErr w:type="spellEnd"/>
      <w:r>
        <w:t xml:space="preserve">: Access to an Unusual Class of Quaternary α-Amino Amides. </w:t>
      </w:r>
      <w:proofErr w:type="spellStart"/>
      <w:r>
        <w:rPr>
          <w:i/>
          <w:iCs/>
        </w:rPr>
        <w:t>Angewandte</w:t>
      </w:r>
      <w:proofErr w:type="spellEnd"/>
      <w:r>
        <w:rPr>
          <w:i/>
          <w:iCs/>
        </w:rPr>
        <w:t xml:space="preserve"> </w:t>
      </w:r>
      <w:proofErr w:type="spellStart"/>
      <w:r>
        <w:rPr>
          <w:i/>
          <w:iCs/>
        </w:rPr>
        <w:t>Chemie</w:t>
      </w:r>
      <w:proofErr w:type="spellEnd"/>
      <w:r>
        <w:t xml:space="preserve"> </w:t>
      </w:r>
      <w:r>
        <w:rPr>
          <w:b/>
          <w:bCs/>
        </w:rPr>
        <w:t>2009</w:t>
      </w:r>
      <w:r>
        <w:t xml:space="preserve">, </w:t>
      </w:r>
      <w:r>
        <w:rPr>
          <w:i/>
          <w:iCs/>
        </w:rPr>
        <w:t>121</w:t>
      </w:r>
      <w:r>
        <w:t xml:space="preserve"> (13), 2439–2442. https://doi.org/10.1002/ange.200806110.</w:t>
      </w:r>
    </w:p>
    <w:p w14:paraId="1152E829" w14:textId="77777777" w:rsidR="00551F90" w:rsidRDefault="00551F90" w:rsidP="00551F90">
      <w:pPr>
        <w:pStyle w:val="Bibliography"/>
        <w:spacing w:line="480" w:lineRule="auto"/>
      </w:pPr>
      <w:r>
        <w:t xml:space="preserve">(53) </w:t>
      </w:r>
      <w:r>
        <w:tab/>
        <w:t xml:space="preserve">Rueffer, M.; </w:t>
      </w:r>
      <w:proofErr w:type="spellStart"/>
      <w:r>
        <w:t>Nagakura</w:t>
      </w:r>
      <w:proofErr w:type="spellEnd"/>
      <w:r>
        <w:t xml:space="preserve">, N.; Zenk, M. H. </w:t>
      </w:r>
      <w:proofErr w:type="spellStart"/>
      <w:r>
        <w:t>Strictosidine</w:t>
      </w:r>
      <w:proofErr w:type="spellEnd"/>
      <w:r>
        <w:t xml:space="preserve">, the Common Precursor for Monoterpenoid Indole Alkaloids with 3 α and 3 β Configuration. </w:t>
      </w:r>
      <w:r>
        <w:rPr>
          <w:i/>
          <w:iCs/>
        </w:rPr>
        <w:t>Tetrahedron Letters</w:t>
      </w:r>
      <w:r>
        <w:t xml:space="preserve"> </w:t>
      </w:r>
      <w:r>
        <w:rPr>
          <w:b/>
          <w:bCs/>
        </w:rPr>
        <w:t>1978</w:t>
      </w:r>
      <w:r>
        <w:t xml:space="preserve">, </w:t>
      </w:r>
      <w:r>
        <w:rPr>
          <w:i/>
          <w:iCs/>
        </w:rPr>
        <w:t>19</w:t>
      </w:r>
      <w:r>
        <w:t xml:space="preserve"> (18), 1593–1596. https://doi.org/10.1016/S0040-4039(01)94613-1.</w:t>
      </w:r>
    </w:p>
    <w:p w14:paraId="34A12923" w14:textId="77777777" w:rsidR="00551F90" w:rsidRDefault="00551F90" w:rsidP="00551F90">
      <w:pPr>
        <w:pStyle w:val="Bibliography"/>
        <w:spacing w:line="480" w:lineRule="auto"/>
      </w:pPr>
      <w:r>
        <w:t xml:space="preserve">(54) </w:t>
      </w:r>
      <w:r>
        <w:tab/>
        <w:t xml:space="preserve">Lebold, T. P.; Wood, J. L.; Deitch, J.; </w:t>
      </w:r>
      <w:proofErr w:type="spellStart"/>
      <w:r>
        <w:t>Lodewyk</w:t>
      </w:r>
      <w:proofErr w:type="spellEnd"/>
      <w:r>
        <w:t xml:space="preserve">, M. W.; Tantillo, D. J.; Sarpong, R. A Divergent Approach to the Synthesis of the </w:t>
      </w:r>
      <w:proofErr w:type="spellStart"/>
      <w:r>
        <w:t>Yohimbinoid</w:t>
      </w:r>
      <w:proofErr w:type="spellEnd"/>
      <w:r>
        <w:t xml:space="preserve"> Alkaloids </w:t>
      </w:r>
      <w:proofErr w:type="spellStart"/>
      <w:r>
        <w:t>Venenatine</w:t>
      </w:r>
      <w:proofErr w:type="spellEnd"/>
      <w:r>
        <w:t xml:space="preserve"> and </w:t>
      </w:r>
      <w:proofErr w:type="spellStart"/>
      <w:r>
        <w:t>Alstovenine</w:t>
      </w:r>
      <w:proofErr w:type="spellEnd"/>
      <w:r>
        <w:t xml:space="preserve">. </w:t>
      </w:r>
      <w:r>
        <w:rPr>
          <w:i/>
          <w:iCs/>
        </w:rPr>
        <w:t>Nature Chem</w:t>
      </w:r>
      <w:r>
        <w:t xml:space="preserve"> </w:t>
      </w:r>
      <w:r>
        <w:rPr>
          <w:b/>
          <w:bCs/>
        </w:rPr>
        <w:t>2013</w:t>
      </w:r>
      <w:r>
        <w:t xml:space="preserve">, </w:t>
      </w:r>
      <w:r>
        <w:rPr>
          <w:i/>
          <w:iCs/>
        </w:rPr>
        <w:t>5</w:t>
      </w:r>
      <w:r>
        <w:t xml:space="preserve"> (2), 126–131. https://doi.org/10.1038/nchem.1528.</w:t>
      </w:r>
    </w:p>
    <w:p w14:paraId="25B3FF0E" w14:textId="77777777" w:rsidR="00551F90" w:rsidRDefault="00551F90" w:rsidP="00551F90">
      <w:pPr>
        <w:pStyle w:val="Bibliography"/>
        <w:spacing w:line="480" w:lineRule="auto"/>
      </w:pPr>
      <w:r>
        <w:t xml:space="preserve">(55) </w:t>
      </w:r>
      <w:r>
        <w:tab/>
        <w:t xml:space="preserve">Stork, G.; Tang, P. C.; Casey, M.; Goodman, B.; Toyota, M. Regiospecific and Stereoselective Syntheses of (±)-Reserpine and (−)-Reserpine. </w:t>
      </w:r>
      <w:r>
        <w:rPr>
          <w:i/>
          <w:iCs/>
        </w:rPr>
        <w:t>J. Am. Chem. Soc.</w:t>
      </w:r>
      <w:r>
        <w:t xml:space="preserve"> </w:t>
      </w:r>
      <w:r>
        <w:rPr>
          <w:b/>
          <w:bCs/>
        </w:rPr>
        <w:t>2005</w:t>
      </w:r>
      <w:r>
        <w:t xml:space="preserve">, </w:t>
      </w:r>
      <w:r>
        <w:rPr>
          <w:i/>
          <w:iCs/>
        </w:rPr>
        <w:t>127</w:t>
      </w:r>
      <w:r>
        <w:t xml:space="preserve"> (46), 16255–16262. https://doi.org/10.1021/ja055744x.</w:t>
      </w:r>
    </w:p>
    <w:p w14:paraId="054C7FAD" w14:textId="77777777" w:rsidR="00551F90" w:rsidRDefault="00551F90" w:rsidP="00551F90">
      <w:pPr>
        <w:pStyle w:val="Bibliography"/>
        <w:spacing w:line="480" w:lineRule="auto"/>
      </w:pPr>
      <w:r>
        <w:t xml:space="preserve">(56) </w:t>
      </w:r>
      <w:r>
        <w:tab/>
      </w:r>
      <w:proofErr w:type="spellStart"/>
      <w:r>
        <w:t>Ingallina</w:t>
      </w:r>
      <w:proofErr w:type="spellEnd"/>
      <w:r>
        <w:t xml:space="preserve">, C.; </w:t>
      </w:r>
      <w:proofErr w:type="spellStart"/>
      <w:r>
        <w:t>D’Acquarica</w:t>
      </w:r>
      <w:proofErr w:type="spellEnd"/>
      <w:r>
        <w:t xml:space="preserve">, I.; Delle Monache, G.; </w:t>
      </w:r>
      <w:proofErr w:type="spellStart"/>
      <w:r>
        <w:t>Ghirga</w:t>
      </w:r>
      <w:proofErr w:type="spellEnd"/>
      <w:r>
        <w:t xml:space="preserve">, F.; Quaglio, D.; </w:t>
      </w:r>
      <w:proofErr w:type="spellStart"/>
      <w:r>
        <w:t>Ghirga</w:t>
      </w:r>
      <w:proofErr w:type="spellEnd"/>
      <w:r>
        <w:t xml:space="preserve">, P.; </w:t>
      </w:r>
      <w:proofErr w:type="spellStart"/>
      <w:r>
        <w:t>Berardozzi</w:t>
      </w:r>
      <w:proofErr w:type="spellEnd"/>
      <w:r>
        <w:t xml:space="preserve">, S.; Markovic, V.; Botta, B. The Pictet-Spengler Reaction Still on Stage. </w:t>
      </w:r>
      <w:proofErr w:type="spellStart"/>
      <w:r>
        <w:rPr>
          <w:i/>
          <w:iCs/>
        </w:rPr>
        <w:t>Curr</w:t>
      </w:r>
      <w:proofErr w:type="spellEnd"/>
      <w:r>
        <w:rPr>
          <w:i/>
          <w:iCs/>
        </w:rPr>
        <w:t xml:space="preserve"> Pharm Des</w:t>
      </w:r>
      <w:r>
        <w:t xml:space="preserve"> </w:t>
      </w:r>
      <w:r>
        <w:rPr>
          <w:b/>
          <w:bCs/>
        </w:rPr>
        <w:t>2016</w:t>
      </w:r>
      <w:r>
        <w:t xml:space="preserve">, </w:t>
      </w:r>
      <w:r>
        <w:rPr>
          <w:i/>
          <w:iCs/>
        </w:rPr>
        <w:t>22</w:t>
      </w:r>
      <w:r>
        <w:t xml:space="preserve"> (12), 1808–1850. https://doi.org/10.2174/1381612822666151231100247.</w:t>
      </w:r>
    </w:p>
    <w:p w14:paraId="62CABD2D" w14:textId="77777777" w:rsidR="00551F90" w:rsidRDefault="00551F90" w:rsidP="00551F90">
      <w:pPr>
        <w:pStyle w:val="Bibliography"/>
        <w:spacing w:line="480" w:lineRule="auto"/>
      </w:pPr>
      <w:r>
        <w:t xml:space="preserve">(57) </w:t>
      </w:r>
      <w:r>
        <w:tab/>
        <w:t xml:space="preserve">Calcaterra, A.; Mangiardi, L.; Delle Monache, G.; Quaglio, D.; Balducci, S.; </w:t>
      </w:r>
      <w:proofErr w:type="spellStart"/>
      <w:r>
        <w:t>Berardozzi</w:t>
      </w:r>
      <w:proofErr w:type="spellEnd"/>
      <w:r>
        <w:t xml:space="preserve">, S.; </w:t>
      </w:r>
      <w:proofErr w:type="spellStart"/>
      <w:r>
        <w:t>Iazzetti</w:t>
      </w:r>
      <w:proofErr w:type="spellEnd"/>
      <w:r>
        <w:t xml:space="preserve">, A.; Franzini, R.; Botta, B.; </w:t>
      </w:r>
      <w:proofErr w:type="spellStart"/>
      <w:r>
        <w:t>Ghirga</w:t>
      </w:r>
      <w:proofErr w:type="spellEnd"/>
      <w:r>
        <w:t xml:space="preserve">, F. The Pictet-Spengler Reaction Updates Its Habits. </w:t>
      </w:r>
      <w:r>
        <w:rPr>
          <w:i/>
          <w:iCs/>
        </w:rPr>
        <w:t>Molecules</w:t>
      </w:r>
      <w:r>
        <w:t xml:space="preserve"> </w:t>
      </w:r>
      <w:r>
        <w:rPr>
          <w:b/>
          <w:bCs/>
        </w:rPr>
        <w:t>2020</w:t>
      </w:r>
      <w:r>
        <w:t xml:space="preserve">, </w:t>
      </w:r>
      <w:r>
        <w:rPr>
          <w:i/>
          <w:iCs/>
        </w:rPr>
        <w:t>25</w:t>
      </w:r>
      <w:r>
        <w:t xml:space="preserve"> (2), 414. https://doi.org/10.3390/molecules25020414.</w:t>
      </w:r>
    </w:p>
    <w:p w14:paraId="16C8636F" w14:textId="77777777" w:rsidR="00551F90" w:rsidRDefault="00551F90" w:rsidP="00551F90">
      <w:pPr>
        <w:pStyle w:val="Bibliography"/>
        <w:spacing w:line="480" w:lineRule="auto"/>
      </w:pPr>
      <w:r>
        <w:t xml:space="preserve">(58) </w:t>
      </w:r>
      <w:r>
        <w:tab/>
      </w:r>
      <w:proofErr w:type="spellStart"/>
      <w:r>
        <w:t>Maryanoff</w:t>
      </w:r>
      <w:proofErr w:type="spellEnd"/>
      <w:r>
        <w:t xml:space="preserve">, B. E.; Zhang, H.-C.; Cohen, J. H.; Turchi, I. J.; </w:t>
      </w:r>
      <w:proofErr w:type="spellStart"/>
      <w:r>
        <w:t>Maryanoff</w:t>
      </w:r>
      <w:proofErr w:type="spellEnd"/>
      <w:r>
        <w:t xml:space="preserve">, C. A. </w:t>
      </w:r>
      <w:proofErr w:type="spellStart"/>
      <w:r>
        <w:t>Cyclizations</w:t>
      </w:r>
      <w:proofErr w:type="spellEnd"/>
      <w:r>
        <w:t xml:space="preserve"> of N-Acyliminium Ions. </w:t>
      </w:r>
      <w:r>
        <w:rPr>
          <w:i/>
          <w:iCs/>
        </w:rPr>
        <w:t>Chem Rev</w:t>
      </w:r>
      <w:r>
        <w:t xml:space="preserve"> </w:t>
      </w:r>
      <w:r>
        <w:rPr>
          <w:b/>
          <w:bCs/>
        </w:rPr>
        <w:t>2004</w:t>
      </w:r>
      <w:r>
        <w:t xml:space="preserve">, </w:t>
      </w:r>
      <w:r>
        <w:rPr>
          <w:i/>
          <w:iCs/>
        </w:rPr>
        <w:t>104</w:t>
      </w:r>
      <w:r>
        <w:t xml:space="preserve"> (3), 1431–1628. https://doi.org/10.1021/cr0306182.</w:t>
      </w:r>
    </w:p>
    <w:p w14:paraId="209B4502" w14:textId="77777777" w:rsidR="00551F90" w:rsidRDefault="00551F90" w:rsidP="00551F90">
      <w:pPr>
        <w:pStyle w:val="Bibliography"/>
        <w:spacing w:line="480" w:lineRule="auto"/>
      </w:pPr>
      <w:r>
        <w:lastRenderedPageBreak/>
        <w:t xml:space="preserve">(59) </w:t>
      </w:r>
      <w:r>
        <w:tab/>
        <w:t xml:space="preserve">Pulka, K.; Misicka, A. Influence of Reaction Conditions on Products of the Pictet–Spengler Condensation. </w:t>
      </w:r>
      <w:r>
        <w:rPr>
          <w:i/>
          <w:iCs/>
        </w:rPr>
        <w:t>Tetrahedron</w:t>
      </w:r>
      <w:r>
        <w:t xml:space="preserve"> </w:t>
      </w:r>
      <w:r>
        <w:rPr>
          <w:b/>
          <w:bCs/>
        </w:rPr>
        <w:t>2011</w:t>
      </w:r>
      <w:r>
        <w:t xml:space="preserve">, </w:t>
      </w:r>
      <w:r>
        <w:rPr>
          <w:i/>
          <w:iCs/>
        </w:rPr>
        <w:t>67</w:t>
      </w:r>
      <w:r>
        <w:t xml:space="preserve"> (10), 1955–1959. https://doi.org/10.1016/j.tet.2011.01.018.</w:t>
      </w:r>
    </w:p>
    <w:p w14:paraId="7FB33397" w14:textId="77777777" w:rsidR="00551F90" w:rsidRDefault="00551F90" w:rsidP="00551F90">
      <w:pPr>
        <w:pStyle w:val="Bibliography"/>
        <w:spacing w:line="480" w:lineRule="auto"/>
      </w:pPr>
      <w:r>
        <w:t xml:space="preserve">(60) </w:t>
      </w:r>
      <w:r>
        <w:tab/>
      </w:r>
      <w:proofErr w:type="spellStart"/>
      <w:r>
        <w:t>Larghi</w:t>
      </w:r>
      <w:proofErr w:type="spellEnd"/>
      <w:r>
        <w:t xml:space="preserve">, E. L.; </w:t>
      </w:r>
      <w:proofErr w:type="spellStart"/>
      <w:r>
        <w:t>Amongero</w:t>
      </w:r>
      <w:proofErr w:type="spellEnd"/>
      <w:r>
        <w:t xml:space="preserve">, M.; Bracca, A. B. J.; Kaufman, T. S. The Intermolecular Pictet-Spengler Condensation with Chiral Carbonyl Derivatives in the Stereoselective Syntheses of </w:t>
      </w:r>
      <w:proofErr w:type="gramStart"/>
      <w:r>
        <w:t>Optically-Active</w:t>
      </w:r>
      <w:proofErr w:type="gramEnd"/>
      <w:r>
        <w:t xml:space="preserve"> </w:t>
      </w:r>
      <w:proofErr w:type="spellStart"/>
      <w:r>
        <w:t>Isoquinoline</w:t>
      </w:r>
      <w:proofErr w:type="spellEnd"/>
      <w:r>
        <w:t xml:space="preserve"> and Indole Alkaloids. </w:t>
      </w:r>
      <w:proofErr w:type="spellStart"/>
      <w:r>
        <w:rPr>
          <w:i/>
          <w:iCs/>
        </w:rPr>
        <w:t>Arkivoc</w:t>
      </w:r>
      <w:proofErr w:type="spellEnd"/>
      <w:r>
        <w:t xml:space="preserve"> </w:t>
      </w:r>
      <w:r>
        <w:rPr>
          <w:b/>
          <w:bCs/>
        </w:rPr>
        <w:t>2005</w:t>
      </w:r>
      <w:r>
        <w:t xml:space="preserve">, </w:t>
      </w:r>
      <w:r>
        <w:rPr>
          <w:i/>
          <w:iCs/>
        </w:rPr>
        <w:t>2005</w:t>
      </w:r>
      <w:r>
        <w:t xml:space="preserve"> (12), 98–153. https://doi.org/10.3998/ark.5550190.0006.c09.</w:t>
      </w:r>
    </w:p>
    <w:p w14:paraId="18CF2E34" w14:textId="77777777" w:rsidR="00551F90" w:rsidRDefault="00551F90" w:rsidP="00551F90">
      <w:pPr>
        <w:pStyle w:val="Bibliography"/>
        <w:spacing w:line="480" w:lineRule="auto"/>
      </w:pPr>
      <w:r>
        <w:t xml:space="preserve">(61) </w:t>
      </w:r>
      <w:r>
        <w:tab/>
        <w:t xml:space="preserve">Waldmann, H.; Schmidt, G.; Henke, H.; Burkard, M. Asymmetric Pictet–Spengler Reactions Employing </w:t>
      </w:r>
      <w:proofErr w:type="gramStart"/>
      <w:r>
        <w:t>N,N</w:t>
      </w:r>
      <w:proofErr w:type="gramEnd"/>
      <w:r>
        <w:t xml:space="preserve">-Phthaloyl Amino Acids as Chiral Auxiliary Groups. </w:t>
      </w:r>
      <w:proofErr w:type="spellStart"/>
      <w:r>
        <w:rPr>
          <w:i/>
          <w:iCs/>
        </w:rPr>
        <w:t>Angewandte</w:t>
      </w:r>
      <w:proofErr w:type="spellEnd"/>
      <w:r>
        <w:rPr>
          <w:i/>
          <w:iCs/>
        </w:rPr>
        <w:t xml:space="preserve"> </w:t>
      </w:r>
      <w:proofErr w:type="spellStart"/>
      <w:r>
        <w:rPr>
          <w:i/>
          <w:iCs/>
        </w:rPr>
        <w:t>Chemie</w:t>
      </w:r>
      <w:proofErr w:type="spellEnd"/>
      <w:r>
        <w:rPr>
          <w:i/>
          <w:iCs/>
        </w:rPr>
        <w:t xml:space="preserve"> International Edition in English</w:t>
      </w:r>
      <w:r>
        <w:t xml:space="preserve"> </w:t>
      </w:r>
      <w:r>
        <w:rPr>
          <w:b/>
          <w:bCs/>
        </w:rPr>
        <w:t>1995</w:t>
      </w:r>
      <w:r>
        <w:t xml:space="preserve">, </w:t>
      </w:r>
      <w:r>
        <w:rPr>
          <w:i/>
          <w:iCs/>
        </w:rPr>
        <w:t>34</w:t>
      </w:r>
      <w:r>
        <w:t xml:space="preserve"> (21), 2402–2403. https://doi.org/10.1002/anie.199524021.</w:t>
      </w:r>
    </w:p>
    <w:p w14:paraId="5F2C4E97" w14:textId="77777777" w:rsidR="00551F90" w:rsidRDefault="00551F90" w:rsidP="00551F90">
      <w:pPr>
        <w:pStyle w:val="Bibliography"/>
        <w:spacing w:line="480" w:lineRule="auto"/>
      </w:pPr>
      <w:r>
        <w:t xml:space="preserve">(62) </w:t>
      </w:r>
      <w:r>
        <w:tab/>
        <w:t xml:space="preserve">Schmidt, G.; Waldmann, H.; Henke, H.; Burkard, M. Asymmetric Control in the Pictet–Spengler Reaction by Means of N-Protected Amino Acids as Chiral Auxiliary Groups. </w:t>
      </w:r>
      <w:r>
        <w:rPr>
          <w:i/>
          <w:iCs/>
        </w:rPr>
        <w:t>Chemistry – A European Journal</w:t>
      </w:r>
      <w:r>
        <w:t xml:space="preserve"> </w:t>
      </w:r>
      <w:r>
        <w:rPr>
          <w:b/>
          <w:bCs/>
        </w:rPr>
        <w:t>1996</w:t>
      </w:r>
      <w:r>
        <w:t xml:space="preserve">, </w:t>
      </w:r>
      <w:r>
        <w:rPr>
          <w:i/>
          <w:iCs/>
        </w:rPr>
        <w:t>2</w:t>
      </w:r>
      <w:r>
        <w:t xml:space="preserve"> (12), 1566–1571. https://doi.org/10.1002/chem.19960021215.</w:t>
      </w:r>
    </w:p>
    <w:p w14:paraId="41CFDE8E" w14:textId="77777777" w:rsidR="00551F90" w:rsidRDefault="00551F90" w:rsidP="00551F90">
      <w:pPr>
        <w:pStyle w:val="Bibliography"/>
        <w:spacing w:line="480" w:lineRule="auto"/>
      </w:pPr>
      <w:r>
        <w:t xml:space="preserve">(63) </w:t>
      </w:r>
      <w:r>
        <w:tab/>
        <w:t xml:space="preserve">Engelgau, M. M.; Geiss, L. S.; </w:t>
      </w:r>
      <w:proofErr w:type="spellStart"/>
      <w:r>
        <w:t>Saaddine</w:t>
      </w:r>
      <w:proofErr w:type="spellEnd"/>
      <w:r>
        <w:t xml:space="preserve">, J. B.; Boyle, J. P.; Benjamin, S. M.; Gregg, E. W.; Tierney, E. F.; Rios-Burrows, N.; Mokdad, A. H.; Ford, E. S.; Imperatore, G.; Venkat Narayan, K. M. The Evolving Diabetes Burden in the United States. </w:t>
      </w:r>
      <w:r>
        <w:rPr>
          <w:i/>
          <w:iCs/>
        </w:rPr>
        <w:t>Ann Intern Med</w:t>
      </w:r>
      <w:r>
        <w:t xml:space="preserve"> </w:t>
      </w:r>
      <w:r>
        <w:rPr>
          <w:b/>
          <w:bCs/>
        </w:rPr>
        <w:t>2004</w:t>
      </w:r>
      <w:r>
        <w:t xml:space="preserve">, </w:t>
      </w:r>
      <w:r>
        <w:rPr>
          <w:i/>
          <w:iCs/>
        </w:rPr>
        <w:t>140</w:t>
      </w:r>
      <w:r>
        <w:t xml:space="preserve"> (11), 945–950. https://doi.org/10.7326/0003-4819-140-11-200406010-00035.</w:t>
      </w:r>
    </w:p>
    <w:p w14:paraId="5E99D669" w14:textId="77777777" w:rsidR="00551F90" w:rsidRDefault="00551F90" w:rsidP="00551F90">
      <w:pPr>
        <w:pStyle w:val="Bibliography"/>
        <w:spacing w:line="480" w:lineRule="auto"/>
      </w:pPr>
      <w:r>
        <w:t xml:space="preserve">(64) </w:t>
      </w:r>
      <w:r>
        <w:tab/>
        <w:t xml:space="preserve">Amos, A. F.; McCarty, D. J.; Zimmet, P. The Rising Global Burden of Diabetes and Its Complications: Estimates and Projections to the Year 2010. </w:t>
      </w:r>
      <w:proofErr w:type="spellStart"/>
      <w:r>
        <w:rPr>
          <w:i/>
          <w:iCs/>
        </w:rPr>
        <w:t>Diabet</w:t>
      </w:r>
      <w:proofErr w:type="spellEnd"/>
      <w:r>
        <w:rPr>
          <w:i/>
          <w:iCs/>
        </w:rPr>
        <w:t xml:space="preserve"> Med</w:t>
      </w:r>
      <w:r>
        <w:t xml:space="preserve"> </w:t>
      </w:r>
      <w:r>
        <w:rPr>
          <w:b/>
          <w:bCs/>
        </w:rPr>
        <w:t>1997</w:t>
      </w:r>
      <w:r>
        <w:t xml:space="preserve">, </w:t>
      </w:r>
      <w:r>
        <w:rPr>
          <w:i/>
          <w:iCs/>
        </w:rPr>
        <w:t>14 Suppl 5</w:t>
      </w:r>
      <w:r>
        <w:t>, S1-85.</w:t>
      </w:r>
    </w:p>
    <w:p w14:paraId="4EC35867" w14:textId="77777777" w:rsidR="00551F90" w:rsidRDefault="00551F90" w:rsidP="00551F90">
      <w:pPr>
        <w:pStyle w:val="Bibliography"/>
        <w:spacing w:line="480" w:lineRule="auto"/>
      </w:pPr>
      <w:r>
        <w:lastRenderedPageBreak/>
        <w:t xml:space="preserve">(65) </w:t>
      </w:r>
      <w:r>
        <w:tab/>
        <w:t xml:space="preserve">Tarr, J. M.; Kaul, K.; Chopra, M.; Kohner, E. M.; </w:t>
      </w:r>
      <w:proofErr w:type="spellStart"/>
      <w:r>
        <w:t>Chibber</w:t>
      </w:r>
      <w:proofErr w:type="spellEnd"/>
      <w:r>
        <w:t xml:space="preserve">, R. Pathophysiology of Diabetic Retinopathy. </w:t>
      </w:r>
      <w:r>
        <w:rPr>
          <w:i/>
          <w:iCs/>
        </w:rPr>
        <w:t>ISRN Ophthalmology</w:t>
      </w:r>
      <w:r>
        <w:t xml:space="preserve"> </w:t>
      </w:r>
      <w:r>
        <w:rPr>
          <w:b/>
          <w:bCs/>
        </w:rPr>
        <w:t>2013</w:t>
      </w:r>
      <w:r>
        <w:t xml:space="preserve">, </w:t>
      </w:r>
      <w:r>
        <w:rPr>
          <w:i/>
          <w:iCs/>
        </w:rPr>
        <w:t>2013</w:t>
      </w:r>
      <w:r>
        <w:t>, e343560. https://doi.org/10.1155/2013/343560.</w:t>
      </w:r>
    </w:p>
    <w:p w14:paraId="37235497" w14:textId="77777777" w:rsidR="00551F90" w:rsidRDefault="00551F90" w:rsidP="00551F90">
      <w:pPr>
        <w:pStyle w:val="Bibliography"/>
        <w:spacing w:line="480" w:lineRule="auto"/>
      </w:pPr>
      <w:r>
        <w:t xml:space="preserve">(66) </w:t>
      </w:r>
      <w:r>
        <w:tab/>
        <w:t xml:space="preserve">Fong, D. S.; Aiello, L.; Gardner, T. W.; King, G. L.; Blankenship, G.; </w:t>
      </w:r>
      <w:proofErr w:type="spellStart"/>
      <w:r>
        <w:t>Cavallerano</w:t>
      </w:r>
      <w:proofErr w:type="spellEnd"/>
      <w:r>
        <w:t xml:space="preserve">, J. D.; Ferris, F. L.; Klein, R. Retinopathy in Diabetes. </w:t>
      </w:r>
      <w:r>
        <w:rPr>
          <w:i/>
          <w:iCs/>
        </w:rPr>
        <w:t>Diabetes Care</w:t>
      </w:r>
      <w:r>
        <w:t xml:space="preserve"> </w:t>
      </w:r>
      <w:r>
        <w:rPr>
          <w:b/>
          <w:bCs/>
        </w:rPr>
        <w:t>2004</w:t>
      </w:r>
      <w:r>
        <w:t xml:space="preserve">, </w:t>
      </w:r>
      <w:r>
        <w:rPr>
          <w:i/>
          <w:iCs/>
        </w:rPr>
        <w:t>27</w:t>
      </w:r>
      <w:r>
        <w:t xml:space="preserve"> (suppl 1), s84–s87. https://doi.org/10.2337/diacare.27.2007.S84.</w:t>
      </w:r>
    </w:p>
    <w:p w14:paraId="6170F148" w14:textId="77777777" w:rsidR="00551F90" w:rsidRDefault="00551F90" w:rsidP="00551F90">
      <w:pPr>
        <w:pStyle w:val="Bibliography"/>
        <w:spacing w:line="480" w:lineRule="auto"/>
      </w:pPr>
      <w:r>
        <w:t xml:space="preserve">(67) </w:t>
      </w:r>
      <w:r>
        <w:tab/>
        <w:t xml:space="preserve">Evans, J. R.; </w:t>
      </w:r>
      <w:proofErr w:type="spellStart"/>
      <w:r>
        <w:t>Michelessi</w:t>
      </w:r>
      <w:proofErr w:type="spellEnd"/>
      <w:r>
        <w:t xml:space="preserve">, M.; Virgili, G. Laser Photocoagulation for Proliferative Diabetic Retinopathy. </w:t>
      </w:r>
      <w:r>
        <w:rPr>
          <w:i/>
          <w:iCs/>
        </w:rPr>
        <w:t>Cochrane Database Syst Rev</w:t>
      </w:r>
      <w:r>
        <w:t xml:space="preserve"> </w:t>
      </w:r>
      <w:r>
        <w:rPr>
          <w:b/>
          <w:bCs/>
        </w:rPr>
        <w:t>2014</w:t>
      </w:r>
      <w:r>
        <w:t>, No. 11, CD011234. https://doi.org/10.1002/14651858.CD011234.pub2.</w:t>
      </w:r>
    </w:p>
    <w:p w14:paraId="44E53B7C" w14:textId="77777777" w:rsidR="00551F90" w:rsidRDefault="00551F90" w:rsidP="00551F90">
      <w:pPr>
        <w:pStyle w:val="Bibliography"/>
        <w:spacing w:line="480" w:lineRule="auto"/>
      </w:pPr>
      <w:r>
        <w:t xml:space="preserve">(68) </w:t>
      </w:r>
      <w:r>
        <w:tab/>
        <w:t xml:space="preserve">Constantin, B. D.; Andrei, B.; Andreea, M. Vitrectomy Surgery of Diabetic Retinopathy Complications. </w:t>
      </w:r>
      <w:r>
        <w:rPr>
          <w:i/>
          <w:iCs/>
        </w:rPr>
        <w:t xml:space="preserve">Rom J </w:t>
      </w:r>
      <w:proofErr w:type="spellStart"/>
      <w:r>
        <w:rPr>
          <w:i/>
          <w:iCs/>
        </w:rPr>
        <w:t>Ophthalmol</w:t>
      </w:r>
      <w:proofErr w:type="spellEnd"/>
      <w:r>
        <w:t xml:space="preserve"> </w:t>
      </w:r>
      <w:r>
        <w:rPr>
          <w:b/>
          <w:bCs/>
        </w:rPr>
        <w:t>2016</w:t>
      </w:r>
      <w:r>
        <w:t xml:space="preserve">, </w:t>
      </w:r>
      <w:r>
        <w:rPr>
          <w:i/>
          <w:iCs/>
        </w:rPr>
        <w:t>60</w:t>
      </w:r>
      <w:r>
        <w:t xml:space="preserve"> (1), 31–36.</w:t>
      </w:r>
    </w:p>
    <w:p w14:paraId="2927E634" w14:textId="77777777" w:rsidR="00551F90" w:rsidRDefault="00551F90" w:rsidP="00551F90">
      <w:pPr>
        <w:pStyle w:val="Bibliography"/>
        <w:spacing w:line="480" w:lineRule="auto"/>
      </w:pPr>
      <w:r>
        <w:t xml:space="preserve">(69) </w:t>
      </w:r>
      <w:r>
        <w:tab/>
        <w:t xml:space="preserve">Virgili, G.; Parravano, M.; Evans, J. R.; Gordon, I.; </w:t>
      </w:r>
      <w:proofErr w:type="spellStart"/>
      <w:r>
        <w:t>Lucenteforte</w:t>
      </w:r>
      <w:proofErr w:type="spellEnd"/>
      <w:r>
        <w:t xml:space="preserve">, E. Anti‐vascular Endothelial Growth Factor for Diabetic Macular Oedema: A Network Meta‐analysis. </w:t>
      </w:r>
      <w:r>
        <w:rPr>
          <w:i/>
          <w:iCs/>
        </w:rPr>
        <w:t>Cochrane Database of Systematic Reviews</w:t>
      </w:r>
      <w:r>
        <w:t xml:space="preserve"> </w:t>
      </w:r>
      <w:r>
        <w:rPr>
          <w:b/>
          <w:bCs/>
        </w:rPr>
        <w:t>2018</w:t>
      </w:r>
      <w:r>
        <w:t>, No. 10. https://doi.org/10.1002/14651858.CD007419.pub6.</w:t>
      </w:r>
    </w:p>
    <w:p w14:paraId="7AB730C7" w14:textId="77777777" w:rsidR="00551F90" w:rsidRDefault="00551F90" w:rsidP="00551F90">
      <w:pPr>
        <w:pStyle w:val="Bibliography"/>
        <w:spacing w:line="480" w:lineRule="auto"/>
      </w:pPr>
      <w:r>
        <w:t xml:space="preserve">(70) </w:t>
      </w:r>
      <w:r>
        <w:tab/>
        <w:t xml:space="preserve">Mitchell, P.; Wong, T. Y. Management Paradigms for Diabetic Macular Edema. </w:t>
      </w:r>
      <w:r>
        <w:rPr>
          <w:i/>
          <w:iCs/>
        </w:rPr>
        <w:t>American Journal of Ophthalmology</w:t>
      </w:r>
      <w:r>
        <w:t xml:space="preserve"> </w:t>
      </w:r>
      <w:r>
        <w:rPr>
          <w:b/>
          <w:bCs/>
        </w:rPr>
        <w:t>2014</w:t>
      </w:r>
      <w:r>
        <w:t xml:space="preserve">, </w:t>
      </w:r>
      <w:r>
        <w:rPr>
          <w:i/>
          <w:iCs/>
        </w:rPr>
        <w:t>157</w:t>
      </w:r>
      <w:r>
        <w:t xml:space="preserve"> (3), 505-513.e8. https://doi.org/10.1016/j.ajo.2013.11.012.</w:t>
      </w:r>
    </w:p>
    <w:p w14:paraId="60D744F7" w14:textId="77777777" w:rsidR="00551F90" w:rsidRDefault="00551F90" w:rsidP="00551F90">
      <w:pPr>
        <w:pStyle w:val="Bibliography"/>
        <w:spacing w:line="480" w:lineRule="auto"/>
      </w:pPr>
      <w:r>
        <w:t xml:space="preserve">(71) </w:t>
      </w:r>
      <w:r>
        <w:tab/>
        <w:t xml:space="preserve">Ciulla, T. A.; Pollack, J. S.; Williams, D. F. Visual Acuity Outcomes and Anti-VEGF Therapy Intensity in Diabetic Macular Oedema: A Real-World Analysis of 28 658 Patient Eyes. </w:t>
      </w:r>
      <w:r>
        <w:rPr>
          <w:i/>
          <w:iCs/>
        </w:rPr>
        <w:t>British Journal of Ophthalmology</w:t>
      </w:r>
      <w:r>
        <w:t xml:space="preserve"> </w:t>
      </w:r>
      <w:r>
        <w:rPr>
          <w:b/>
          <w:bCs/>
        </w:rPr>
        <w:t>2021</w:t>
      </w:r>
      <w:r>
        <w:t xml:space="preserve">, </w:t>
      </w:r>
      <w:r>
        <w:rPr>
          <w:i/>
          <w:iCs/>
        </w:rPr>
        <w:t>105</w:t>
      </w:r>
      <w:r>
        <w:t xml:space="preserve"> (2), 216–221. https://doi.org/10.1136/bjophthalmol-2020-315933.</w:t>
      </w:r>
    </w:p>
    <w:p w14:paraId="3D7DAF8B" w14:textId="77777777" w:rsidR="00551F90" w:rsidRDefault="00551F90" w:rsidP="00551F90">
      <w:pPr>
        <w:pStyle w:val="Bibliography"/>
        <w:spacing w:line="480" w:lineRule="auto"/>
      </w:pPr>
      <w:r>
        <w:lastRenderedPageBreak/>
        <w:t xml:space="preserve">(72) </w:t>
      </w:r>
      <w:r>
        <w:tab/>
        <w:t xml:space="preserve">Dunning, K. R.; Anastasi, M. R.; Zhang, V. J.; Russell, D. L.; </w:t>
      </w:r>
      <w:proofErr w:type="spellStart"/>
      <w:r>
        <w:t>Robker</w:t>
      </w:r>
      <w:proofErr w:type="spellEnd"/>
      <w:r>
        <w:t xml:space="preserve">, R. L. Regulation of Fatty Acid Oxidation in Mouse Cumulus-Oocyte Complexes during Maturation and Modulation by PPAR Agonists. </w:t>
      </w:r>
      <w:r>
        <w:rPr>
          <w:i/>
          <w:iCs/>
        </w:rPr>
        <w:t>PLOS ONE</w:t>
      </w:r>
      <w:r>
        <w:t xml:space="preserve"> </w:t>
      </w:r>
      <w:r>
        <w:rPr>
          <w:b/>
          <w:bCs/>
        </w:rPr>
        <w:t>2014</w:t>
      </w:r>
      <w:r>
        <w:t xml:space="preserve">, </w:t>
      </w:r>
      <w:r>
        <w:rPr>
          <w:i/>
          <w:iCs/>
        </w:rPr>
        <w:t>9</w:t>
      </w:r>
      <w:r>
        <w:t xml:space="preserve"> (2), e87327. https://doi.org/10.1371/journal.pone.0087327.</w:t>
      </w:r>
    </w:p>
    <w:p w14:paraId="19C42BFC" w14:textId="77777777" w:rsidR="00551F90" w:rsidRDefault="00551F90" w:rsidP="00551F90">
      <w:pPr>
        <w:pStyle w:val="Bibliography"/>
        <w:spacing w:line="480" w:lineRule="auto"/>
      </w:pPr>
      <w:r>
        <w:t xml:space="preserve">(73) </w:t>
      </w:r>
      <w:r>
        <w:tab/>
        <w:t xml:space="preserve">Corton, J. C.; Peters, J. M.; </w:t>
      </w:r>
      <w:proofErr w:type="spellStart"/>
      <w:r>
        <w:t>Klaunig</w:t>
      </w:r>
      <w:proofErr w:type="spellEnd"/>
      <w:r>
        <w:t xml:space="preserve">, J. E. The PPARα-Dependent Rodent Liver Tumor Response Is Not Relevant to Humans: Addressing Misconceptions. </w:t>
      </w:r>
      <w:r>
        <w:rPr>
          <w:i/>
          <w:iCs/>
        </w:rPr>
        <w:t xml:space="preserve">Arch </w:t>
      </w:r>
      <w:proofErr w:type="spellStart"/>
      <w:r>
        <w:rPr>
          <w:i/>
          <w:iCs/>
        </w:rPr>
        <w:t>Toxicol</w:t>
      </w:r>
      <w:proofErr w:type="spellEnd"/>
      <w:r>
        <w:t xml:space="preserve"> </w:t>
      </w:r>
      <w:r>
        <w:rPr>
          <w:b/>
          <w:bCs/>
        </w:rPr>
        <w:t>2018</w:t>
      </w:r>
      <w:r>
        <w:t xml:space="preserve">, </w:t>
      </w:r>
      <w:r>
        <w:rPr>
          <w:i/>
          <w:iCs/>
        </w:rPr>
        <w:t>92</w:t>
      </w:r>
      <w:r>
        <w:t xml:space="preserve"> (1), 83–119. https://doi.org/10.1007/s00204-017-2094-7.</w:t>
      </w:r>
    </w:p>
    <w:p w14:paraId="15D816C6" w14:textId="77777777" w:rsidR="00551F90" w:rsidRDefault="00551F90" w:rsidP="00551F90">
      <w:pPr>
        <w:pStyle w:val="Bibliography"/>
        <w:spacing w:line="480" w:lineRule="auto"/>
      </w:pPr>
      <w:r>
        <w:t xml:space="preserve">(74) </w:t>
      </w:r>
      <w:r>
        <w:tab/>
        <w:t>Decara, J.; Rivera, P.; López-</w:t>
      </w:r>
      <w:proofErr w:type="spellStart"/>
      <w:r>
        <w:t>Gambero</w:t>
      </w:r>
      <w:proofErr w:type="spellEnd"/>
      <w:r>
        <w:t xml:space="preserve">, A. J.; Serrano, A.; </w:t>
      </w:r>
      <w:proofErr w:type="spellStart"/>
      <w:r>
        <w:t>Pavón</w:t>
      </w:r>
      <w:proofErr w:type="spellEnd"/>
      <w:r>
        <w:t xml:space="preserve">, F. J.; </w:t>
      </w:r>
      <w:proofErr w:type="spellStart"/>
      <w:r>
        <w:t>Baixeras</w:t>
      </w:r>
      <w:proofErr w:type="spellEnd"/>
      <w:r>
        <w:t xml:space="preserve">, E.; Rodríguez de Fonseca, F.; Suárez, J. Peroxisome Proliferator-Activated Receptors: Experimental Targeting for the Treatment of Inflammatory Bowel Diseases. </w:t>
      </w:r>
      <w:r>
        <w:rPr>
          <w:i/>
          <w:iCs/>
        </w:rPr>
        <w:t>Frontiers in Pharmacology</w:t>
      </w:r>
      <w:r>
        <w:t xml:space="preserve"> </w:t>
      </w:r>
      <w:r>
        <w:rPr>
          <w:b/>
          <w:bCs/>
        </w:rPr>
        <w:t>2020</w:t>
      </w:r>
      <w:r>
        <w:t xml:space="preserve">, </w:t>
      </w:r>
      <w:r>
        <w:rPr>
          <w:i/>
          <w:iCs/>
        </w:rPr>
        <w:t>11</w:t>
      </w:r>
      <w:r>
        <w:t>.</w:t>
      </w:r>
    </w:p>
    <w:p w14:paraId="1DEE7490" w14:textId="77777777" w:rsidR="00551F90" w:rsidRDefault="00551F90" w:rsidP="00551F90">
      <w:pPr>
        <w:pStyle w:val="Bibliography"/>
        <w:spacing w:line="480" w:lineRule="auto"/>
      </w:pPr>
      <w:r>
        <w:t xml:space="preserve">(75) </w:t>
      </w:r>
      <w:r>
        <w:tab/>
        <w:t xml:space="preserve">Feige, J. N.; Gelman, L.; Michalik, L.; </w:t>
      </w:r>
      <w:proofErr w:type="spellStart"/>
      <w:r>
        <w:t>Desvergne</w:t>
      </w:r>
      <w:proofErr w:type="spellEnd"/>
      <w:r>
        <w:t xml:space="preserve">, B.; </w:t>
      </w:r>
      <w:proofErr w:type="spellStart"/>
      <w:r>
        <w:t>Wahli</w:t>
      </w:r>
      <w:proofErr w:type="spellEnd"/>
      <w:r>
        <w:t xml:space="preserve">, W. From Molecular Action to Physiological Outputs: Peroxisome Proliferator-Activated Receptors Are Nuclear Receptors at the Crossroads of Key Cellular Functions. </w:t>
      </w:r>
      <w:r>
        <w:rPr>
          <w:i/>
          <w:iCs/>
        </w:rPr>
        <w:t>Progress in Lipid Research</w:t>
      </w:r>
      <w:r>
        <w:t xml:space="preserve"> </w:t>
      </w:r>
      <w:r>
        <w:rPr>
          <w:b/>
          <w:bCs/>
        </w:rPr>
        <w:t>2006</w:t>
      </w:r>
      <w:r>
        <w:t xml:space="preserve">, </w:t>
      </w:r>
      <w:r>
        <w:rPr>
          <w:i/>
          <w:iCs/>
        </w:rPr>
        <w:t>45</w:t>
      </w:r>
      <w:r>
        <w:t xml:space="preserve"> (2), 120–159. https://doi.org/10.1016/j.plipres.2005.12.002.</w:t>
      </w:r>
    </w:p>
    <w:p w14:paraId="5FFA687D" w14:textId="77777777" w:rsidR="00551F90" w:rsidRDefault="00551F90" w:rsidP="00551F90">
      <w:pPr>
        <w:pStyle w:val="Bibliography"/>
        <w:spacing w:line="480" w:lineRule="auto"/>
      </w:pPr>
      <w:r>
        <w:t xml:space="preserve">(76) </w:t>
      </w:r>
      <w:r>
        <w:tab/>
        <w:t xml:space="preserve">Deng, G.; Moran, E. P.; Cheng, R.; Matlock, G.; Zhou, K.; Moran, D.; Chen, D.; Yu, Q.; Ma, J.-X. Therapeutic Effects of a Novel Agonist of Peroxisome Proliferator-Activated Receptor Alpha for the Treatment of Diabetic Retinopathy. </w:t>
      </w:r>
      <w:r>
        <w:rPr>
          <w:i/>
          <w:iCs/>
        </w:rPr>
        <w:t xml:space="preserve">Invest. </w:t>
      </w:r>
      <w:proofErr w:type="spellStart"/>
      <w:r>
        <w:rPr>
          <w:i/>
          <w:iCs/>
        </w:rPr>
        <w:t>Ophthalmol</w:t>
      </w:r>
      <w:proofErr w:type="spellEnd"/>
      <w:r>
        <w:rPr>
          <w:i/>
          <w:iCs/>
        </w:rPr>
        <w:t>. Vis. Sci.</w:t>
      </w:r>
      <w:r>
        <w:t xml:space="preserve"> </w:t>
      </w:r>
      <w:r>
        <w:rPr>
          <w:b/>
          <w:bCs/>
        </w:rPr>
        <w:t>2017</w:t>
      </w:r>
      <w:r>
        <w:t xml:space="preserve">, </w:t>
      </w:r>
      <w:r>
        <w:rPr>
          <w:i/>
          <w:iCs/>
        </w:rPr>
        <w:t>58</w:t>
      </w:r>
      <w:r>
        <w:t xml:space="preserve"> (12), 5030. https://doi.org/10.1167/iovs.16-21402.</w:t>
      </w:r>
    </w:p>
    <w:p w14:paraId="24877BBF" w14:textId="77777777" w:rsidR="00551F90" w:rsidRDefault="00551F90" w:rsidP="00551F90">
      <w:pPr>
        <w:pStyle w:val="Bibliography"/>
        <w:spacing w:line="480" w:lineRule="auto"/>
      </w:pPr>
      <w:r>
        <w:t xml:space="preserve">(77) </w:t>
      </w:r>
      <w:r>
        <w:tab/>
        <w:t xml:space="preserve">Chen, Y.; Hu, Y.; Lin, M.; Jenkins, A. J.; Keech, A. C.; Mott, R.; Lyons, T. J.; Ma, J. Therapeutic Effects of PPARα Agonists on Diabetic Retinopathy in Type 1 Diabetes Models. </w:t>
      </w:r>
      <w:r>
        <w:rPr>
          <w:i/>
          <w:iCs/>
        </w:rPr>
        <w:t>Diabetes</w:t>
      </w:r>
      <w:r>
        <w:t xml:space="preserve"> </w:t>
      </w:r>
      <w:r>
        <w:rPr>
          <w:b/>
          <w:bCs/>
        </w:rPr>
        <w:t>2013</w:t>
      </w:r>
      <w:r>
        <w:t xml:space="preserve">, </w:t>
      </w:r>
      <w:r>
        <w:rPr>
          <w:i/>
          <w:iCs/>
        </w:rPr>
        <w:t>62</w:t>
      </w:r>
      <w:r>
        <w:t xml:space="preserve"> (1), 261–272. https://doi.org/10.2337/db11-0413.</w:t>
      </w:r>
    </w:p>
    <w:p w14:paraId="7CA31D48" w14:textId="77777777" w:rsidR="00551F90" w:rsidRDefault="00551F90" w:rsidP="00551F90">
      <w:pPr>
        <w:pStyle w:val="Bibliography"/>
        <w:spacing w:line="480" w:lineRule="auto"/>
      </w:pPr>
      <w:r>
        <w:lastRenderedPageBreak/>
        <w:t xml:space="preserve">(78) </w:t>
      </w:r>
      <w:r>
        <w:tab/>
        <w:t xml:space="preserve">Keech, A. C.; Mitchell, P.; </w:t>
      </w:r>
      <w:proofErr w:type="spellStart"/>
      <w:r>
        <w:t>Summanen</w:t>
      </w:r>
      <w:proofErr w:type="spellEnd"/>
      <w:r>
        <w:t xml:space="preserve">, P. A.; O’Day, J.; Davis, T. M. E.; Moffitt, M. S.; Taskinen, M.-R.; Simes, R. J.; </w:t>
      </w:r>
      <w:proofErr w:type="spellStart"/>
      <w:r>
        <w:t>Tse</w:t>
      </w:r>
      <w:proofErr w:type="spellEnd"/>
      <w:r>
        <w:t xml:space="preserve">, D.; Williamson, E.; Merrifield, A.; Laatikainen, L. T.; </w:t>
      </w:r>
      <w:proofErr w:type="spellStart"/>
      <w:r>
        <w:t>d’Emden</w:t>
      </w:r>
      <w:proofErr w:type="spellEnd"/>
      <w:r>
        <w:t xml:space="preserve">, M. C.; </w:t>
      </w:r>
      <w:proofErr w:type="spellStart"/>
      <w:r>
        <w:t>Crimet</w:t>
      </w:r>
      <w:proofErr w:type="spellEnd"/>
      <w:r>
        <w:t xml:space="preserve">, D. C.; O’Connell, R. L.; Colman, P. G.; FIELD study investigators. Effect of Fenofibrate on the Need for Laser Treatment for Diabetic Retinopathy (FIELD Study): A </w:t>
      </w:r>
      <w:proofErr w:type="spellStart"/>
      <w:r>
        <w:t>Randomised</w:t>
      </w:r>
      <w:proofErr w:type="spellEnd"/>
      <w:r>
        <w:t xml:space="preserve"> Controlled Trial. </w:t>
      </w:r>
      <w:r>
        <w:rPr>
          <w:i/>
          <w:iCs/>
        </w:rPr>
        <w:t>Lancet</w:t>
      </w:r>
      <w:r>
        <w:t xml:space="preserve"> </w:t>
      </w:r>
      <w:r>
        <w:rPr>
          <w:b/>
          <w:bCs/>
        </w:rPr>
        <w:t>2007</w:t>
      </w:r>
      <w:r>
        <w:t xml:space="preserve">, </w:t>
      </w:r>
      <w:r>
        <w:rPr>
          <w:i/>
          <w:iCs/>
        </w:rPr>
        <w:t>370</w:t>
      </w:r>
      <w:r>
        <w:t xml:space="preserve"> (9600), 1687–1697. https://doi.org/10.1016/S0140-6736(07)61607-9.</w:t>
      </w:r>
    </w:p>
    <w:p w14:paraId="18A75DA0" w14:textId="77777777" w:rsidR="00551F90" w:rsidRDefault="00551F90" w:rsidP="00551F90">
      <w:pPr>
        <w:pStyle w:val="Bibliography"/>
        <w:spacing w:line="480" w:lineRule="auto"/>
      </w:pPr>
      <w:r>
        <w:t xml:space="preserve">(79) </w:t>
      </w:r>
      <w:r>
        <w:tab/>
        <w:t xml:space="preserve">Noonan, J. E.; Jenkins, A. J.; Ma, J.-X.; Keech, A. C.; Wang, J. J.; Lamoureux, E. L. An Update on the Molecular Actions of Fenofibrate and Its Clinical Effects on Diabetic Retinopathy and Other Microvascular End Points in Patients </w:t>
      </w:r>
      <w:proofErr w:type="gramStart"/>
      <w:r>
        <w:t>With</w:t>
      </w:r>
      <w:proofErr w:type="gramEnd"/>
      <w:r>
        <w:t xml:space="preserve"> Diabetes. </w:t>
      </w:r>
      <w:r>
        <w:rPr>
          <w:i/>
          <w:iCs/>
        </w:rPr>
        <w:t>Diabetes</w:t>
      </w:r>
      <w:r>
        <w:t xml:space="preserve"> </w:t>
      </w:r>
      <w:r>
        <w:rPr>
          <w:b/>
          <w:bCs/>
        </w:rPr>
        <w:t>2013</w:t>
      </w:r>
      <w:r>
        <w:t xml:space="preserve">, </w:t>
      </w:r>
      <w:r>
        <w:rPr>
          <w:i/>
          <w:iCs/>
        </w:rPr>
        <w:t>62</w:t>
      </w:r>
      <w:r>
        <w:t xml:space="preserve"> (12), 3968–3975. https://doi.org/10.2337/db13-0800.</w:t>
      </w:r>
    </w:p>
    <w:p w14:paraId="67BF9060" w14:textId="77777777" w:rsidR="00551F90" w:rsidRDefault="00551F90" w:rsidP="00551F90">
      <w:pPr>
        <w:pStyle w:val="Bibliography"/>
        <w:spacing w:line="480" w:lineRule="auto"/>
      </w:pPr>
      <w:r>
        <w:t xml:space="preserve">(80) </w:t>
      </w:r>
      <w:r>
        <w:tab/>
      </w:r>
      <w:proofErr w:type="spellStart"/>
      <w:r>
        <w:t>Fruchart</w:t>
      </w:r>
      <w:proofErr w:type="spellEnd"/>
      <w:r>
        <w:t xml:space="preserve">, J.-C. Selective Peroxisome Proliferator-Activated Receptorα Modulators (SPPARMα): The next Generation of Peroxisome Proliferator-Activated Receptor α-Agonists. </w:t>
      </w:r>
      <w:r>
        <w:rPr>
          <w:i/>
          <w:iCs/>
        </w:rPr>
        <w:t xml:space="preserve">Cardiovasc </w:t>
      </w:r>
      <w:proofErr w:type="spellStart"/>
      <w:r>
        <w:rPr>
          <w:i/>
          <w:iCs/>
        </w:rPr>
        <w:t>Diabetol</w:t>
      </w:r>
      <w:proofErr w:type="spellEnd"/>
      <w:r>
        <w:t xml:space="preserve"> </w:t>
      </w:r>
      <w:r>
        <w:rPr>
          <w:b/>
          <w:bCs/>
        </w:rPr>
        <w:t>2013</w:t>
      </w:r>
      <w:r>
        <w:t xml:space="preserve">, </w:t>
      </w:r>
      <w:r>
        <w:rPr>
          <w:i/>
          <w:iCs/>
        </w:rPr>
        <w:t>12</w:t>
      </w:r>
      <w:r>
        <w:t>, 82. https://doi.org/10.1186/1475-2840-12-82.</w:t>
      </w:r>
    </w:p>
    <w:p w14:paraId="3B129721" w14:textId="77777777" w:rsidR="00551F90" w:rsidRDefault="00551F90" w:rsidP="00551F90">
      <w:pPr>
        <w:pStyle w:val="Bibliography"/>
        <w:spacing w:line="480" w:lineRule="auto"/>
      </w:pPr>
      <w:r>
        <w:t xml:space="preserve">(81) </w:t>
      </w:r>
      <w:r>
        <w:tab/>
        <w:t xml:space="preserve">Knickelbein, J. E.; Abbott, A. B.; Chew, E. Y. Fenofibrate and Diabetic Retinopathy. </w:t>
      </w:r>
      <w:proofErr w:type="spellStart"/>
      <w:r>
        <w:rPr>
          <w:i/>
          <w:iCs/>
        </w:rPr>
        <w:t>Curr</w:t>
      </w:r>
      <w:proofErr w:type="spellEnd"/>
      <w:r>
        <w:rPr>
          <w:i/>
          <w:iCs/>
        </w:rPr>
        <w:t xml:space="preserve"> Diab Rep</w:t>
      </w:r>
      <w:r>
        <w:t xml:space="preserve"> </w:t>
      </w:r>
      <w:r>
        <w:rPr>
          <w:b/>
          <w:bCs/>
        </w:rPr>
        <w:t>2016</w:t>
      </w:r>
      <w:r>
        <w:t xml:space="preserve">, </w:t>
      </w:r>
      <w:r>
        <w:rPr>
          <w:i/>
          <w:iCs/>
        </w:rPr>
        <w:t>16</w:t>
      </w:r>
      <w:r>
        <w:t xml:space="preserve"> (10), 90. https://doi.org/10.1007/s11892-016-0786-7.</w:t>
      </w:r>
    </w:p>
    <w:p w14:paraId="533CA82D" w14:textId="77777777" w:rsidR="00551F90" w:rsidRDefault="00551F90" w:rsidP="00551F90">
      <w:pPr>
        <w:pStyle w:val="Bibliography"/>
        <w:spacing w:line="480" w:lineRule="auto"/>
      </w:pPr>
      <w:r>
        <w:t xml:space="preserve">(82) </w:t>
      </w:r>
      <w:r>
        <w:tab/>
        <w:t xml:space="preserve">Xu, H. E.; Lambert, M. H.; Montana, V. G.; Plunket, K. D.; Moore, L. B.; Collins, J. L.; Oplinger, J. A.; Kliewer, S. A.; </w:t>
      </w:r>
      <w:proofErr w:type="spellStart"/>
      <w:r>
        <w:t>Gampe</w:t>
      </w:r>
      <w:proofErr w:type="spellEnd"/>
      <w:r>
        <w:t xml:space="preserve">, R. T.; McKee, D. D.; Moore, J. T.; Willson, T. M. Structural Determinants of Ligand Binding Selectivity between the Peroxisome Proliferator-Activated Receptors. </w:t>
      </w:r>
      <w:r>
        <w:rPr>
          <w:i/>
          <w:iCs/>
        </w:rPr>
        <w:t>Proceedings of the National Academy of Sciences</w:t>
      </w:r>
      <w:r>
        <w:t xml:space="preserve"> </w:t>
      </w:r>
      <w:r>
        <w:rPr>
          <w:b/>
          <w:bCs/>
        </w:rPr>
        <w:t>2001</w:t>
      </w:r>
      <w:r>
        <w:t xml:space="preserve">, </w:t>
      </w:r>
      <w:r>
        <w:rPr>
          <w:i/>
          <w:iCs/>
        </w:rPr>
        <w:t>98</w:t>
      </w:r>
      <w:r>
        <w:t xml:space="preserve"> (24), 13919–13924. https://doi.org/10.1073/pnas.241410198.</w:t>
      </w:r>
    </w:p>
    <w:p w14:paraId="590CA25C" w14:textId="77777777" w:rsidR="00551F90" w:rsidRDefault="00551F90" w:rsidP="00551F90">
      <w:pPr>
        <w:pStyle w:val="Bibliography"/>
        <w:spacing w:line="480" w:lineRule="auto"/>
      </w:pPr>
      <w:r>
        <w:t xml:space="preserve">(83) </w:t>
      </w:r>
      <w:r>
        <w:tab/>
        <w:t xml:space="preserve">Oliver, W. R.; Shenk, J. L.; Snaith, M. R.; Russell, C. S.; Plunket, K. D.; Bodkin, N. L.; Lewis, M. C.; Winegar, D. A.; </w:t>
      </w:r>
      <w:proofErr w:type="spellStart"/>
      <w:r>
        <w:t>Sznaidman</w:t>
      </w:r>
      <w:proofErr w:type="spellEnd"/>
      <w:r>
        <w:t>, M. L.; Lambert, M. H.; Xu, H. E.; Sternbach, D. D.; Kliewer, S. A.; Hansen, B. C.; Willson, T. M. A Selective Peroxisome Proliferator-</w:t>
      </w:r>
      <w:r>
        <w:lastRenderedPageBreak/>
        <w:t xml:space="preserve">Activated Receptor δ Agonist Promotes Reverse Cholesterol Transport. </w:t>
      </w:r>
      <w:r>
        <w:rPr>
          <w:i/>
          <w:iCs/>
        </w:rPr>
        <w:t>Proc. Natl. Acad. Sci. U.S.A.</w:t>
      </w:r>
      <w:r>
        <w:t xml:space="preserve"> </w:t>
      </w:r>
      <w:r>
        <w:rPr>
          <w:b/>
          <w:bCs/>
        </w:rPr>
        <w:t>2001</w:t>
      </w:r>
      <w:r>
        <w:t xml:space="preserve">, </w:t>
      </w:r>
      <w:r>
        <w:rPr>
          <w:i/>
          <w:iCs/>
        </w:rPr>
        <w:t>98</w:t>
      </w:r>
      <w:r>
        <w:t xml:space="preserve"> (9), 5306–5311. https://doi.org/10.1073/pnas.091021198.</w:t>
      </w:r>
    </w:p>
    <w:p w14:paraId="54BD7F5C" w14:textId="77777777" w:rsidR="00551F90" w:rsidRDefault="00551F90" w:rsidP="00551F90">
      <w:pPr>
        <w:pStyle w:val="Bibliography"/>
        <w:spacing w:line="480" w:lineRule="auto"/>
      </w:pPr>
      <w:r>
        <w:t xml:space="preserve">(84) </w:t>
      </w:r>
      <w:r>
        <w:tab/>
        <w:t xml:space="preserve">Dou, X.-Z.; Nath, D.; Shin, Y.; Ma, J.-X.; Duerfeldt, A. S. Structure-Guided Evolution of a 2-Phenyl-4-Carboxyquinoline Chemotype into PPARα Selective Agonists: New Leads for </w:t>
      </w:r>
      <w:proofErr w:type="spellStart"/>
      <w:r>
        <w:t>Oculovascular</w:t>
      </w:r>
      <w:proofErr w:type="spellEnd"/>
      <w:r>
        <w:t xml:space="preserve"> Conditions. </w:t>
      </w:r>
      <w:r>
        <w:rPr>
          <w:i/>
          <w:iCs/>
        </w:rPr>
        <w:t>Bioorganic &amp; Medicinal Chemistry Letters</w:t>
      </w:r>
      <w:r>
        <w:t xml:space="preserve"> </w:t>
      </w:r>
      <w:r>
        <w:rPr>
          <w:b/>
          <w:bCs/>
        </w:rPr>
        <w:t>2018</w:t>
      </w:r>
      <w:r>
        <w:t xml:space="preserve">, </w:t>
      </w:r>
      <w:r>
        <w:rPr>
          <w:i/>
          <w:iCs/>
        </w:rPr>
        <w:t>28</w:t>
      </w:r>
      <w:r>
        <w:t xml:space="preserve"> (16), 2717–2722. https://doi.org/10.1016/j.bmcl.2018.03.010.</w:t>
      </w:r>
    </w:p>
    <w:p w14:paraId="04CBC165" w14:textId="77777777" w:rsidR="00551F90" w:rsidRDefault="00551F90" w:rsidP="00551F90">
      <w:pPr>
        <w:pStyle w:val="Bibliography"/>
        <w:spacing w:line="480" w:lineRule="auto"/>
      </w:pPr>
      <w:r>
        <w:t xml:space="preserve">(85) </w:t>
      </w:r>
      <w:r>
        <w:tab/>
        <w:t xml:space="preserve">Dou, X.; Nath, D.; Shin, H.; </w:t>
      </w:r>
      <w:proofErr w:type="spellStart"/>
      <w:r>
        <w:t>Nurmemmedov</w:t>
      </w:r>
      <w:proofErr w:type="spellEnd"/>
      <w:r>
        <w:t xml:space="preserve">, E.; Bourne, P. C.; Ma, J.-X.; Duerfeldt, A. S. Evolution of a 4-Benzyloxy-Benzylamino Chemotype to Provide Efficacious, Potent, and Isoform Selective PPARα Agonists as Leads for Retinal Disorders. </w:t>
      </w:r>
      <w:r>
        <w:rPr>
          <w:i/>
          <w:iCs/>
        </w:rPr>
        <w:t>J Med Chem</w:t>
      </w:r>
      <w:r>
        <w:t xml:space="preserve"> </w:t>
      </w:r>
      <w:r>
        <w:rPr>
          <w:b/>
          <w:bCs/>
        </w:rPr>
        <w:t>2020</w:t>
      </w:r>
      <w:r>
        <w:t xml:space="preserve">, </w:t>
      </w:r>
      <w:r>
        <w:rPr>
          <w:i/>
          <w:iCs/>
        </w:rPr>
        <w:t>63</w:t>
      </w:r>
      <w:r>
        <w:t xml:space="preserve"> (6), 2854–2876. https://doi.org/10.1021/acs.jmedchem.9b01189.</w:t>
      </w:r>
    </w:p>
    <w:p w14:paraId="17C6F26C" w14:textId="77777777" w:rsidR="00551F90" w:rsidRDefault="00551F90" w:rsidP="00551F90">
      <w:pPr>
        <w:pStyle w:val="Bibliography"/>
        <w:spacing w:line="480" w:lineRule="auto"/>
      </w:pPr>
      <w:r>
        <w:t xml:space="preserve">(86) </w:t>
      </w:r>
      <w:r>
        <w:tab/>
        <w:t xml:space="preserve">Dou, X.; Duerfeldt, A. S. Small-Molecule Modulation of PPARs for the Treatment of Prevalent Vascular Retinal Diseases. </w:t>
      </w:r>
      <w:r>
        <w:rPr>
          <w:i/>
          <w:iCs/>
        </w:rPr>
        <w:t>International Journal of Molecular Sciences</w:t>
      </w:r>
      <w:r>
        <w:t xml:space="preserve"> </w:t>
      </w:r>
      <w:r>
        <w:rPr>
          <w:b/>
          <w:bCs/>
        </w:rPr>
        <w:t>2020</w:t>
      </w:r>
      <w:r>
        <w:t xml:space="preserve">, </w:t>
      </w:r>
      <w:r>
        <w:rPr>
          <w:i/>
          <w:iCs/>
        </w:rPr>
        <w:t>21</w:t>
      </w:r>
      <w:r>
        <w:t xml:space="preserve"> (23), 9251. https://doi.org/10.3390/ijms21239251.</w:t>
      </w:r>
    </w:p>
    <w:p w14:paraId="464ECB96" w14:textId="77777777" w:rsidR="00551F90" w:rsidRDefault="00551F90" w:rsidP="00551F90">
      <w:pPr>
        <w:pStyle w:val="Bibliography"/>
        <w:spacing w:line="480" w:lineRule="auto"/>
      </w:pPr>
      <w:r>
        <w:t xml:space="preserve">(87) </w:t>
      </w:r>
      <w:r>
        <w:tab/>
      </w:r>
      <w:proofErr w:type="spellStart"/>
      <w:r>
        <w:t>Schönherr</w:t>
      </w:r>
      <w:proofErr w:type="spellEnd"/>
      <w:r>
        <w:t xml:space="preserve">, H.; Cernak, T. Profound Methyl Effects in Drug </w:t>
      </w:r>
      <w:proofErr w:type="gramStart"/>
      <w:r>
        <w:t>Discovery</w:t>
      </w:r>
      <w:proofErr w:type="gramEnd"/>
      <w:r>
        <w:t xml:space="preserve"> and a Call for New CH Methylation Reactions. </w:t>
      </w:r>
      <w:proofErr w:type="spellStart"/>
      <w:r>
        <w:rPr>
          <w:i/>
          <w:iCs/>
        </w:rPr>
        <w:t>Angewandte</w:t>
      </w:r>
      <w:proofErr w:type="spellEnd"/>
      <w:r>
        <w:rPr>
          <w:i/>
          <w:iCs/>
        </w:rPr>
        <w:t xml:space="preserve"> </w:t>
      </w:r>
      <w:proofErr w:type="spellStart"/>
      <w:r>
        <w:rPr>
          <w:i/>
          <w:iCs/>
        </w:rPr>
        <w:t>Chemie</w:t>
      </w:r>
      <w:proofErr w:type="spellEnd"/>
      <w:r>
        <w:rPr>
          <w:i/>
          <w:iCs/>
        </w:rPr>
        <w:t xml:space="preserve"> International Edition</w:t>
      </w:r>
      <w:r>
        <w:t xml:space="preserve"> </w:t>
      </w:r>
      <w:r>
        <w:rPr>
          <w:b/>
          <w:bCs/>
        </w:rPr>
        <w:t>2013</w:t>
      </w:r>
      <w:r>
        <w:t xml:space="preserve">, </w:t>
      </w:r>
      <w:r>
        <w:rPr>
          <w:i/>
          <w:iCs/>
        </w:rPr>
        <w:t>52</w:t>
      </w:r>
      <w:r>
        <w:t xml:space="preserve"> (47), 12256–12267. https://doi.org/10.1002/anie.201303207.</w:t>
      </w:r>
    </w:p>
    <w:p w14:paraId="57E515BA" w14:textId="77777777" w:rsidR="00551F90" w:rsidRDefault="00551F90" w:rsidP="00551F90">
      <w:pPr>
        <w:pStyle w:val="Bibliography"/>
        <w:spacing w:line="480" w:lineRule="auto"/>
      </w:pPr>
      <w:r>
        <w:t xml:space="preserve">(88) </w:t>
      </w:r>
      <w:r>
        <w:tab/>
        <w:t xml:space="preserve">Zhao, S.; Kanno, Y.; Li, W.; Sasaki, T.; Zhang, X.; Wang, J.; Cheng, M.; Koike, K.; Nemoto, K.; Li, H. Identification of Picrasidine C as a Subtype-Selective PPARα Agonist. </w:t>
      </w:r>
      <w:r>
        <w:rPr>
          <w:i/>
          <w:iCs/>
        </w:rPr>
        <w:t>J. Nat. Prod.</w:t>
      </w:r>
      <w:r>
        <w:t xml:space="preserve"> </w:t>
      </w:r>
      <w:r>
        <w:rPr>
          <w:b/>
          <w:bCs/>
        </w:rPr>
        <w:t>2016</w:t>
      </w:r>
      <w:r>
        <w:t xml:space="preserve">, </w:t>
      </w:r>
      <w:r>
        <w:rPr>
          <w:i/>
          <w:iCs/>
        </w:rPr>
        <w:t>79</w:t>
      </w:r>
      <w:r>
        <w:t xml:space="preserve"> (12), 3127–3133. https://doi.org/10.1021/acs.jnatprod.6b00883.</w:t>
      </w:r>
    </w:p>
    <w:p w14:paraId="0A7F716A" w14:textId="77777777" w:rsidR="00551F90" w:rsidRDefault="00551F90" w:rsidP="00551F90">
      <w:pPr>
        <w:pStyle w:val="Bibliography"/>
        <w:spacing w:line="480" w:lineRule="auto"/>
      </w:pPr>
      <w:r>
        <w:t xml:space="preserve">(89) </w:t>
      </w:r>
      <w:r>
        <w:tab/>
        <w:t xml:space="preserve">Ohmoto, T.; Koike, K. Studies on the Constituents of Picrasma </w:t>
      </w:r>
      <w:proofErr w:type="spellStart"/>
      <w:r>
        <w:t>Quassioides</w:t>
      </w:r>
      <w:proofErr w:type="spellEnd"/>
      <w:r>
        <w:t xml:space="preserve"> BENNET. II. On the Alkaloidal Constituents. </w:t>
      </w:r>
      <w:r>
        <w:rPr>
          <w:i/>
          <w:iCs/>
        </w:rPr>
        <w:t>Chem. Pharm. Bull.</w:t>
      </w:r>
      <w:r>
        <w:t xml:space="preserve"> </w:t>
      </w:r>
      <w:r>
        <w:rPr>
          <w:b/>
          <w:bCs/>
        </w:rPr>
        <w:t>1983</w:t>
      </w:r>
      <w:r>
        <w:t xml:space="preserve">, </w:t>
      </w:r>
      <w:r>
        <w:rPr>
          <w:i/>
          <w:iCs/>
        </w:rPr>
        <w:t>31</w:t>
      </w:r>
      <w:r>
        <w:t xml:space="preserve"> (9), 3198–3204. https://doi.org/10.1248/cpb.31.3198.</w:t>
      </w:r>
    </w:p>
    <w:p w14:paraId="562EB81D" w14:textId="77777777" w:rsidR="00551F90" w:rsidRDefault="00551F90" w:rsidP="00551F90">
      <w:pPr>
        <w:pStyle w:val="Bibliography"/>
        <w:spacing w:line="480" w:lineRule="auto"/>
      </w:pPr>
      <w:r>
        <w:lastRenderedPageBreak/>
        <w:t xml:space="preserve">(90) </w:t>
      </w:r>
      <w:r>
        <w:tab/>
        <w:t xml:space="preserve">Mohd Jamil, M. D. H.; Taher, M.; </w:t>
      </w:r>
      <w:proofErr w:type="spellStart"/>
      <w:r>
        <w:t>Susanti</w:t>
      </w:r>
      <w:proofErr w:type="spellEnd"/>
      <w:r>
        <w:t xml:space="preserve">, D.; Rahman, M. A.; Zakaria, Z. A. Phytochemistry, Traditional Use and Pharmacological Activity of Picrasma </w:t>
      </w:r>
      <w:proofErr w:type="spellStart"/>
      <w:r>
        <w:t>Quassioides</w:t>
      </w:r>
      <w:proofErr w:type="spellEnd"/>
      <w:r>
        <w:t xml:space="preserve">: A Critical Reviews. </w:t>
      </w:r>
      <w:r>
        <w:rPr>
          <w:i/>
          <w:iCs/>
        </w:rPr>
        <w:t>Nutrients</w:t>
      </w:r>
      <w:r>
        <w:t xml:space="preserve"> </w:t>
      </w:r>
      <w:r>
        <w:rPr>
          <w:b/>
          <w:bCs/>
        </w:rPr>
        <w:t>2020</w:t>
      </w:r>
      <w:r>
        <w:t xml:space="preserve">, </w:t>
      </w:r>
      <w:r>
        <w:rPr>
          <w:i/>
          <w:iCs/>
        </w:rPr>
        <w:t>12</w:t>
      </w:r>
      <w:r>
        <w:t xml:space="preserve"> (9), 2584. https://doi.org/10.3390/nu12092584.</w:t>
      </w:r>
    </w:p>
    <w:p w14:paraId="595A0ABF" w14:textId="77777777" w:rsidR="00551F90" w:rsidRDefault="00551F90" w:rsidP="00551F90">
      <w:pPr>
        <w:pStyle w:val="Bibliography"/>
        <w:spacing w:line="480" w:lineRule="auto"/>
      </w:pPr>
      <w:r>
        <w:t xml:space="preserve">(91) </w:t>
      </w:r>
      <w:r>
        <w:tab/>
        <w:t xml:space="preserve">Zhao, W.-Y.; Song, X.-Y.; Zhao, L.; Zou, C.-X.; Zhou, W.-Y.; Lin, B.; Yao, G.-D.; Huang, X.-X.; Song, S.-J. </w:t>
      </w:r>
      <w:proofErr w:type="spellStart"/>
      <w:r>
        <w:t>Quassinoids</w:t>
      </w:r>
      <w:proofErr w:type="spellEnd"/>
      <w:r>
        <w:t xml:space="preserve"> from Picrasma </w:t>
      </w:r>
      <w:proofErr w:type="spellStart"/>
      <w:r>
        <w:t>Quassioides</w:t>
      </w:r>
      <w:proofErr w:type="spellEnd"/>
      <w:r>
        <w:t xml:space="preserve"> and Their Neuroprotective Effects. </w:t>
      </w:r>
      <w:r>
        <w:rPr>
          <w:i/>
          <w:iCs/>
        </w:rPr>
        <w:t>J. Nat. Prod.</w:t>
      </w:r>
      <w:r>
        <w:t xml:space="preserve"> </w:t>
      </w:r>
      <w:r>
        <w:rPr>
          <w:b/>
          <w:bCs/>
        </w:rPr>
        <w:t>2019</w:t>
      </w:r>
      <w:r>
        <w:t xml:space="preserve">, </w:t>
      </w:r>
      <w:r>
        <w:rPr>
          <w:i/>
          <w:iCs/>
        </w:rPr>
        <w:t>82</w:t>
      </w:r>
      <w:r>
        <w:t xml:space="preserve"> (4), 714–723. https://doi.org/10.1021/acs.jnatprod.8b00470.</w:t>
      </w:r>
    </w:p>
    <w:p w14:paraId="6E5B35E6" w14:textId="77777777" w:rsidR="00551F90" w:rsidRDefault="00551F90" w:rsidP="00551F90">
      <w:pPr>
        <w:pStyle w:val="Bibliography"/>
        <w:spacing w:line="480" w:lineRule="auto"/>
      </w:pPr>
      <w:r>
        <w:t xml:space="preserve">(92) </w:t>
      </w:r>
      <w:r>
        <w:tab/>
        <w:t>Guo-</w:t>
      </w:r>
      <w:proofErr w:type="spellStart"/>
      <w:r>
        <w:t>hua</w:t>
      </w:r>
      <w:proofErr w:type="spellEnd"/>
      <w:r>
        <w:t>, S.; Wei-</w:t>
      </w:r>
      <w:proofErr w:type="spellStart"/>
      <w:r>
        <w:t>hua</w:t>
      </w:r>
      <w:proofErr w:type="spellEnd"/>
      <w:r>
        <w:t xml:space="preserve">, J.; Fan, Y.; Hou-wen, L. Three Bis-β-Carboline Alkaloids from Picrasma </w:t>
      </w:r>
      <w:proofErr w:type="spellStart"/>
      <w:r>
        <w:t>Quassioides</w:t>
      </w:r>
      <w:proofErr w:type="spellEnd"/>
      <w:r>
        <w:t xml:space="preserve"> and Their Bioactivities. </w:t>
      </w:r>
      <w:r>
        <w:rPr>
          <w:i/>
          <w:iCs/>
        </w:rPr>
        <w:t>Chinese Traditional and Herbal Drugs</w:t>
      </w:r>
      <w:r>
        <w:t xml:space="preserve"> </w:t>
      </w:r>
      <w:r>
        <w:rPr>
          <w:b/>
          <w:bCs/>
        </w:rPr>
        <w:t>2015</w:t>
      </w:r>
      <w:r>
        <w:t xml:space="preserve">, </w:t>
      </w:r>
      <w:r>
        <w:rPr>
          <w:i/>
          <w:iCs/>
        </w:rPr>
        <w:t>46</w:t>
      </w:r>
      <w:r>
        <w:t xml:space="preserve"> (6), 803–807. https://doi.org/10.7501/j.issn.0253-2670.2015.06.004.</w:t>
      </w:r>
    </w:p>
    <w:p w14:paraId="3C2FA3B4" w14:textId="77777777" w:rsidR="00551F90" w:rsidRDefault="00551F90" w:rsidP="00551F90">
      <w:pPr>
        <w:pStyle w:val="Bibliography"/>
        <w:spacing w:line="480" w:lineRule="auto"/>
      </w:pPr>
      <w:r>
        <w:t xml:space="preserve">(93) </w:t>
      </w:r>
      <w:r>
        <w:tab/>
        <w:t xml:space="preserve">Ohmoto, T.; Koike, K. Studies on the Constituents of Picrasma </w:t>
      </w:r>
      <w:proofErr w:type="spellStart"/>
      <w:r>
        <w:t>Quassioides</w:t>
      </w:r>
      <w:proofErr w:type="spellEnd"/>
      <w:r>
        <w:t xml:space="preserve"> BENNET. I. On the Alkaloidal Constituents. </w:t>
      </w:r>
      <w:r>
        <w:rPr>
          <w:i/>
          <w:iCs/>
        </w:rPr>
        <w:t>Chemical &amp; Pharmaceutical Bulletin</w:t>
      </w:r>
      <w:r>
        <w:t xml:space="preserve"> </w:t>
      </w:r>
      <w:r>
        <w:rPr>
          <w:b/>
          <w:bCs/>
        </w:rPr>
        <w:t>1982</w:t>
      </w:r>
      <w:r>
        <w:t xml:space="preserve">, </w:t>
      </w:r>
      <w:r>
        <w:rPr>
          <w:i/>
          <w:iCs/>
        </w:rPr>
        <w:t>30</w:t>
      </w:r>
      <w:r>
        <w:t xml:space="preserve"> (4), 1204–1209. https://doi.org/10.1248/cpb.30.1204.</w:t>
      </w:r>
    </w:p>
    <w:p w14:paraId="0AA800A4" w14:textId="77777777" w:rsidR="00551F90" w:rsidRDefault="00551F90" w:rsidP="00551F90">
      <w:pPr>
        <w:pStyle w:val="Bibliography"/>
        <w:spacing w:line="480" w:lineRule="auto"/>
      </w:pPr>
      <w:r>
        <w:t xml:space="preserve">(94) </w:t>
      </w:r>
      <w:r>
        <w:tab/>
        <w:t xml:space="preserve">Jiang, M.-X.; Zhou, Y.-J. Canthin-6-One Alkaloids from Picrasma </w:t>
      </w:r>
      <w:proofErr w:type="spellStart"/>
      <w:r>
        <w:t>Quassioides</w:t>
      </w:r>
      <w:proofErr w:type="spellEnd"/>
      <w:r>
        <w:t xml:space="preserve"> and Their Cytotoxic Activity. </w:t>
      </w:r>
      <w:r>
        <w:rPr>
          <w:i/>
          <w:iCs/>
        </w:rPr>
        <w:t>J Asian Nat Prod Res</w:t>
      </w:r>
      <w:r>
        <w:t xml:space="preserve"> </w:t>
      </w:r>
      <w:r>
        <w:rPr>
          <w:b/>
          <w:bCs/>
        </w:rPr>
        <w:t>2008</w:t>
      </w:r>
      <w:r>
        <w:t xml:space="preserve">, </w:t>
      </w:r>
      <w:r>
        <w:rPr>
          <w:i/>
          <w:iCs/>
        </w:rPr>
        <w:t>10</w:t>
      </w:r>
      <w:r>
        <w:t xml:space="preserve"> (11–12), 1009–1012. https://doi.org/10.1080/10286020802277956.</w:t>
      </w:r>
    </w:p>
    <w:p w14:paraId="6A2D5BA8" w14:textId="77777777" w:rsidR="00551F90" w:rsidRDefault="00551F90" w:rsidP="00551F90">
      <w:pPr>
        <w:pStyle w:val="Bibliography"/>
        <w:spacing w:line="480" w:lineRule="auto"/>
      </w:pPr>
      <w:r>
        <w:t xml:space="preserve">(95) </w:t>
      </w:r>
      <w:r>
        <w:tab/>
        <w:t xml:space="preserve">Sung, Y.; Koike, K.; Nikaido, T.; Ohmoto, T.; </w:t>
      </w:r>
      <w:proofErr w:type="spellStart"/>
      <w:r>
        <w:t>Sankawa</w:t>
      </w:r>
      <w:proofErr w:type="spellEnd"/>
      <w:r>
        <w:t xml:space="preserve">, U. Inhibitors of Cyclic AMP Phosphodiesterase in Picrasma </w:t>
      </w:r>
      <w:proofErr w:type="spellStart"/>
      <w:r>
        <w:t>Quassioides</w:t>
      </w:r>
      <w:proofErr w:type="spellEnd"/>
      <w:r>
        <w:t xml:space="preserve"> Bennet, and Inhibitory Activities of Related Beta-Carboline Alkaloids. </w:t>
      </w:r>
      <w:r>
        <w:rPr>
          <w:i/>
          <w:iCs/>
        </w:rPr>
        <w:t>Chem Pharm Bull (Tokyo)</w:t>
      </w:r>
      <w:r>
        <w:t xml:space="preserve"> </w:t>
      </w:r>
      <w:r>
        <w:rPr>
          <w:b/>
          <w:bCs/>
        </w:rPr>
        <w:t>1984</w:t>
      </w:r>
      <w:r>
        <w:t xml:space="preserve">, </w:t>
      </w:r>
      <w:r>
        <w:rPr>
          <w:i/>
          <w:iCs/>
        </w:rPr>
        <w:t>32</w:t>
      </w:r>
      <w:r>
        <w:t xml:space="preserve"> (5), 1872–1877. https://doi.org/10.1248/cpb.32.1872.</w:t>
      </w:r>
    </w:p>
    <w:p w14:paraId="69223231" w14:textId="77777777" w:rsidR="00551F90" w:rsidRDefault="00551F90" w:rsidP="00551F90">
      <w:pPr>
        <w:pStyle w:val="Bibliography"/>
        <w:spacing w:line="480" w:lineRule="auto"/>
      </w:pPr>
      <w:r>
        <w:t xml:space="preserve">(96) </w:t>
      </w:r>
      <w:r>
        <w:tab/>
        <w:t xml:space="preserve">Zhao, S.; Kanno, Y.; Li, W.; </w:t>
      </w:r>
      <w:proofErr w:type="spellStart"/>
      <w:r>
        <w:t>Wakatabi</w:t>
      </w:r>
      <w:proofErr w:type="spellEnd"/>
      <w:r>
        <w:t xml:space="preserve">, H.; Sasaki, T.; Koike, K.; Nemoto, K.; Li, H. Picrasidine N Is a Subtype-Selective PPARβ/δ Agonist. </w:t>
      </w:r>
      <w:r>
        <w:rPr>
          <w:i/>
          <w:iCs/>
        </w:rPr>
        <w:t>J. Nat. Prod.</w:t>
      </w:r>
      <w:r>
        <w:t xml:space="preserve"> </w:t>
      </w:r>
      <w:r>
        <w:rPr>
          <w:b/>
          <w:bCs/>
        </w:rPr>
        <w:t>2016</w:t>
      </w:r>
      <w:r>
        <w:t xml:space="preserve">, </w:t>
      </w:r>
      <w:r>
        <w:rPr>
          <w:i/>
          <w:iCs/>
        </w:rPr>
        <w:t>79</w:t>
      </w:r>
      <w:r>
        <w:t xml:space="preserve"> (4), 879–885. https://doi.org/10.1021/acs.jnatprod.5b00909.</w:t>
      </w:r>
    </w:p>
    <w:p w14:paraId="5FEC6CCC" w14:textId="77777777" w:rsidR="00551F90" w:rsidRDefault="00551F90" w:rsidP="00551F90">
      <w:pPr>
        <w:pStyle w:val="Bibliography"/>
        <w:spacing w:line="480" w:lineRule="auto"/>
      </w:pPr>
      <w:r>
        <w:lastRenderedPageBreak/>
        <w:t xml:space="preserve">(97) </w:t>
      </w:r>
      <w:r>
        <w:tab/>
        <w:t xml:space="preserve">Koike, K.; Ohmoto, T. Studies on the Alkaloids from Picrasma </w:t>
      </w:r>
      <w:proofErr w:type="spellStart"/>
      <w:r>
        <w:t>Quassioides</w:t>
      </w:r>
      <w:proofErr w:type="spellEnd"/>
      <w:r>
        <w:t xml:space="preserve"> BENNET.VII</w:t>
      </w:r>
      <w:proofErr w:type="gramStart"/>
      <w:r>
        <w:t>. :</w:t>
      </w:r>
      <w:proofErr w:type="gramEnd"/>
      <w:r>
        <w:t xml:space="preserve"> Structures of β-Carboline Dimer Alkaloids, Picrasidines-H and -R. </w:t>
      </w:r>
      <w:r>
        <w:rPr>
          <w:i/>
          <w:iCs/>
        </w:rPr>
        <w:t>Chemical &amp; Pharmaceutical Bulletin</w:t>
      </w:r>
      <w:r>
        <w:t xml:space="preserve"> </w:t>
      </w:r>
      <w:r>
        <w:rPr>
          <w:b/>
          <w:bCs/>
        </w:rPr>
        <w:t>1986</w:t>
      </w:r>
      <w:r>
        <w:t xml:space="preserve">, </w:t>
      </w:r>
      <w:r>
        <w:rPr>
          <w:i/>
          <w:iCs/>
        </w:rPr>
        <w:t>34</w:t>
      </w:r>
      <w:r>
        <w:t xml:space="preserve"> (5), 2090–2093. https://doi.org/10.1248/cpb.34.2090.</w:t>
      </w:r>
    </w:p>
    <w:p w14:paraId="0C16B6A3" w14:textId="77777777" w:rsidR="00551F90" w:rsidRDefault="00551F90" w:rsidP="00551F90">
      <w:pPr>
        <w:pStyle w:val="Bibliography"/>
        <w:spacing w:line="480" w:lineRule="auto"/>
      </w:pPr>
      <w:r>
        <w:t xml:space="preserve">(98) </w:t>
      </w:r>
      <w:r>
        <w:tab/>
        <w:t xml:space="preserve">Yamashita, N.; Kondo, M.; Zhao, S.; Li, W.; Koike, K.; Nemoto, K.; Kanno, Y. Picrasidine G Decreases Viability of MDA-MB 468 EGFR-Overexpressing Triple-Negative Breast Cancer Cells through Inhibition of EGFR/STAT3 Signaling Pathway. </w:t>
      </w:r>
      <w:r>
        <w:rPr>
          <w:i/>
          <w:iCs/>
        </w:rPr>
        <w:t>Bioorganic &amp; Medicinal Chemistry Letters</w:t>
      </w:r>
      <w:r>
        <w:t xml:space="preserve"> </w:t>
      </w:r>
      <w:r>
        <w:rPr>
          <w:b/>
          <w:bCs/>
        </w:rPr>
        <w:t>2017</w:t>
      </w:r>
      <w:r>
        <w:t xml:space="preserve">, </w:t>
      </w:r>
      <w:r>
        <w:rPr>
          <w:i/>
          <w:iCs/>
        </w:rPr>
        <w:t>27</w:t>
      </w:r>
      <w:r>
        <w:t xml:space="preserve"> (11), 2608–2612. https://doi.org/10.1016/j.bmcl.2017.03.061.</w:t>
      </w:r>
    </w:p>
    <w:p w14:paraId="5E694D9A" w14:textId="77777777" w:rsidR="00551F90" w:rsidRDefault="00551F90" w:rsidP="00551F90">
      <w:pPr>
        <w:pStyle w:val="Bibliography"/>
        <w:spacing w:line="480" w:lineRule="auto"/>
      </w:pPr>
      <w:r>
        <w:t xml:space="preserve">(99) </w:t>
      </w:r>
      <w:r>
        <w:tab/>
        <w:t xml:space="preserve">Higuchi, T.; Ohmoto, T.; Koike, K. Picrasidine-T, a Dimeric β-Carboline Alkaloid from Picrasma </w:t>
      </w:r>
      <w:proofErr w:type="spellStart"/>
      <w:r>
        <w:t>Quassioides</w:t>
      </w:r>
      <w:proofErr w:type="spellEnd"/>
      <w:r>
        <w:t xml:space="preserve">. </w:t>
      </w:r>
      <w:r>
        <w:rPr>
          <w:i/>
          <w:iCs/>
        </w:rPr>
        <w:t>Phytochemistry</w:t>
      </w:r>
      <w:r>
        <w:t xml:space="preserve"> </w:t>
      </w:r>
      <w:r>
        <w:rPr>
          <w:b/>
          <w:bCs/>
        </w:rPr>
        <w:t>1987</w:t>
      </w:r>
      <w:r>
        <w:t xml:space="preserve">, </w:t>
      </w:r>
      <w:r>
        <w:rPr>
          <w:i/>
          <w:iCs/>
        </w:rPr>
        <w:t>26</w:t>
      </w:r>
      <w:r>
        <w:t>, 3375–3377.</w:t>
      </w:r>
    </w:p>
    <w:p w14:paraId="08D2E43E" w14:textId="77777777" w:rsidR="00551F90" w:rsidRDefault="00551F90" w:rsidP="00551F90">
      <w:pPr>
        <w:pStyle w:val="Bibliography"/>
        <w:spacing w:line="480" w:lineRule="auto"/>
      </w:pPr>
      <w:r>
        <w:t xml:space="preserve">(100) </w:t>
      </w:r>
      <w:r>
        <w:tab/>
        <w:t xml:space="preserve">Jiao, W.-H.; Chen, G.-D.; Gao, H.; Li, J.; Gu, B.-B.; Xu, T.-T.; Yu, H.-B.; Shi, G.-H.; Yang, F.; Yao, X.-S.; Lin, H.-W. (±)-Quassidines I and J, Two Pairs of Cytotoxic Bis-β-Carboline Alkaloid Enantiomers from </w:t>
      </w:r>
      <w:r>
        <w:rPr>
          <w:i/>
          <w:iCs/>
        </w:rPr>
        <w:t xml:space="preserve">Picrasma </w:t>
      </w:r>
      <w:proofErr w:type="spellStart"/>
      <w:r>
        <w:rPr>
          <w:i/>
          <w:iCs/>
        </w:rPr>
        <w:t>Quassioides</w:t>
      </w:r>
      <w:proofErr w:type="spellEnd"/>
      <w:r>
        <w:t xml:space="preserve">. </w:t>
      </w:r>
      <w:r>
        <w:rPr>
          <w:i/>
          <w:iCs/>
        </w:rPr>
        <w:t>J. Nat. Prod.</w:t>
      </w:r>
      <w:r>
        <w:t xml:space="preserve"> </w:t>
      </w:r>
      <w:r>
        <w:rPr>
          <w:b/>
          <w:bCs/>
        </w:rPr>
        <w:t>2015</w:t>
      </w:r>
      <w:r>
        <w:t xml:space="preserve">, </w:t>
      </w:r>
      <w:r>
        <w:rPr>
          <w:i/>
          <w:iCs/>
        </w:rPr>
        <w:t>78</w:t>
      </w:r>
      <w:r>
        <w:t xml:space="preserve"> (1), 125–130. https://doi.org/10.1021/np500801s.</w:t>
      </w:r>
    </w:p>
    <w:p w14:paraId="1D8AC317" w14:textId="77777777" w:rsidR="00551F90" w:rsidRDefault="00551F90" w:rsidP="00551F90">
      <w:pPr>
        <w:pStyle w:val="Bibliography"/>
        <w:spacing w:line="480" w:lineRule="auto"/>
      </w:pPr>
      <w:r>
        <w:t xml:space="preserve">(101) </w:t>
      </w:r>
      <w:r>
        <w:tab/>
        <w:t xml:space="preserve">Zhang, J.; Zhao, S.-S.; Xie, J.; Yang, J.; Chen, G.-D.; Hu, D.; Zhang, W.-G.; Wang, C.-X.; Yao, X.-S.; Gao, H. N-Methoxy-β-Carboline Alkaloids with Inhibitory Activities against Aβ42 Aggregation and Acetylcholinesterase from the Stems of Picrasma </w:t>
      </w:r>
      <w:proofErr w:type="spellStart"/>
      <w:r>
        <w:t>Quassioides</w:t>
      </w:r>
      <w:proofErr w:type="spellEnd"/>
      <w:r>
        <w:t xml:space="preserve">. </w:t>
      </w:r>
      <w:r>
        <w:rPr>
          <w:i/>
          <w:iCs/>
        </w:rPr>
        <w:t>Bioorganic Chemistry</w:t>
      </w:r>
      <w:r>
        <w:t xml:space="preserve"> </w:t>
      </w:r>
      <w:r>
        <w:rPr>
          <w:b/>
          <w:bCs/>
        </w:rPr>
        <w:t>2020</w:t>
      </w:r>
      <w:r>
        <w:t xml:space="preserve">, </w:t>
      </w:r>
      <w:r>
        <w:rPr>
          <w:i/>
          <w:iCs/>
        </w:rPr>
        <w:t>101</w:t>
      </w:r>
      <w:r>
        <w:t>, 104043. https://doi.org/10.1016/j.bioorg.2020.104043.</w:t>
      </w:r>
    </w:p>
    <w:p w14:paraId="6F6B1568" w14:textId="77777777" w:rsidR="00551F90" w:rsidRDefault="00551F90" w:rsidP="00551F90">
      <w:pPr>
        <w:pStyle w:val="Bibliography"/>
        <w:spacing w:line="480" w:lineRule="auto"/>
      </w:pPr>
      <w:r>
        <w:t xml:space="preserve">(102) </w:t>
      </w:r>
      <w:r>
        <w:tab/>
        <w:t xml:space="preserve">Ohmoto, T.; Koike, K. Studies on the Alkaloids from Picrasma </w:t>
      </w:r>
      <w:proofErr w:type="spellStart"/>
      <w:r>
        <w:t>Quassioides</w:t>
      </w:r>
      <w:proofErr w:type="spellEnd"/>
      <w:r>
        <w:t xml:space="preserve"> BENNET. V. Structures of Picrasidines L, M, and P. </w:t>
      </w:r>
      <w:r>
        <w:rPr>
          <w:i/>
          <w:iCs/>
        </w:rPr>
        <w:t>Chem. Pharm. Bull.</w:t>
      </w:r>
      <w:r>
        <w:t xml:space="preserve"> </w:t>
      </w:r>
      <w:r>
        <w:rPr>
          <w:b/>
          <w:bCs/>
        </w:rPr>
        <w:t>1985</w:t>
      </w:r>
      <w:r>
        <w:t xml:space="preserve">, </w:t>
      </w:r>
      <w:r>
        <w:rPr>
          <w:i/>
          <w:iCs/>
        </w:rPr>
        <w:t>33</w:t>
      </w:r>
      <w:r>
        <w:t xml:space="preserve"> (9), 3847–3851. https://doi.org/10.1248/cpb.33.3847.</w:t>
      </w:r>
    </w:p>
    <w:p w14:paraId="7A211EA1" w14:textId="77777777" w:rsidR="00551F90" w:rsidRDefault="00551F90" w:rsidP="00551F90">
      <w:pPr>
        <w:pStyle w:val="Bibliography"/>
        <w:spacing w:line="480" w:lineRule="auto"/>
      </w:pPr>
      <w:r>
        <w:t xml:space="preserve">(103) </w:t>
      </w:r>
      <w:r>
        <w:tab/>
        <w:t xml:space="preserve">Zhou, P.; Yang, X.-L.; Wang, X.-G.; Hu, B.; Zhang, L.; Zhang, W.; Si, H.-R.; Zhu, Y.; Li, B.; Huang, C.-L.; Chen, H.-D.; Chen, J.; Luo, Y.; Guo, H.; Jiang, R.-D.; Liu, M.-Q.; Chen, </w:t>
      </w:r>
      <w:r>
        <w:lastRenderedPageBreak/>
        <w:t xml:space="preserve">Y.; Shen, X.-R.; Wang, X.; Zheng, X.-S.; Zhao, K.; Chen, Q.-J.; Deng, F.; Liu, L.-L.; Yan, B.; Zhan, F.-X.; Wang, Y.-Y.; Xiao, G.; Shi, Z.-L. Discovery of a Novel Coronavirus Associated with the Recent Pneumonia Outbreak in Humans and Its Potential Bat Origin. </w:t>
      </w:r>
      <w:proofErr w:type="spellStart"/>
      <w:r>
        <w:t>bioRxiv</w:t>
      </w:r>
      <w:proofErr w:type="spellEnd"/>
      <w:r>
        <w:t xml:space="preserve"> January 23, 2020, p 2020.01.22.914952. https://doi.org/10.1101/2020.01.22.914952.</w:t>
      </w:r>
    </w:p>
    <w:p w14:paraId="63A0FD66" w14:textId="77777777" w:rsidR="00551F90" w:rsidRDefault="00551F90" w:rsidP="00551F90">
      <w:pPr>
        <w:pStyle w:val="Bibliography"/>
        <w:spacing w:line="480" w:lineRule="auto"/>
      </w:pPr>
      <w:r>
        <w:t xml:space="preserve">(104) </w:t>
      </w:r>
      <w:r>
        <w:tab/>
        <w:t>Coronavirus Disease (COVID-19) Situation Reports https://www.who.int/emergencies/diseases/novel-coronavirus-2019/situation-reports.</w:t>
      </w:r>
    </w:p>
    <w:p w14:paraId="32261616" w14:textId="77777777" w:rsidR="00551F90" w:rsidRDefault="00551F90" w:rsidP="00551F90">
      <w:pPr>
        <w:pStyle w:val="Bibliography"/>
        <w:spacing w:line="480" w:lineRule="auto"/>
      </w:pPr>
      <w:r>
        <w:t xml:space="preserve">(105) </w:t>
      </w:r>
      <w:r>
        <w:tab/>
        <w:t>Ravelo, J. L.; Jerving, S. COVID-19 in 2020 — a timeline of the coronavirus outbreak https://www.devex.com/news/sponsored/covid-19-in-2020-a-timeline-of-the-coronavirus-outbreak-99634.</w:t>
      </w:r>
    </w:p>
    <w:p w14:paraId="7A2A1046" w14:textId="77777777" w:rsidR="00551F90" w:rsidRDefault="00551F90" w:rsidP="00551F90">
      <w:pPr>
        <w:pStyle w:val="Bibliography"/>
        <w:spacing w:line="480" w:lineRule="auto"/>
      </w:pPr>
      <w:r>
        <w:t xml:space="preserve">(106) </w:t>
      </w:r>
      <w:r>
        <w:tab/>
        <w:t xml:space="preserve">Zhang, L.; Lin, D.; Sun, X.; Curth, U.; Drosten, C.; </w:t>
      </w:r>
      <w:proofErr w:type="spellStart"/>
      <w:r>
        <w:t>Sauerhering</w:t>
      </w:r>
      <w:proofErr w:type="spellEnd"/>
      <w:r>
        <w:t xml:space="preserve">, L.; Becker, S.; </w:t>
      </w:r>
      <w:proofErr w:type="spellStart"/>
      <w:r>
        <w:t>Rox</w:t>
      </w:r>
      <w:proofErr w:type="spellEnd"/>
      <w:r>
        <w:t xml:space="preserve">, K.; Hilgenfeld, R. Crystal Structure of SARS-CoV-2 Main Protease Provides a Basis for Design of Improved α-Ketoamide Inhibitors. </w:t>
      </w:r>
      <w:r>
        <w:rPr>
          <w:i/>
          <w:iCs/>
        </w:rPr>
        <w:t>Science</w:t>
      </w:r>
      <w:r>
        <w:t xml:space="preserve"> </w:t>
      </w:r>
      <w:r>
        <w:rPr>
          <w:b/>
          <w:bCs/>
        </w:rPr>
        <w:t>2020</w:t>
      </w:r>
      <w:r>
        <w:t>, eabb3405. https://doi.org/10.1126/science.abb3405.</w:t>
      </w:r>
    </w:p>
    <w:p w14:paraId="3ABF35CE" w14:textId="77777777" w:rsidR="00551F90" w:rsidRDefault="00551F90" w:rsidP="00551F90">
      <w:pPr>
        <w:pStyle w:val="Bibliography"/>
        <w:spacing w:line="480" w:lineRule="auto"/>
      </w:pPr>
      <w:r>
        <w:t xml:space="preserve">(107) </w:t>
      </w:r>
      <w:r>
        <w:tab/>
        <w:t xml:space="preserve">Ritchie, H.; Mathieu, E.; </w:t>
      </w:r>
      <w:proofErr w:type="spellStart"/>
      <w:r>
        <w:t>Rodés</w:t>
      </w:r>
      <w:proofErr w:type="spellEnd"/>
      <w:r>
        <w:t xml:space="preserve">-Guirao, L.; Appel, C.; Giattino, C.; Ortiz-Ospina, E.; Hasell, J.; Macdonald, B.; </w:t>
      </w:r>
      <w:proofErr w:type="spellStart"/>
      <w:r>
        <w:t>Beltekian</w:t>
      </w:r>
      <w:proofErr w:type="spellEnd"/>
      <w:r>
        <w:t xml:space="preserve">, D.; Roser, M. Coronavirus Pandemic (COVID-19). </w:t>
      </w:r>
      <w:r>
        <w:rPr>
          <w:i/>
          <w:iCs/>
        </w:rPr>
        <w:t>Our World in Data</w:t>
      </w:r>
      <w:r>
        <w:t xml:space="preserve"> </w:t>
      </w:r>
      <w:r>
        <w:rPr>
          <w:b/>
          <w:bCs/>
        </w:rPr>
        <w:t>2020</w:t>
      </w:r>
      <w:r>
        <w:t>.</w:t>
      </w:r>
    </w:p>
    <w:p w14:paraId="547FFAB9" w14:textId="77777777" w:rsidR="00551F90" w:rsidRDefault="00551F90" w:rsidP="00551F90">
      <w:pPr>
        <w:pStyle w:val="Bibliography"/>
        <w:spacing w:line="480" w:lineRule="auto"/>
      </w:pPr>
      <w:r>
        <w:t xml:space="preserve">(108) </w:t>
      </w:r>
      <w:r>
        <w:tab/>
        <w:t xml:space="preserve">Oum, S.; Kates, J.; Wexler, A. Economic Impact of COVID-19 on PEPFAR Countries. </w:t>
      </w:r>
      <w:r>
        <w:rPr>
          <w:i/>
          <w:iCs/>
        </w:rPr>
        <w:t>KFF</w:t>
      </w:r>
      <w:r>
        <w:t>, 2022.</w:t>
      </w:r>
    </w:p>
    <w:p w14:paraId="4CC271B5" w14:textId="77777777" w:rsidR="00551F90" w:rsidRDefault="00551F90" w:rsidP="00551F90">
      <w:pPr>
        <w:pStyle w:val="Bibliography"/>
        <w:spacing w:line="480" w:lineRule="auto"/>
      </w:pPr>
      <w:r>
        <w:t xml:space="preserve">(109) </w:t>
      </w:r>
      <w:r>
        <w:tab/>
        <w:t>How Covid is Straining the Healthcare System https://health.clevelandclinic.org/how-the-pandemic-is-straining-the-healthcare-system-and-what-you-can-do-to-help/.</w:t>
      </w:r>
    </w:p>
    <w:p w14:paraId="5A91192D" w14:textId="77777777" w:rsidR="00551F90" w:rsidRDefault="00551F90" w:rsidP="00551F90">
      <w:pPr>
        <w:pStyle w:val="Bibliography"/>
        <w:spacing w:line="480" w:lineRule="auto"/>
      </w:pPr>
      <w:r>
        <w:lastRenderedPageBreak/>
        <w:t xml:space="preserve">(110) </w:t>
      </w:r>
      <w:r>
        <w:tab/>
        <w:t xml:space="preserve">Dong, E.; Du, H.; Gardner, L. An Interactive Web-Based Dashboard to Track COVID-19 in Real Time. </w:t>
      </w:r>
      <w:r>
        <w:rPr>
          <w:i/>
          <w:iCs/>
        </w:rPr>
        <w:t>The Lancet Infectious Diseases</w:t>
      </w:r>
      <w:r>
        <w:t xml:space="preserve"> </w:t>
      </w:r>
      <w:r>
        <w:rPr>
          <w:b/>
          <w:bCs/>
        </w:rPr>
        <w:t>2020</w:t>
      </w:r>
      <w:r>
        <w:t xml:space="preserve">, </w:t>
      </w:r>
      <w:r>
        <w:rPr>
          <w:i/>
          <w:iCs/>
        </w:rPr>
        <w:t>20</w:t>
      </w:r>
      <w:r>
        <w:t xml:space="preserve"> (5), 533–534. https://doi.org/10.1016/S1473-3099(20)30120-1.</w:t>
      </w:r>
    </w:p>
    <w:p w14:paraId="0B7FA6D2" w14:textId="77777777" w:rsidR="00551F90" w:rsidRDefault="00551F90" w:rsidP="00551F90">
      <w:pPr>
        <w:pStyle w:val="Bibliography"/>
        <w:spacing w:line="480" w:lineRule="auto"/>
      </w:pPr>
      <w:r>
        <w:t xml:space="preserve">(111) </w:t>
      </w:r>
      <w:r>
        <w:tab/>
        <w:t xml:space="preserve">Morse, J. S.; Lalonde, T.; Xu, S.; Liu, W. R. Learning from the Past: Possible Urgent Prevention and Treatment Options for Severe Acute Respiratory Infections Caused by 2019‐nCoV. </w:t>
      </w:r>
      <w:proofErr w:type="spellStart"/>
      <w:r>
        <w:rPr>
          <w:i/>
          <w:iCs/>
        </w:rPr>
        <w:t>Chembiochem</w:t>
      </w:r>
      <w:proofErr w:type="spellEnd"/>
      <w:r>
        <w:t xml:space="preserve"> </w:t>
      </w:r>
      <w:r>
        <w:rPr>
          <w:b/>
          <w:bCs/>
        </w:rPr>
        <w:t>2020</w:t>
      </w:r>
      <w:r>
        <w:t xml:space="preserve">, </w:t>
      </w:r>
      <w:r>
        <w:rPr>
          <w:i/>
          <w:iCs/>
        </w:rPr>
        <w:t>21</w:t>
      </w:r>
      <w:r>
        <w:t xml:space="preserve"> (5), 730–738. https://doi.org/10.1002/cbic.202000047.</w:t>
      </w:r>
    </w:p>
    <w:p w14:paraId="3B2F871A" w14:textId="77777777" w:rsidR="00551F90" w:rsidRDefault="00551F90" w:rsidP="00551F90">
      <w:pPr>
        <w:pStyle w:val="Bibliography"/>
        <w:spacing w:line="480" w:lineRule="auto"/>
      </w:pPr>
      <w:r>
        <w:t xml:space="preserve">(112) </w:t>
      </w:r>
      <w:r>
        <w:tab/>
        <w:t>Kumar, V.; Tan, K.-P.; Wang, Y.-M.; Lin, S.-W.; Liang, P.-H. Identification, Synthesis and Evaluation of SARS-</w:t>
      </w:r>
      <w:proofErr w:type="spellStart"/>
      <w:r>
        <w:t>CoV</w:t>
      </w:r>
      <w:proofErr w:type="spellEnd"/>
      <w:r>
        <w:t xml:space="preserve"> and MERS-</w:t>
      </w:r>
      <w:proofErr w:type="spellStart"/>
      <w:r>
        <w:t>CoV</w:t>
      </w:r>
      <w:proofErr w:type="spellEnd"/>
      <w:r>
        <w:t xml:space="preserve"> 3C-like Protease Inhibitors. </w:t>
      </w:r>
      <w:r>
        <w:rPr>
          <w:i/>
          <w:iCs/>
        </w:rPr>
        <w:t>Bioorganic &amp; Medicinal Chemistry</w:t>
      </w:r>
      <w:r>
        <w:t xml:space="preserve"> </w:t>
      </w:r>
      <w:r>
        <w:rPr>
          <w:b/>
          <w:bCs/>
        </w:rPr>
        <w:t>2016</w:t>
      </w:r>
      <w:r>
        <w:t xml:space="preserve">, </w:t>
      </w:r>
      <w:r>
        <w:rPr>
          <w:i/>
          <w:iCs/>
        </w:rPr>
        <w:t>24</w:t>
      </w:r>
      <w:r>
        <w:t xml:space="preserve"> (13), 3035–3042. https://doi.org/10.1016/j.bmc.2016.05.013.</w:t>
      </w:r>
    </w:p>
    <w:p w14:paraId="295ECEDB" w14:textId="77777777" w:rsidR="00551F90" w:rsidRDefault="00551F90" w:rsidP="00551F90">
      <w:pPr>
        <w:pStyle w:val="Bibliography"/>
        <w:spacing w:line="480" w:lineRule="auto"/>
      </w:pPr>
      <w:r>
        <w:t xml:space="preserve">(113) </w:t>
      </w:r>
      <w:r>
        <w:tab/>
        <w:t xml:space="preserve">Huang, C.; Wang, Y.; Li, X.; Ren, L.; Zhao, J.; Hu, Y.; Zhang, L.; Fan, G.; Xu, J.; Gu, X.; Cheng, Z.; Yu, T.; Xia, J.; Wei, Y.; Wu, W.; Xie, X.; Yin, W.; Li, H.; Liu, M.; Xiao, Y.; Gao, H.; Guo, L.; Xie, J.; Wang, G.; Jiang, R.; Gao, Z.; </w:t>
      </w:r>
      <w:proofErr w:type="spellStart"/>
      <w:r>
        <w:t>Jin</w:t>
      </w:r>
      <w:proofErr w:type="spellEnd"/>
      <w:r>
        <w:t xml:space="preserve">, Q.; Wang, J.; Cao, B. Clinical Features of Patients Infected with 2019 Novel Coronavirus in Wuhan, China. </w:t>
      </w:r>
      <w:r>
        <w:rPr>
          <w:i/>
          <w:iCs/>
        </w:rPr>
        <w:t>Lancet</w:t>
      </w:r>
      <w:r>
        <w:t xml:space="preserve"> </w:t>
      </w:r>
      <w:r>
        <w:rPr>
          <w:b/>
          <w:bCs/>
        </w:rPr>
        <w:t>2020</w:t>
      </w:r>
      <w:r>
        <w:t xml:space="preserve">, </w:t>
      </w:r>
      <w:r>
        <w:rPr>
          <w:i/>
          <w:iCs/>
        </w:rPr>
        <w:t>395</w:t>
      </w:r>
      <w:r>
        <w:t xml:space="preserve"> (10223), 497–506. https://doi.org/10.1016/S0140-6736(20)30183-5.</w:t>
      </w:r>
    </w:p>
    <w:p w14:paraId="35327C4E" w14:textId="77777777" w:rsidR="00551F90" w:rsidRDefault="00551F90" w:rsidP="00551F90">
      <w:pPr>
        <w:pStyle w:val="Bibliography"/>
        <w:spacing w:line="480" w:lineRule="auto"/>
      </w:pPr>
      <w:r>
        <w:t xml:space="preserve">(114) </w:t>
      </w:r>
      <w:r>
        <w:tab/>
        <w:t xml:space="preserve">Wu, F.; Zhao, S.; Yu, B.; Chen, Y.-M.; Wang, W.; Song, Z.-G.; Hu, Y.; Tao, Z.-W.; Tian, J.-H.; Pei, Y.-Y.; Yuan, M.-L.; Zhang, Y.-L.; Dai, F.-H.; Liu, Y.; Wang, Q.-M.; Zheng, J.-J.; Xu, L.; Holmes, E. C.; Zhang, Y.-Z. A New Coronavirus Associated with Human Respiratory Disease in China. </w:t>
      </w:r>
      <w:r>
        <w:rPr>
          <w:i/>
          <w:iCs/>
        </w:rPr>
        <w:t>Nature</w:t>
      </w:r>
      <w:r>
        <w:t xml:space="preserve"> </w:t>
      </w:r>
      <w:r>
        <w:rPr>
          <w:b/>
          <w:bCs/>
        </w:rPr>
        <w:t>2020</w:t>
      </w:r>
      <w:r>
        <w:t xml:space="preserve">, </w:t>
      </w:r>
      <w:r>
        <w:rPr>
          <w:i/>
          <w:iCs/>
        </w:rPr>
        <w:t>579</w:t>
      </w:r>
      <w:r>
        <w:t xml:space="preserve"> (7798), 265–269. https://doi.org/10.1038/s41586-020-2008-3.</w:t>
      </w:r>
    </w:p>
    <w:p w14:paraId="6CD78085" w14:textId="77777777" w:rsidR="00551F90" w:rsidRDefault="00551F90" w:rsidP="00551F90">
      <w:pPr>
        <w:pStyle w:val="Bibliography"/>
        <w:spacing w:line="480" w:lineRule="auto"/>
      </w:pPr>
      <w:r>
        <w:t xml:space="preserve">(115) </w:t>
      </w:r>
      <w:r>
        <w:tab/>
        <w:t xml:space="preserve">Pillaiyar, T.; Meenakshisundaram, S.; Manickam, M. Recent Discovery and Development of Inhibitors Targeting Coronaviruses. </w:t>
      </w:r>
      <w:r>
        <w:rPr>
          <w:i/>
          <w:iCs/>
        </w:rPr>
        <w:t>Drug Discovery Today</w:t>
      </w:r>
      <w:r>
        <w:t xml:space="preserve"> </w:t>
      </w:r>
      <w:r>
        <w:rPr>
          <w:b/>
          <w:bCs/>
        </w:rPr>
        <w:t>2020</w:t>
      </w:r>
      <w:r>
        <w:t>, S1359644620300416. https://doi.org/10.1016/j.drudis.2020.01.015.</w:t>
      </w:r>
    </w:p>
    <w:p w14:paraId="226A5366" w14:textId="77777777" w:rsidR="00551F90" w:rsidRDefault="00551F90" w:rsidP="00551F90">
      <w:pPr>
        <w:pStyle w:val="Bibliography"/>
        <w:spacing w:line="480" w:lineRule="auto"/>
      </w:pPr>
      <w:r>
        <w:lastRenderedPageBreak/>
        <w:t xml:space="preserve">(116) </w:t>
      </w:r>
      <w:r>
        <w:tab/>
        <w:t xml:space="preserve">Ohnishi, K.; Hattori, Y.; Kobayashi, K.; Akaji, K. Evaluation of a Non-Prime Site Substituent and Warheads Combined with a </w:t>
      </w:r>
      <w:proofErr w:type="spellStart"/>
      <w:r>
        <w:t>Decahydroisoquinolin</w:t>
      </w:r>
      <w:proofErr w:type="spellEnd"/>
      <w:r>
        <w:t xml:space="preserve"> Scaffold as a SARS 3CL Protease Inhibitor. </w:t>
      </w:r>
      <w:r>
        <w:rPr>
          <w:i/>
          <w:iCs/>
        </w:rPr>
        <w:t>Bioorganic &amp; Medicinal Chemistry</w:t>
      </w:r>
      <w:r>
        <w:t xml:space="preserve"> </w:t>
      </w:r>
      <w:r>
        <w:rPr>
          <w:b/>
          <w:bCs/>
        </w:rPr>
        <w:t>2019</w:t>
      </w:r>
      <w:r>
        <w:t xml:space="preserve">, </w:t>
      </w:r>
      <w:r>
        <w:rPr>
          <w:i/>
          <w:iCs/>
        </w:rPr>
        <w:t>27</w:t>
      </w:r>
      <w:r>
        <w:t xml:space="preserve"> (2), 425–435. https://doi.org/10.1016/j.bmc.2018.12.019.</w:t>
      </w:r>
    </w:p>
    <w:p w14:paraId="640E24E1" w14:textId="77777777" w:rsidR="00551F90" w:rsidRDefault="00551F90" w:rsidP="00551F90">
      <w:pPr>
        <w:pStyle w:val="Bibliography"/>
        <w:spacing w:line="480" w:lineRule="auto"/>
      </w:pPr>
      <w:r>
        <w:t xml:space="preserve">(117) </w:t>
      </w:r>
      <w:r>
        <w:tab/>
        <w:t>Arya, R.; Das, A.; Prashar, V.; Kumar, M. Potential Inhibitors against Papain-like Protease of Novel Coronavirus (SARS-CoV-2) from FDA Approved Drugs. 8.</w:t>
      </w:r>
    </w:p>
    <w:p w14:paraId="0DA9A7C1" w14:textId="77777777" w:rsidR="00551F90" w:rsidRDefault="00551F90" w:rsidP="00551F90">
      <w:pPr>
        <w:pStyle w:val="Bibliography"/>
        <w:spacing w:line="480" w:lineRule="auto"/>
      </w:pPr>
      <w:r>
        <w:t xml:space="preserve">(118) </w:t>
      </w:r>
      <w:r>
        <w:tab/>
        <w:t xml:space="preserve">Cho, E.; Rosa, M.; Anjum, R.; Mehmood, S.; Soban, M.; Mujtaba, M.; Bux, K.; Moin, S. T.; Tanweer, M.; Dantu, S.; Pandini, A.; Yin, J.; Ma, H.; Ramanathan, A.; Islam, B.; Mey, A. S. J. S.; Bhowmik, D.; Haider, S. Dynamic Profiling of β-Coronavirus 3CL </w:t>
      </w:r>
      <w:proofErr w:type="spellStart"/>
      <w:r>
        <w:t>Mpro</w:t>
      </w:r>
      <w:proofErr w:type="spellEnd"/>
      <w:r>
        <w:t xml:space="preserve"> Protease Ligand-Binding Sites. </w:t>
      </w:r>
      <w:r>
        <w:rPr>
          <w:i/>
          <w:iCs/>
        </w:rPr>
        <w:t>J. Chem. Inf. Model.</w:t>
      </w:r>
      <w:r>
        <w:t xml:space="preserve"> </w:t>
      </w:r>
      <w:r>
        <w:rPr>
          <w:b/>
          <w:bCs/>
        </w:rPr>
        <w:t>2021</w:t>
      </w:r>
      <w:r>
        <w:t xml:space="preserve">, </w:t>
      </w:r>
      <w:r>
        <w:rPr>
          <w:i/>
          <w:iCs/>
        </w:rPr>
        <w:t>61</w:t>
      </w:r>
      <w:r>
        <w:t xml:space="preserve"> (6), 3058–3073. https://doi.org/10.1021/acs.jcim.1c00449.</w:t>
      </w:r>
    </w:p>
    <w:p w14:paraId="40954CB0" w14:textId="77777777" w:rsidR="00551F90" w:rsidRDefault="00551F90" w:rsidP="00551F90">
      <w:pPr>
        <w:pStyle w:val="Bibliography"/>
        <w:spacing w:line="480" w:lineRule="auto"/>
      </w:pPr>
      <w:r>
        <w:t xml:space="preserve">(119) </w:t>
      </w:r>
      <w:r>
        <w:tab/>
        <w:t xml:space="preserve">Lavey, N. P.; Shadid, T.; Ballard, J. D.; Duerfeldt, A. S. Clostridium Difficile </w:t>
      </w:r>
      <w:proofErr w:type="spellStart"/>
      <w:r>
        <w:t>ClpP</w:t>
      </w:r>
      <w:proofErr w:type="spellEnd"/>
      <w:r>
        <w:t xml:space="preserve"> Homologues Are Capable of Uncoupled Activity and Exhibit Different Levels of Susceptibility to </w:t>
      </w:r>
      <w:proofErr w:type="spellStart"/>
      <w:r>
        <w:t>Acyldepsipeptide</w:t>
      </w:r>
      <w:proofErr w:type="spellEnd"/>
      <w:r>
        <w:t xml:space="preserve"> Modulation. </w:t>
      </w:r>
      <w:r>
        <w:rPr>
          <w:i/>
          <w:iCs/>
        </w:rPr>
        <w:t>ACS Infect. Dis.</w:t>
      </w:r>
      <w:r>
        <w:t xml:space="preserve"> </w:t>
      </w:r>
      <w:r>
        <w:rPr>
          <w:b/>
          <w:bCs/>
        </w:rPr>
        <w:t>2019</w:t>
      </w:r>
      <w:r>
        <w:t xml:space="preserve">, </w:t>
      </w:r>
      <w:r>
        <w:rPr>
          <w:i/>
          <w:iCs/>
        </w:rPr>
        <w:t>5</w:t>
      </w:r>
      <w:r>
        <w:t xml:space="preserve"> (1), 79–89. https://doi.org/10.1021/acsinfecdis.8b00199.</w:t>
      </w:r>
    </w:p>
    <w:p w14:paraId="3AABD0E8" w14:textId="77777777" w:rsidR="00551F90" w:rsidRDefault="00551F90" w:rsidP="00551F90">
      <w:pPr>
        <w:pStyle w:val="Bibliography"/>
        <w:spacing w:line="480" w:lineRule="auto"/>
      </w:pPr>
      <w:r>
        <w:t xml:space="preserve">(120) </w:t>
      </w:r>
      <w:r>
        <w:tab/>
        <w:t xml:space="preserve">Li, Y.; Gardner, J. J.; Fortney, K. R.; Leus, I. V.; Bonifay, V.; Zgurskaya, H. I.; </w:t>
      </w:r>
      <w:proofErr w:type="spellStart"/>
      <w:r>
        <w:t>Pletnev</w:t>
      </w:r>
      <w:proofErr w:type="spellEnd"/>
      <w:r>
        <w:t xml:space="preserve">, A. A.; Zhang, S.; Zhang, Z.-Y.; Gribble, G. W.; Spinola, S. M.; Duerfeldt, A. S. First-Generation Structure-Activity Relationship Studies of 2,3,4,9-Tetrahydro-1H-Carbazol-1-Amines as </w:t>
      </w:r>
      <w:proofErr w:type="spellStart"/>
      <w:r>
        <w:t>CpxA</w:t>
      </w:r>
      <w:proofErr w:type="spellEnd"/>
      <w:r>
        <w:t xml:space="preserve"> Phosphatase Inhibitors. </w:t>
      </w:r>
      <w:r>
        <w:rPr>
          <w:i/>
          <w:iCs/>
        </w:rPr>
        <w:t>Bioorganic &amp; Medicinal Chemistry Letters</w:t>
      </w:r>
      <w:r>
        <w:t xml:space="preserve"> </w:t>
      </w:r>
      <w:r>
        <w:rPr>
          <w:b/>
          <w:bCs/>
        </w:rPr>
        <w:t>2019</w:t>
      </w:r>
      <w:r>
        <w:t xml:space="preserve">, </w:t>
      </w:r>
      <w:r>
        <w:rPr>
          <w:i/>
          <w:iCs/>
        </w:rPr>
        <w:t>29</w:t>
      </w:r>
      <w:r>
        <w:t xml:space="preserve"> (14), 1836–1841. https://doi.org/10.1016/j.bmcl.2019.05.003.</w:t>
      </w:r>
    </w:p>
    <w:p w14:paraId="6C7A2D5E" w14:textId="77777777" w:rsidR="00551F90" w:rsidRDefault="00551F90" w:rsidP="00551F90">
      <w:pPr>
        <w:pStyle w:val="Bibliography"/>
        <w:spacing w:line="480" w:lineRule="auto"/>
      </w:pPr>
      <w:r>
        <w:t xml:space="preserve">(121) </w:t>
      </w:r>
      <w:r>
        <w:tab/>
        <w:t xml:space="preserve">Ghosh, A. K.; Takayama, J.; Rao, K. V.; </w:t>
      </w:r>
      <w:proofErr w:type="spellStart"/>
      <w:r>
        <w:t>Ratia</w:t>
      </w:r>
      <w:proofErr w:type="spellEnd"/>
      <w:r>
        <w:t xml:space="preserve">, K.; Chaudhuri, R.; Mulhearn, D. C.; Lee, H.; Nichols, D. B.; </w:t>
      </w:r>
      <w:proofErr w:type="spellStart"/>
      <w:r>
        <w:t>Baliji</w:t>
      </w:r>
      <w:proofErr w:type="spellEnd"/>
      <w:r>
        <w:t xml:space="preserve">, S.; Baker, S. C.; Johnson, M. E.; Mesecar, A. D. Severe Acute Respiratory Syndrome Coronavirus Papain-like Novel Protease Inhibitors: Design, </w:t>
      </w:r>
      <w:r>
        <w:lastRenderedPageBreak/>
        <w:t xml:space="preserve">Synthesis, Protein−Ligand X-Ray Structure and Biological Evaluation. </w:t>
      </w:r>
      <w:r>
        <w:rPr>
          <w:i/>
          <w:iCs/>
        </w:rPr>
        <w:t>J. Med. Chem.</w:t>
      </w:r>
      <w:r>
        <w:t xml:space="preserve"> </w:t>
      </w:r>
      <w:r>
        <w:rPr>
          <w:b/>
          <w:bCs/>
        </w:rPr>
        <w:t>2010</w:t>
      </w:r>
      <w:r>
        <w:t xml:space="preserve">, </w:t>
      </w:r>
      <w:r>
        <w:rPr>
          <w:i/>
          <w:iCs/>
        </w:rPr>
        <w:t>53</w:t>
      </w:r>
      <w:r>
        <w:t xml:space="preserve"> (13), 4968–4979. https://doi.org/10.1021/jm1004489.</w:t>
      </w:r>
    </w:p>
    <w:p w14:paraId="262B6E3B" w14:textId="77777777" w:rsidR="00551F90" w:rsidRDefault="00551F90" w:rsidP="00551F90">
      <w:pPr>
        <w:pStyle w:val="Bibliography"/>
        <w:spacing w:line="480" w:lineRule="auto"/>
      </w:pPr>
      <w:r>
        <w:t xml:space="preserve">(122) </w:t>
      </w:r>
      <w:r>
        <w:tab/>
        <w:t xml:space="preserve">Milewska, A.; Nowak, P.; Owczarek, K.; Szczepanski, A.; Zarebski, M.; Hoang, A.; </w:t>
      </w:r>
      <w:proofErr w:type="spellStart"/>
      <w:r>
        <w:t>Berniak</w:t>
      </w:r>
      <w:proofErr w:type="spellEnd"/>
      <w:r>
        <w:t xml:space="preserve">, K.; </w:t>
      </w:r>
      <w:proofErr w:type="spellStart"/>
      <w:r>
        <w:t>Wojarski</w:t>
      </w:r>
      <w:proofErr w:type="spellEnd"/>
      <w:r>
        <w:t xml:space="preserve">, J.; Zeglen, S.; Baster, Z.; </w:t>
      </w:r>
      <w:proofErr w:type="spellStart"/>
      <w:r>
        <w:t>Rajfur</w:t>
      </w:r>
      <w:proofErr w:type="spellEnd"/>
      <w:r>
        <w:t xml:space="preserve">, Z.; </w:t>
      </w:r>
      <w:proofErr w:type="spellStart"/>
      <w:r>
        <w:t>Pyrc</w:t>
      </w:r>
      <w:proofErr w:type="spellEnd"/>
      <w:r>
        <w:t xml:space="preserve">, K. Entry of Human Coronavirus NL63 into the Cell. </w:t>
      </w:r>
      <w:r>
        <w:rPr>
          <w:i/>
          <w:iCs/>
        </w:rPr>
        <w:t>Journal of Virology</w:t>
      </w:r>
      <w:r>
        <w:t xml:space="preserve"> </w:t>
      </w:r>
      <w:r>
        <w:rPr>
          <w:b/>
          <w:bCs/>
        </w:rPr>
        <w:t>2018</w:t>
      </w:r>
      <w:r>
        <w:t xml:space="preserve">, </w:t>
      </w:r>
      <w:r>
        <w:rPr>
          <w:i/>
          <w:iCs/>
        </w:rPr>
        <w:t>92</w:t>
      </w:r>
      <w:r>
        <w:t xml:space="preserve"> (3). https://doi.org/10.1128/JVI.01933-17.</w:t>
      </w:r>
    </w:p>
    <w:p w14:paraId="6B30834E" w14:textId="77777777" w:rsidR="00551F90" w:rsidRDefault="00551F90" w:rsidP="00551F90">
      <w:pPr>
        <w:pStyle w:val="Bibliography"/>
        <w:spacing w:line="480" w:lineRule="auto"/>
      </w:pPr>
      <w:r>
        <w:t xml:space="preserve">(123) </w:t>
      </w:r>
      <w:r>
        <w:tab/>
        <w:t xml:space="preserve">Chu, C.; Cheng, V.; Hung, I.; Wong, M.; Chan, K.; Chan, K.; Kao, R.; Poon, L.; Wong, C.; Guan, Y.; Peiris, J.; Yuen, K. Role of Lopinavir/Ritonavir in the Treatment of SARS: Initial Virological and Clinical Findings. </w:t>
      </w:r>
      <w:r>
        <w:rPr>
          <w:i/>
          <w:iCs/>
        </w:rPr>
        <w:t>Thorax</w:t>
      </w:r>
      <w:r>
        <w:t xml:space="preserve"> </w:t>
      </w:r>
      <w:r>
        <w:rPr>
          <w:b/>
          <w:bCs/>
        </w:rPr>
        <w:t>2004</w:t>
      </w:r>
      <w:r>
        <w:t xml:space="preserve">, </w:t>
      </w:r>
      <w:r>
        <w:rPr>
          <w:i/>
          <w:iCs/>
        </w:rPr>
        <w:t>59</w:t>
      </w:r>
      <w:r>
        <w:t xml:space="preserve"> (3), 252–256. https://doi.org/10.1136/thorax.2003.012658.</w:t>
      </w:r>
    </w:p>
    <w:p w14:paraId="3F2A382E" w14:textId="77777777" w:rsidR="00551F90" w:rsidRDefault="00551F90" w:rsidP="00551F90">
      <w:pPr>
        <w:pStyle w:val="Bibliography"/>
        <w:spacing w:line="480" w:lineRule="auto"/>
      </w:pPr>
      <w:r>
        <w:t xml:space="preserve">(124) </w:t>
      </w:r>
      <w:r>
        <w:tab/>
        <w:t xml:space="preserve">Roger, C.; Roberts, J. A.; Muller, L. Clinical Pharmacokinetics and Pharmacodynamics of Oxazolidinones. </w:t>
      </w:r>
      <w:r>
        <w:rPr>
          <w:i/>
          <w:iCs/>
        </w:rPr>
        <w:t xml:space="preserve">Clin </w:t>
      </w:r>
      <w:proofErr w:type="spellStart"/>
      <w:r>
        <w:rPr>
          <w:i/>
          <w:iCs/>
        </w:rPr>
        <w:t>Pharmacokinet</w:t>
      </w:r>
      <w:proofErr w:type="spellEnd"/>
      <w:r>
        <w:t xml:space="preserve"> </w:t>
      </w:r>
      <w:r>
        <w:rPr>
          <w:b/>
          <w:bCs/>
        </w:rPr>
        <w:t>2018</w:t>
      </w:r>
      <w:r>
        <w:t xml:space="preserve">, </w:t>
      </w:r>
      <w:r>
        <w:rPr>
          <w:i/>
          <w:iCs/>
        </w:rPr>
        <w:t>57</w:t>
      </w:r>
      <w:r>
        <w:t xml:space="preserve"> (5), 559–575. https://doi.org/10.1007/s40262-017-0601-x.</w:t>
      </w:r>
    </w:p>
    <w:p w14:paraId="51BA0577" w14:textId="77777777" w:rsidR="00551F90" w:rsidRDefault="00551F90" w:rsidP="00551F90">
      <w:pPr>
        <w:pStyle w:val="Bibliography"/>
        <w:spacing w:line="480" w:lineRule="auto"/>
      </w:pPr>
      <w:r>
        <w:t xml:space="preserve">(125) </w:t>
      </w:r>
      <w:r>
        <w:tab/>
        <w:t xml:space="preserve">Swaney, S. M.; Aoki, H.; Ganoza, M. C.; Shinabarger, D. L. The Oxazolidinone Linezolid Inhibits Initiation of Protein Synthesis in Bacteria. </w:t>
      </w:r>
      <w:proofErr w:type="spellStart"/>
      <w:r>
        <w:rPr>
          <w:i/>
          <w:iCs/>
        </w:rPr>
        <w:t>Antimicrob</w:t>
      </w:r>
      <w:proofErr w:type="spellEnd"/>
      <w:r>
        <w:rPr>
          <w:i/>
          <w:iCs/>
        </w:rPr>
        <w:t xml:space="preserve"> Agents </w:t>
      </w:r>
      <w:proofErr w:type="spellStart"/>
      <w:r>
        <w:rPr>
          <w:i/>
          <w:iCs/>
        </w:rPr>
        <w:t>Chemother</w:t>
      </w:r>
      <w:proofErr w:type="spellEnd"/>
      <w:r>
        <w:t xml:space="preserve"> </w:t>
      </w:r>
      <w:r>
        <w:rPr>
          <w:b/>
          <w:bCs/>
        </w:rPr>
        <w:t>1998</w:t>
      </w:r>
      <w:r>
        <w:t xml:space="preserve">, </w:t>
      </w:r>
      <w:r>
        <w:rPr>
          <w:i/>
          <w:iCs/>
        </w:rPr>
        <w:t>42</w:t>
      </w:r>
      <w:r>
        <w:t xml:space="preserve"> (12), 3251–3255. https://doi.org/10.1128/AAC.42.12.3251.</w:t>
      </w:r>
    </w:p>
    <w:p w14:paraId="68708E61" w14:textId="77777777" w:rsidR="00551F90" w:rsidRDefault="00551F90" w:rsidP="00551F90">
      <w:pPr>
        <w:pStyle w:val="Bibliography"/>
        <w:spacing w:line="480" w:lineRule="auto"/>
      </w:pPr>
      <w:r>
        <w:t xml:space="preserve">(126) </w:t>
      </w:r>
      <w:r>
        <w:tab/>
        <w:t xml:space="preserve">Moghadam, V. D.; </w:t>
      </w:r>
      <w:proofErr w:type="spellStart"/>
      <w:r>
        <w:t>Momenimovahed</w:t>
      </w:r>
      <w:proofErr w:type="spellEnd"/>
      <w:r>
        <w:t xml:space="preserve">, Z.; Ghorbani, M.; Khodadadi, J. Linezolid a Potential Treatment for COVID-19 Coinfections. </w:t>
      </w:r>
      <w:r>
        <w:rPr>
          <w:i/>
          <w:iCs/>
        </w:rPr>
        <w:t xml:space="preserve">Braz J </w:t>
      </w:r>
      <w:proofErr w:type="spellStart"/>
      <w:r>
        <w:rPr>
          <w:i/>
          <w:iCs/>
        </w:rPr>
        <w:t>Anesthesiol</w:t>
      </w:r>
      <w:proofErr w:type="spellEnd"/>
      <w:r>
        <w:t xml:space="preserve"> </w:t>
      </w:r>
      <w:r>
        <w:rPr>
          <w:b/>
          <w:bCs/>
        </w:rPr>
        <w:t>2021</w:t>
      </w:r>
      <w:r>
        <w:t xml:space="preserve">, </w:t>
      </w:r>
      <w:r>
        <w:rPr>
          <w:i/>
          <w:iCs/>
        </w:rPr>
        <w:t>71</w:t>
      </w:r>
      <w:r>
        <w:t xml:space="preserve"> (2), 198. https://doi.org/10.1016/j.bjane.2020.12.019.</w:t>
      </w:r>
    </w:p>
    <w:p w14:paraId="41130B83" w14:textId="77777777" w:rsidR="00551F90" w:rsidRDefault="00551F90" w:rsidP="00551F90">
      <w:pPr>
        <w:pStyle w:val="Bibliography"/>
        <w:spacing w:line="480" w:lineRule="auto"/>
      </w:pPr>
      <w:r>
        <w:t xml:space="preserve">(127) </w:t>
      </w:r>
      <w:r>
        <w:tab/>
        <w:t xml:space="preserve">Shin, D.; Mukherjee, R.; Grewe, D.; </w:t>
      </w:r>
      <w:proofErr w:type="spellStart"/>
      <w:r>
        <w:t>Bojkova</w:t>
      </w:r>
      <w:proofErr w:type="spellEnd"/>
      <w:r>
        <w:t xml:space="preserve">, D.; Baek, K.; Bhattacharya, A.; Schulz, L.; Widera, M.; </w:t>
      </w:r>
      <w:proofErr w:type="spellStart"/>
      <w:r>
        <w:t>Mehdipour</w:t>
      </w:r>
      <w:proofErr w:type="spellEnd"/>
      <w:r>
        <w:t xml:space="preserve">, A. R.; </w:t>
      </w:r>
      <w:proofErr w:type="spellStart"/>
      <w:r>
        <w:t>Tascher</w:t>
      </w:r>
      <w:proofErr w:type="spellEnd"/>
      <w:r>
        <w:t xml:space="preserve">, G.; Geurink, P. P.; Wilhelm, A.; van der Heden van Noort, G. J.; </w:t>
      </w:r>
      <w:proofErr w:type="spellStart"/>
      <w:r>
        <w:t>Ovaa</w:t>
      </w:r>
      <w:proofErr w:type="spellEnd"/>
      <w:r>
        <w:t xml:space="preserve">, H.; Müller, S.; Knobeloch, K.-P.; Rajalingam, K.; Schulman, B. A.; Cinatl, J.; Hummer, G.; </w:t>
      </w:r>
      <w:proofErr w:type="spellStart"/>
      <w:r>
        <w:t>Ciesek</w:t>
      </w:r>
      <w:proofErr w:type="spellEnd"/>
      <w:r>
        <w:t xml:space="preserve">, S.; </w:t>
      </w:r>
      <w:proofErr w:type="spellStart"/>
      <w:r>
        <w:t>Dikic</w:t>
      </w:r>
      <w:proofErr w:type="spellEnd"/>
      <w:r>
        <w:t xml:space="preserve">, I. Papain-like Protease Regulates SARS-CoV-2 </w:t>
      </w:r>
      <w:r>
        <w:lastRenderedPageBreak/>
        <w:t xml:space="preserve">Viral Spread and Innate Immunity. </w:t>
      </w:r>
      <w:r>
        <w:rPr>
          <w:i/>
          <w:iCs/>
        </w:rPr>
        <w:t>Nature</w:t>
      </w:r>
      <w:r>
        <w:t xml:space="preserve"> </w:t>
      </w:r>
      <w:r>
        <w:rPr>
          <w:b/>
          <w:bCs/>
        </w:rPr>
        <w:t>2020</w:t>
      </w:r>
      <w:r>
        <w:t xml:space="preserve">, </w:t>
      </w:r>
      <w:r>
        <w:rPr>
          <w:i/>
          <w:iCs/>
        </w:rPr>
        <w:t>587</w:t>
      </w:r>
      <w:r>
        <w:t xml:space="preserve"> (7835), 657–662. https://doi.org/10.1038/s41586-020-2601-5.</w:t>
      </w:r>
    </w:p>
    <w:p w14:paraId="12AD6620" w14:textId="77777777" w:rsidR="00551F90" w:rsidRDefault="00551F90" w:rsidP="00551F90">
      <w:pPr>
        <w:pStyle w:val="Bibliography"/>
        <w:spacing w:line="480" w:lineRule="auto"/>
      </w:pPr>
      <w:r>
        <w:t xml:space="preserve">(128) </w:t>
      </w:r>
      <w:r>
        <w:tab/>
        <w:t xml:space="preserve">Pfeffer, L. M. The Role of Nuclear Factor ΚB in the Interferon Response. </w:t>
      </w:r>
      <w:r>
        <w:rPr>
          <w:i/>
          <w:iCs/>
        </w:rPr>
        <w:t>J Interferon Cytokine Res</w:t>
      </w:r>
      <w:r>
        <w:t xml:space="preserve"> </w:t>
      </w:r>
      <w:r>
        <w:rPr>
          <w:b/>
          <w:bCs/>
        </w:rPr>
        <w:t>2011</w:t>
      </w:r>
      <w:r>
        <w:t xml:space="preserve">, </w:t>
      </w:r>
      <w:r>
        <w:rPr>
          <w:i/>
          <w:iCs/>
        </w:rPr>
        <w:t>31</w:t>
      </w:r>
      <w:r>
        <w:t xml:space="preserve"> (7), 553–559. https://doi.org/10.1089/jir.2011.0028.</w:t>
      </w:r>
    </w:p>
    <w:p w14:paraId="2133A2AF" w14:textId="77777777" w:rsidR="00551F90" w:rsidRDefault="00551F90" w:rsidP="00551F90">
      <w:pPr>
        <w:pStyle w:val="Bibliography"/>
        <w:spacing w:line="480" w:lineRule="auto"/>
      </w:pPr>
      <w:r>
        <w:t xml:space="preserve">(129) </w:t>
      </w:r>
      <w:r>
        <w:tab/>
        <w:t xml:space="preserve">Lin, Y.; Zang, R.; Ma, Y.; Wang, Z.; Li, L.; Ding, S.; Zhang, R.; Wei, Z.; Yang, J.; Wang, X. </w:t>
      </w:r>
      <w:proofErr w:type="spellStart"/>
      <w:r>
        <w:t>Xanthohumol</w:t>
      </w:r>
      <w:proofErr w:type="spellEnd"/>
      <w:r>
        <w:t xml:space="preserve"> Is a Potent Pan-Inhibitor of Coronaviruses Targeting Main Protease. </w:t>
      </w:r>
      <w:r>
        <w:rPr>
          <w:i/>
          <w:iCs/>
        </w:rPr>
        <w:t>International Journal of Molecular Sciences</w:t>
      </w:r>
      <w:r>
        <w:t xml:space="preserve"> </w:t>
      </w:r>
      <w:r>
        <w:rPr>
          <w:b/>
          <w:bCs/>
        </w:rPr>
        <w:t>2021</w:t>
      </w:r>
      <w:r>
        <w:t xml:space="preserve">, </w:t>
      </w:r>
      <w:r>
        <w:rPr>
          <w:i/>
          <w:iCs/>
        </w:rPr>
        <w:t>22</w:t>
      </w:r>
      <w:r>
        <w:t xml:space="preserve"> (22), 12134. https://doi.org/10.3390/ijms222212134.</w:t>
      </w:r>
    </w:p>
    <w:p w14:paraId="54F4CADF" w14:textId="77777777" w:rsidR="00551F90" w:rsidRDefault="00551F90" w:rsidP="00551F90">
      <w:pPr>
        <w:pStyle w:val="Bibliography"/>
        <w:spacing w:line="480" w:lineRule="auto"/>
      </w:pPr>
      <w:r>
        <w:t xml:space="preserve">(130) </w:t>
      </w:r>
      <w:r>
        <w:tab/>
        <w:t xml:space="preserve">Owen, D. R.; Allerton, C. M. N.; Anderson, A. S.; Aschenbrenner, L.; Avery, M.; </w:t>
      </w:r>
      <w:proofErr w:type="spellStart"/>
      <w:r>
        <w:t>Berritt</w:t>
      </w:r>
      <w:proofErr w:type="spellEnd"/>
      <w:r>
        <w:t xml:space="preserve">, S.; Boras, B.; Cardin, R. D.; Carlo, A.; Coffman, K. J.; Dantonio, A.; Di, L.; Eng, H.; Ferre, R.; </w:t>
      </w:r>
      <w:proofErr w:type="spellStart"/>
      <w:r>
        <w:t>Gajiwala</w:t>
      </w:r>
      <w:proofErr w:type="spellEnd"/>
      <w:r>
        <w:t xml:space="preserve">, K. S.; Gibson, S. A.; Greasley, S. E.; Hurst, B. L.; Kadar, E. P.; </w:t>
      </w:r>
      <w:proofErr w:type="spellStart"/>
      <w:r>
        <w:t>Kalgutkar</w:t>
      </w:r>
      <w:proofErr w:type="spellEnd"/>
      <w:r>
        <w:t xml:space="preserve">, A. S.; Lee, J. C.; Lee, J.; Liu, W.; Mason, S. W.; Noell, S.; Novak, J. J.; </w:t>
      </w:r>
      <w:proofErr w:type="spellStart"/>
      <w:r>
        <w:t>Obach</w:t>
      </w:r>
      <w:proofErr w:type="spellEnd"/>
      <w:r>
        <w:t xml:space="preserve">, R. S.; Ogilvie, K.; Patel, N. C.; Pettersson, M.; Rai, D. K.; Reese, M. R.; Sammons, M. F.; Sathish, J. G.; Singh, R. S. P.; </w:t>
      </w:r>
      <w:proofErr w:type="spellStart"/>
      <w:r>
        <w:t>Steppan</w:t>
      </w:r>
      <w:proofErr w:type="spellEnd"/>
      <w:r>
        <w:t xml:space="preserve">, C. M.; Stewart, A. E.; Tuttle, J. B.; Updyke, L.; </w:t>
      </w:r>
      <w:proofErr w:type="spellStart"/>
      <w:r>
        <w:t>Verhoest</w:t>
      </w:r>
      <w:proofErr w:type="spellEnd"/>
      <w:r>
        <w:t xml:space="preserve">, P. R.; Wei, L.; Yang, Q.; Zhu, Y. An Oral SARS-CoV-2 </w:t>
      </w:r>
      <w:proofErr w:type="spellStart"/>
      <w:r>
        <w:t>Mpro</w:t>
      </w:r>
      <w:proofErr w:type="spellEnd"/>
      <w:r>
        <w:t xml:space="preserve"> Inhibitor Clinical Candidate for the Treatment of COVID-19. </w:t>
      </w:r>
      <w:r>
        <w:rPr>
          <w:i/>
          <w:iCs/>
        </w:rPr>
        <w:t>Science</w:t>
      </w:r>
      <w:r>
        <w:t xml:space="preserve"> </w:t>
      </w:r>
      <w:r>
        <w:rPr>
          <w:b/>
          <w:bCs/>
        </w:rPr>
        <w:t>2021</w:t>
      </w:r>
      <w:r>
        <w:t xml:space="preserve">, </w:t>
      </w:r>
      <w:r>
        <w:rPr>
          <w:i/>
          <w:iCs/>
        </w:rPr>
        <w:t>374</w:t>
      </w:r>
      <w:r>
        <w:t xml:space="preserve"> (6575), 1586–1593. https://doi.org/10.1126/science.abl4784.</w:t>
      </w:r>
    </w:p>
    <w:p w14:paraId="4E17A8CC" w14:textId="77777777" w:rsidR="00551F90" w:rsidRDefault="00551F90" w:rsidP="00551F90">
      <w:pPr>
        <w:pStyle w:val="Bibliography"/>
        <w:spacing w:line="480" w:lineRule="auto"/>
      </w:pPr>
      <w:r>
        <w:t xml:space="preserve">(131) </w:t>
      </w:r>
      <w:r>
        <w:tab/>
        <w:t xml:space="preserve">Bakowski, M. A.; Beutler, N.; Wolff, K. C.; Kirkpatrick, M. G.; Chen, E.; Nguyen, T.-T. H.; Riva, L.; Shaabani, N.; Parren, M.; Ricketts, J.; Gupta, A. K.; Pan, K.; Kuo, P.; Fuller, M.; Garcia, E.; </w:t>
      </w:r>
      <w:proofErr w:type="spellStart"/>
      <w:r>
        <w:t>Teijaro</w:t>
      </w:r>
      <w:proofErr w:type="spellEnd"/>
      <w:r>
        <w:t xml:space="preserve">, J. R.; Yang, L.; Sahoo, D.; Chi, V.; Huang, E.; Vargas, N.; Roberts, A. J.; Das, S.; Ghosh, P.; Woods, A. K.; Joseph, S. B.; Hull, M. V.; Schultz, P. G.; Burton, D. R.; Chatterjee, A. K.; McNamara, C. W.; Rogers, T. F. Drug Repurposing Screens Identify </w:t>
      </w:r>
      <w:r>
        <w:lastRenderedPageBreak/>
        <w:t xml:space="preserve">Chemical Entities for the Development of COVID-19 Interventions. </w:t>
      </w:r>
      <w:r>
        <w:rPr>
          <w:i/>
          <w:iCs/>
        </w:rPr>
        <w:t xml:space="preserve">Nat </w:t>
      </w:r>
      <w:proofErr w:type="spellStart"/>
      <w:r>
        <w:rPr>
          <w:i/>
          <w:iCs/>
        </w:rPr>
        <w:t>Commun</w:t>
      </w:r>
      <w:proofErr w:type="spellEnd"/>
      <w:r>
        <w:t xml:space="preserve"> </w:t>
      </w:r>
      <w:r>
        <w:rPr>
          <w:b/>
          <w:bCs/>
        </w:rPr>
        <w:t>2021</w:t>
      </w:r>
      <w:r>
        <w:t xml:space="preserve">, </w:t>
      </w:r>
      <w:r>
        <w:rPr>
          <w:i/>
          <w:iCs/>
        </w:rPr>
        <w:t>12</w:t>
      </w:r>
      <w:r>
        <w:t xml:space="preserve"> (1), 1–14. https://doi.org/10.1038/s41467-021-23328-0.</w:t>
      </w:r>
    </w:p>
    <w:p w14:paraId="7CB38780" w14:textId="77777777" w:rsidR="00551F90" w:rsidRDefault="00551F90" w:rsidP="00551F90">
      <w:pPr>
        <w:pStyle w:val="Bibliography"/>
        <w:spacing w:line="480" w:lineRule="auto"/>
      </w:pPr>
      <w:r>
        <w:t xml:space="preserve">(132) </w:t>
      </w:r>
      <w:r>
        <w:tab/>
        <w:t xml:space="preserve">O’Reilly, M.; Cleasby, A.; Davies, T. G.; Hall, R. J.; Ludlow, R. F.; Murray, C. W.; Tisi, D.; </w:t>
      </w:r>
      <w:proofErr w:type="spellStart"/>
      <w:r>
        <w:t>Jhoti</w:t>
      </w:r>
      <w:proofErr w:type="spellEnd"/>
      <w:r>
        <w:t xml:space="preserve">, H. Crystallographic Screening Using Ultra-Low-Molecular-Weight Ligands to Guide Drug Design. </w:t>
      </w:r>
      <w:r>
        <w:rPr>
          <w:i/>
          <w:iCs/>
        </w:rPr>
        <w:t>Drug Discovery Today</w:t>
      </w:r>
      <w:r>
        <w:t xml:space="preserve"> </w:t>
      </w:r>
      <w:r>
        <w:rPr>
          <w:b/>
          <w:bCs/>
        </w:rPr>
        <w:t>2019</w:t>
      </w:r>
      <w:r>
        <w:t xml:space="preserve">, </w:t>
      </w:r>
      <w:r>
        <w:rPr>
          <w:i/>
          <w:iCs/>
        </w:rPr>
        <w:t>24</w:t>
      </w:r>
      <w:r>
        <w:t xml:space="preserve"> (5), 1081–1086. https://doi.org/10.1016/j.drudis.2019.03.009.</w:t>
      </w:r>
    </w:p>
    <w:p w14:paraId="0E624133" w14:textId="77777777" w:rsidR="00551F90" w:rsidRDefault="00551F90" w:rsidP="00551F90">
      <w:pPr>
        <w:pStyle w:val="Bibliography"/>
        <w:spacing w:line="480" w:lineRule="auto"/>
      </w:pPr>
      <w:r>
        <w:t xml:space="preserve">(133) </w:t>
      </w:r>
      <w:r>
        <w:tab/>
        <w:t xml:space="preserve">Ugi, I. The α-Addition of </w:t>
      </w:r>
      <w:proofErr w:type="spellStart"/>
      <w:r>
        <w:t>Immonium</w:t>
      </w:r>
      <w:proofErr w:type="spellEnd"/>
      <w:r>
        <w:t xml:space="preserve"> Ions and Anions to </w:t>
      </w:r>
      <w:proofErr w:type="spellStart"/>
      <w:r>
        <w:t>Isonitriles</w:t>
      </w:r>
      <w:proofErr w:type="spellEnd"/>
      <w:r>
        <w:t xml:space="preserve"> Accompanied by Secondary Reactions. </w:t>
      </w:r>
      <w:proofErr w:type="spellStart"/>
      <w:r>
        <w:rPr>
          <w:i/>
          <w:iCs/>
        </w:rPr>
        <w:t>Angewandte</w:t>
      </w:r>
      <w:proofErr w:type="spellEnd"/>
      <w:r>
        <w:rPr>
          <w:i/>
          <w:iCs/>
        </w:rPr>
        <w:t xml:space="preserve"> </w:t>
      </w:r>
      <w:proofErr w:type="spellStart"/>
      <w:r>
        <w:rPr>
          <w:i/>
          <w:iCs/>
        </w:rPr>
        <w:t>Chemie</w:t>
      </w:r>
      <w:proofErr w:type="spellEnd"/>
      <w:r>
        <w:rPr>
          <w:i/>
          <w:iCs/>
        </w:rPr>
        <w:t xml:space="preserve"> International Edition in English</w:t>
      </w:r>
      <w:r>
        <w:t xml:space="preserve"> </w:t>
      </w:r>
      <w:r>
        <w:rPr>
          <w:b/>
          <w:bCs/>
        </w:rPr>
        <w:t>1962</w:t>
      </w:r>
      <w:r>
        <w:t xml:space="preserve">, </w:t>
      </w:r>
      <w:r>
        <w:rPr>
          <w:i/>
          <w:iCs/>
        </w:rPr>
        <w:t>1</w:t>
      </w:r>
      <w:r>
        <w:t xml:space="preserve"> (1), 8–21. https://doi.org/10.1002/anie.196200081.</w:t>
      </w:r>
    </w:p>
    <w:p w14:paraId="6A6BF334" w14:textId="77777777" w:rsidR="00551F90" w:rsidRDefault="00551F90" w:rsidP="00551F90">
      <w:pPr>
        <w:pStyle w:val="Bibliography"/>
        <w:spacing w:line="480" w:lineRule="auto"/>
      </w:pPr>
      <w:r>
        <w:t xml:space="preserve">(134) </w:t>
      </w:r>
      <w:r>
        <w:tab/>
        <w:t>Jacobs, J.; Grum-</w:t>
      </w:r>
      <w:proofErr w:type="spellStart"/>
      <w:r>
        <w:t>Tokars</w:t>
      </w:r>
      <w:proofErr w:type="spellEnd"/>
      <w:r>
        <w:t xml:space="preserve">, V.; Zhou, Y.; Turlington, M.; Saldanha, S. A.; Chase, P.; Eggler, A.; Dawson, E. S.; Baez-Santos, Y. M.; Tomar, S.; </w:t>
      </w:r>
      <w:proofErr w:type="spellStart"/>
      <w:r>
        <w:t>Mielech</w:t>
      </w:r>
      <w:proofErr w:type="spellEnd"/>
      <w:r>
        <w:t xml:space="preserve">, A. M.; Baker, S. C.; Lindsley, C. W.; Hodder, P.; Mesecar, A.; Stauffer, S. R. Discovery, Synthesis, And Structure-Based Optimization of a Series of </w:t>
      </w:r>
      <w:r>
        <w:rPr>
          <w:i/>
          <w:iCs/>
        </w:rPr>
        <w:t>N</w:t>
      </w:r>
      <w:r>
        <w:t xml:space="preserve"> -( </w:t>
      </w:r>
      <w:proofErr w:type="spellStart"/>
      <w:r>
        <w:rPr>
          <w:i/>
          <w:iCs/>
        </w:rPr>
        <w:t>Tert</w:t>
      </w:r>
      <w:proofErr w:type="spellEnd"/>
      <w:r>
        <w:t xml:space="preserve"> -Butyl)-2-( </w:t>
      </w:r>
      <w:r>
        <w:rPr>
          <w:i/>
          <w:iCs/>
        </w:rPr>
        <w:t>N</w:t>
      </w:r>
      <w:r>
        <w:t xml:space="preserve"> -</w:t>
      </w:r>
      <w:proofErr w:type="spellStart"/>
      <w:r>
        <w:t>Arylamido</w:t>
      </w:r>
      <w:proofErr w:type="spellEnd"/>
      <w:r>
        <w:t>)-2-(Pyridin-3-Yl) Acetamides (ML188) as Potent Noncovalent Small Molecule Inhibitors of the Severe Acute Respiratory Syndrome Coronavirus (SARS-</w:t>
      </w:r>
      <w:proofErr w:type="spellStart"/>
      <w:r>
        <w:t>CoV</w:t>
      </w:r>
      <w:proofErr w:type="spellEnd"/>
      <w:r>
        <w:t xml:space="preserve">) 3CL Protease. </w:t>
      </w:r>
      <w:r>
        <w:rPr>
          <w:i/>
          <w:iCs/>
        </w:rPr>
        <w:t>J. Med. Chem.</w:t>
      </w:r>
      <w:r>
        <w:t xml:space="preserve"> </w:t>
      </w:r>
      <w:r>
        <w:rPr>
          <w:b/>
          <w:bCs/>
        </w:rPr>
        <w:t>2013</w:t>
      </w:r>
      <w:r>
        <w:t xml:space="preserve">, </w:t>
      </w:r>
      <w:r>
        <w:rPr>
          <w:i/>
          <w:iCs/>
        </w:rPr>
        <w:t>56</w:t>
      </w:r>
      <w:r>
        <w:t xml:space="preserve"> (2), 534–546. https://doi.org/10.1021/jm301580n.</w:t>
      </w:r>
    </w:p>
    <w:p w14:paraId="4A5DFC23" w14:textId="77777777" w:rsidR="00551F90" w:rsidRDefault="00551F90" w:rsidP="00551F90">
      <w:pPr>
        <w:pStyle w:val="Bibliography"/>
        <w:spacing w:line="480" w:lineRule="auto"/>
      </w:pPr>
      <w:r>
        <w:t xml:space="preserve">(135) </w:t>
      </w:r>
      <w:r>
        <w:tab/>
        <w:t>Turlington, M.; Chun, A.; Tomar, S.; Eggler, A.; Grum-</w:t>
      </w:r>
      <w:proofErr w:type="spellStart"/>
      <w:r>
        <w:t>Tokars</w:t>
      </w:r>
      <w:proofErr w:type="spellEnd"/>
      <w:r>
        <w:t>, V.; Jacobs, J.; Daniels, J. S.; Dawson, E.; Saldanha, A.; Chase, P.; Baez-Santos, Y. M.; Lindsley, C. W.; Hodder, P.; Mesecar, A. D.; Stauffer, S. R. Discovery of N-(Benzo[1,2,3]Triazol-1-Yl)-N-(Benzyl)Acetamido)Phenyl) Carboxamides as Severe Acute Respiratory Syndrome Coronavirus (SARS-</w:t>
      </w:r>
      <w:proofErr w:type="spellStart"/>
      <w:r>
        <w:t>CoV</w:t>
      </w:r>
      <w:proofErr w:type="spellEnd"/>
      <w:r>
        <w:t xml:space="preserve">) 3CLpro Inhibitors: Identification of ML300 and Noncovalent Nanomolar Inhibitors with an Induced-Fit Binding. </w:t>
      </w:r>
      <w:r>
        <w:rPr>
          <w:i/>
          <w:iCs/>
        </w:rPr>
        <w:t>Bioorganic &amp; Medicinal Chemistry Letters</w:t>
      </w:r>
      <w:r>
        <w:t xml:space="preserve"> </w:t>
      </w:r>
      <w:r>
        <w:rPr>
          <w:b/>
          <w:bCs/>
        </w:rPr>
        <w:t>2013</w:t>
      </w:r>
      <w:r>
        <w:t xml:space="preserve">, </w:t>
      </w:r>
      <w:r>
        <w:rPr>
          <w:i/>
          <w:iCs/>
        </w:rPr>
        <w:t>23</w:t>
      </w:r>
      <w:r>
        <w:t xml:space="preserve"> (22), 6172–6177. https://doi.org/10.1016/j.bmcl.2013.08.112.</w:t>
      </w:r>
    </w:p>
    <w:p w14:paraId="531DEAB1" w14:textId="7124EDBD" w:rsidR="00654CB9" w:rsidRPr="00654CB9" w:rsidRDefault="003A5ACD" w:rsidP="00654CB9">
      <w:pPr>
        <w:pStyle w:val="ChapterTitles"/>
      </w:pPr>
      <w:r w:rsidRPr="003E5113">
        <w:rPr>
          <w:szCs w:val="24"/>
        </w:rPr>
        <w:lastRenderedPageBreak/>
        <w:fldChar w:fldCharType="end"/>
      </w:r>
      <w:bookmarkStart w:id="119" w:name="_Toc98429804"/>
      <w:bookmarkStart w:id="120" w:name="_Toc102586250"/>
      <w:r w:rsidR="00654CB9" w:rsidRPr="00654CB9">
        <w:t>Chapter 2. Virulence modulation in Gram-negative bacteria via small molecule activation of CpxRA</w:t>
      </w:r>
      <w:bookmarkEnd w:id="119"/>
      <w:bookmarkEnd w:id="120"/>
    </w:p>
    <w:p w14:paraId="3DC169A2" w14:textId="49CB56BB" w:rsidR="00654CB9" w:rsidRPr="00B366E8" w:rsidRDefault="00654CB9" w:rsidP="00B366E8">
      <w:pPr>
        <w:spacing w:after="0"/>
        <w:ind w:firstLine="720"/>
        <w:contextualSpacing/>
        <w:rPr>
          <w:rFonts w:cs="Times New Roman"/>
          <w:b/>
          <w:bCs/>
          <w:szCs w:val="24"/>
        </w:rPr>
      </w:pPr>
      <w:r w:rsidRPr="00654CB9">
        <w:rPr>
          <w:rFonts w:cs="Times New Roman"/>
          <w:b/>
          <w:bCs/>
          <w:szCs w:val="24"/>
        </w:rPr>
        <w:t>Abstract</w:t>
      </w:r>
      <w:r w:rsidR="00B366E8">
        <w:rPr>
          <w:rFonts w:cs="Times New Roman"/>
          <w:b/>
          <w:bCs/>
          <w:szCs w:val="24"/>
        </w:rPr>
        <w:t xml:space="preserve">. </w:t>
      </w:r>
      <w:r w:rsidRPr="00654CB9">
        <w:rPr>
          <w:rFonts w:cs="Times New Roman"/>
          <w:szCs w:val="24"/>
        </w:rPr>
        <w:t>Two-component signal transduction systems (2CSTS) provide the means for bacteria to sense and react to changes in the environment. Aberrant 2CSTS activity leads to faulty gene transcription and can alter bacterial cell-growth, quorum sensing, biofilm behavior, antibacterial resistance, and virulence. As such, modulation of these systems represents a promising antibacterial strategy that complements existing bacteriostatic and bactericidal approaches. CpxRA is a 2CSTS found in many drug-resistant Gram-negative pathogens. Genetic activation of CpxRA abolishes the virulence of a number of pathogens in human and murine infection models. Recently, 2,3,4,9-tetrahydro-1</w:t>
      </w:r>
      <w:r w:rsidRPr="00654CB9">
        <w:rPr>
          <w:rFonts w:cs="Times New Roman"/>
          <w:i/>
          <w:szCs w:val="24"/>
        </w:rPr>
        <w:t>H</w:t>
      </w:r>
      <w:r w:rsidRPr="00654CB9">
        <w:rPr>
          <w:rFonts w:cs="Times New Roman"/>
          <w:szCs w:val="24"/>
        </w:rPr>
        <w:t xml:space="preserve">-carbazol-1-amines were shown to activate the CpxRA system by inhibiting the phosphatase activity of </w:t>
      </w:r>
      <w:proofErr w:type="spellStart"/>
      <w:r w:rsidRPr="00654CB9">
        <w:rPr>
          <w:rFonts w:cs="Times New Roman"/>
          <w:szCs w:val="24"/>
        </w:rPr>
        <w:t>CpxA</w:t>
      </w:r>
      <w:proofErr w:type="spellEnd"/>
      <w:r w:rsidRPr="00654CB9">
        <w:rPr>
          <w:rFonts w:cs="Times New Roman"/>
          <w:szCs w:val="24"/>
        </w:rPr>
        <w:t xml:space="preserve">. In this chapter, I report collaborative efforts towards the initial structure-activity relationships of this scaffold which identified compound </w:t>
      </w:r>
      <w:r w:rsidRPr="00654CB9">
        <w:rPr>
          <w:rFonts w:cs="Times New Roman"/>
          <w:b/>
          <w:bCs/>
          <w:szCs w:val="24"/>
        </w:rPr>
        <w:t>2.26</w:t>
      </w:r>
      <w:r w:rsidRPr="00654CB9">
        <w:rPr>
          <w:rFonts w:cs="Times New Roman"/>
          <w:szCs w:val="24"/>
        </w:rPr>
        <w:t xml:space="preserve"> that manifests a ~30-fold improvement in </w:t>
      </w:r>
      <w:proofErr w:type="spellStart"/>
      <w:r w:rsidRPr="00654CB9">
        <w:rPr>
          <w:rFonts w:cs="Times New Roman"/>
          <w:szCs w:val="24"/>
        </w:rPr>
        <w:t>CpxA</w:t>
      </w:r>
      <w:proofErr w:type="spellEnd"/>
      <w:r w:rsidRPr="00654CB9">
        <w:rPr>
          <w:rFonts w:cs="Times New Roman"/>
          <w:szCs w:val="24"/>
        </w:rPr>
        <w:t xml:space="preserve"> phosphatase inhibition over the initial hit. Comparison of amino and </w:t>
      </w:r>
      <w:r w:rsidRPr="00654CB9">
        <w:rPr>
          <w:rFonts w:cs="Times New Roman"/>
          <w:i/>
          <w:szCs w:val="24"/>
        </w:rPr>
        <w:t>des</w:t>
      </w:r>
      <w:r w:rsidRPr="00654CB9">
        <w:rPr>
          <w:rFonts w:cs="Times New Roman"/>
          <w:szCs w:val="24"/>
        </w:rPr>
        <w:t xml:space="preserve">-amino derivatives of this chemotype in isogenic cell lines, differing in membrane permeability and efflux capabilities, demonstrates that the amine is required not only for target engagement but also for permeation and accumulation in </w:t>
      </w:r>
      <w:r w:rsidRPr="00654CB9">
        <w:rPr>
          <w:rFonts w:cs="Times New Roman"/>
          <w:i/>
          <w:szCs w:val="24"/>
        </w:rPr>
        <w:t>Escherichia coli</w:t>
      </w:r>
      <w:r w:rsidRPr="00654CB9">
        <w:rPr>
          <w:rFonts w:cs="Times New Roman"/>
          <w:szCs w:val="24"/>
        </w:rPr>
        <w:t xml:space="preserve">. Compound </w:t>
      </w:r>
      <w:r w:rsidRPr="00654CB9">
        <w:rPr>
          <w:rFonts w:cs="Times New Roman"/>
          <w:b/>
          <w:bCs/>
          <w:szCs w:val="24"/>
        </w:rPr>
        <w:t>2.26</w:t>
      </w:r>
      <w:r w:rsidRPr="00654CB9">
        <w:rPr>
          <w:rFonts w:cs="Times New Roman"/>
          <w:szCs w:val="24"/>
        </w:rPr>
        <w:t xml:space="preserve"> was then evaluated for its efficacy to treat urinary tract infections (UTIs) in murine models. We found that </w:t>
      </w:r>
      <w:r w:rsidRPr="00654CB9">
        <w:rPr>
          <w:rFonts w:cs="Times New Roman"/>
          <w:b/>
          <w:bCs/>
          <w:szCs w:val="24"/>
        </w:rPr>
        <w:t>2.26</w:t>
      </w:r>
      <w:r w:rsidRPr="00654CB9">
        <w:rPr>
          <w:rFonts w:cs="Times New Roman"/>
          <w:szCs w:val="24"/>
        </w:rPr>
        <w:t xml:space="preserve"> reduced bacterial recovery in the urine, bladder, and kidneys, with efficacy similar to ciprofloxacin. A proteomic comparison of the </w:t>
      </w:r>
      <w:proofErr w:type="spellStart"/>
      <w:r w:rsidRPr="00654CB9">
        <w:rPr>
          <w:rFonts w:cs="Times New Roman"/>
          <w:szCs w:val="24"/>
        </w:rPr>
        <w:t>uropathogenic</w:t>
      </w:r>
      <w:proofErr w:type="spellEnd"/>
      <w:r w:rsidRPr="00654CB9">
        <w:rPr>
          <w:rFonts w:cs="Times New Roman"/>
          <w:szCs w:val="24"/>
        </w:rPr>
        <w:t xml:space="preserve"> </w:t>
      </w:r>
      <w:r w:rsidRPr="00654CB9">
        <w:rPr>
          <w:rFonts w:cs="Times New Roman"/>
          <w:i/>
          <w:iCs/>
          <w:szCs w:val="24"/>
        </w:rPr>
        <w:t>E. coli</w:t>
      </w:r>
      <w:r w:rsidRPr="00654CB9">
        <w:rPr>
          <w:rFonts w:cs="Times New Roman"/>
          <w:szCs w:val="24"/>
        </w:rPr>
        <w:t xml:space="preserve"> (UPEC) strain CFT073 </w:t>
      </w:r>
      <w:proofErr w:type="spellStart"/>
      <w:r w:rsidRPr="00654CB9">
        <w:rPr>
          <w:rFonts w:cs="Times New Roman"/>
          <w:i/>
          <w:iCs/>
          <w:szCs w:val="24"/>
        </w:rPr>
        <w:t>cpxA</w:t>
      </w:r>
      <w:proofErr w:type="spellEnd"/>
      <w:r w:rsidRPr="00654CB9">
        <w:rPr>
          <w:rFonts w:cs="Times New Roman"/>
          <w:szCs w:val="24"/>
        </w:rPr>
        <w:t xml:space="preserve"> deletion mutant versus </w:t>
      </w:r>
      <w:r w:rsidRPr="00654CB9">
        <w:rPr>
          <w:rFonts w:cs="Times New Roman"/>
          <w:b/>
          <w:bCs/>
          <w:szCs w:val="24"/>
        </w:rPr>
        <w:t>2.26</w:t>
      </w:r>
      <w:r w:rsidRPr="00654CB9">
        <w:rPr>
          <w:rFonts w:cs="Times New Roman"/>
          <w:szCs w:val="24"/>
        </w:rPr>
        <w:t xml:space="preserve">-treated CFT073 allowed us to analyze the differences between genetic and pharmacologic activation of CpxRA. Since treatment of CFT073 by </w:t>
      </w:r>
      <w:r w:rsidRPr="00654CB9">
        <w:rPr>
          <w:rFonts w:cs="Times New Roman"/>
          <w:b/>
          <w:bCs/>
          <w:szCs w:val="24"/>
        </w:rPr>
        <w:t>2.26</w:t>
      </w:r>
      <w:r w:rsidRPr="00654CB9">
        <w:rPr>
          <w:rFonts w:cs="Times New Roman"/>
          <w:szCs w:val="24"/>
        </w:rPr>
        <w:t xml:space="preserve"> does not inhibit bacterial growth but still fosters accumulation of </w:t>
      </w:r>
      <w:proofErr w:type="spellStart"/>
      <w:r w:rsidRPr="00654CB9">
        <w:rPr>
          <w:rFonts w:cs="Times New Roman"/>
          <w:szCs w:val="24"/>
        </w:rPr>
        <w:t>CpxR</w:t>
      </w:r>
      <w:proofErr w:type="spellEnd"/>
      <w:r w:rsidRPr="00654CB9">
        <w:rPr>
          <w:rFonts w:cs="Times New Roman"/>
          <w:szCs w:val="24"/>
        </w:rPr>
        <w:t xml:space="preserve">-P and downregulates virulence determinants, we have demonstrated that </w:t>
      </w:r>
      <w:proofErr w:type="spellStart"/>
      <w:r w:rsidRPr="00654CB9">
        <w:rPr>
          <w:rFonts w:cs="Times New Roman"/>
          <w:szCs w:val="24"/>
        </w:rPr>
        <w:t>CpxA</w:t>
      </w:r>
      <w:proofErr w:type="spellEnd"/>
      <w:r w:rsidRPr="00654CB9">
        <w:rPr>
          <w:rFonts w:cs="Times New Roman"/>
          <w:szCs w:val="24"/>
        </w:rPr>
        <w:t xml:space="preserve"> phosphatase inhibitors </w:t>
      </w:r>
      <w:r w:rsidRPr="00654CB9">
        <w:rPr>
          <w:rFonts w:cs="Times New Roman"/>
          <w:szCs w:val="24"/>
        </w:rPr>
        <w:lastRenderedPageBreak/>
        <w:t xml:space="preserve">may be useful in treating UTIs caused by UPEC. The initial SAR studies producing lead compound </w:t>
      </w:r>
      <w:r w:rsidRPr="00654CB9">
        <w:rPr>
          <w:rFonts w:cs="Times New Roman"/>
          <w:b/>
          <w:bCs/>
          <w:szCs w:val="24"/>
        </w:rPr>
        <w:t>2.26</w:t>
      </w:r>
      <w:r w:rsidRPr="00654CB9">
        <w:rPr>
          <w:rFonts w:cs="Times New Roman"/>
          <w:szCs w:val="24"/>
        </w:rPr>
        <w:t xml:space="preserve">, its evaluation in murine UTI models, and our proteomics analysis will be discussed in this chapter. </w:t>
      </w:r>
    </w:p>
    <w:p w14:paraId="3FFE43D1" w14:textId="77777777" w:rsidR="00654CB9" w:rsidRPr="00654CB9" w:rsidRDefault="00654CB9" w:rsidP="00654CB9">
      <w:pPr>
        <w:spacing w:after="0"/>
        <w:ind w:firstLine="720"/>
        <w:rPr>
          <w:rFonts w:eastAsia="Times New Roman" w:cs="Times New Roman"/>
          <w:szCs w:val="24"/>
        </w:rPr>
      </w:pPr>
      <w:r w:rsidRPr="00654CB9">
        <w:rPr>
          <w:rFonts w:eastAsia="Times New Roman" w:cs="Times New Roman"/>
          <w:b/>
          <w:szCs w:val="24"/>
        </w:rPr>
        <w:t xml:space="preserve">Allocation of Contribution. </w:t>
      </w:r>
      <w:r w:rsidRPr="00654CB9">
        <w:rPr>
          <w:rFonts w:eastAsia="Times New Roman" w:cs="Times New Roman"/>
          <w:bCs/>
          <w:szCs w:val="24"/>
        </w:rPr>
        <w:t xml:space="preserve">The following chapter is reproduced in part and with permission from “First-generation structure-activity relationship studies of </w:t>
      </w:r>
      <w:bookmarkStart w:id="121" w:name="_Hlk519346856"/>
      <w:r w:rsidRPr="00654CB9">
        <w:rPr>
          <w:rFonts w:eastAsia="Times New Roman" w:cs="Times New Roman"/>
          <w:bCs/>
          <w:szCs w:val="24"/>
        </w:rPr>
        <w:t>2,3,4,9-tetrahydro-1</w:t>
      </w:r>
      <w:r w:rsidRPr="00654CB9">
        <w:rPr>
          <w:rFonts w:eastAsia="Times New Roman" w:cs="Times New Roman"/>
          <w:bCs/>
          <w:i/>
          <w:szCs w:val="24"/>
        </w:rPr>
        <w:t>H</w:t>
      </w:r>
      <w:r w:rsidRPr="00654CB9">
        <w:rPr>
          <w:rFonts w:eastAsia="Times New Roman" w:cs="Times New Roman"/>
          <w:bCs/>
          <w:szCs w:val="24"/>
        </w:rPr>
        <w:t xml:space="preserve">-carbazol-1-amines </w:t>
      </w:r>
      <w:bookmarkEnd w:id="121"/>
      <w:r w:rsidRPr="00654CB9">
        <w:rPr>
          <w:rFonts w:eastAsia="Times New Roman" w:cs="Times New Roman"/>
          <w:bCs/>
          <w:szCs w:val="24"/>
        </w:rPr>
        <w:t xml:space="preserve">as </w:t>
      </w:r>
      <w:proofErr w:type="spellStart"/>
      <w:r w:rsidRPr="00654CB9">
        <w:rPr>
          <w:rFonts w:eastAsia="Times New Roman" w:cs="Times New Roman"/>
          <w:bCs/>
          <w:szCs w:val="24"/>
        </w:rPr>
        <w:t>CpxA</w:t>
      </w:r>
      <w:proofErr w:type="spellEnd"/>
      <w:r w:rsidRPr="00654CB9">
        <w:rPr>
          <w:rFonts w:eastAsia="Times New Roman" w:cs="Times New Roman"/>
          <w:bCs/>
          <w:szCs w:val="24"/>
        </w:rPr>
        <w:t xml:space="preserve"> phosphatase inhibitors,”</w:t>
      </w:r>
      <w:r w:rsidRPr="00654CB9">
        <w:rPr>
          <w:rFonts w:eastAsia="Times New Roman" w:cs="Times New Roman"/>
          <w:b/>
          <w:szCs w:val="24"/>
        </w:rPr>
        <w:t xml:space="preserve"> </w:t>
      </w:r>
      <w:r w:rsidRPr="00654CB9">
        <w:rPr>
          <w:rFonts w:eastAsia="Times New Roman" w:cs="Times New Roman"/>
          <w:szCs w:val="24"/>
        </w:rPr>
        <w:t xml:space="preserve">Yangxiong Li, </w:t>
      </w:r>
      <w:r w:rsidRPr="00654CB9">
        <w:rPr>
          <w:rFonts w:eastAsia="Times New Roman" w:cs="Times New Roman"/>
          <w:b/>
          <w:bCs/>
          <w:szCs w:val="24"/>
        </w:rPr>
        <w:t>Jessi J. Gardner</w:t>
      </w:r>
      <w:r w:rsidRPr="00654CB9">
        <w:rPr>
          <w:rFonts w:eastAsia="Times New Roman" w:cs="Times New Roman"/>
          <w:szCs w:val="24"/>
        </w:rPr>
        <w:t xml:space="preserve">, Katherine R. Fortney, Inga V. Leus, Vincent Bonifay, Helen I. Zgurskaya, Alexandre </w:t>
      </w:r>
      <w:proofErr w:type="spellStart"/>
      <w:r w:rsidRPr="00654CB9">
        <w:rPr>
          <w:rFonts w:eastAsia="Times New Roman" w:cs="Times New Roman"/>
          <w:szCs w:val="24"/>
        </w:rPr>
        <w:t>Pletnev</w:t>
      </w:r>
      <w:proofErr w:type="spellEnd"/>
      <w:r w:rsidRPr="00654CB9">
        <w:rPr>
          <w:rFonts w:eastAsia="Times New Roman" w:cs="Times New Roman"/>
          <w:szCs w:val="24"/>
        </w:rPr>
        <w:t>, Sheng Zhang,</w:t>
      </w:r>
      <w:r w:rsidRPr="00654CB9">
        <w:rPr>
          <w:rFonts w:eastAsia="Times New Roman" w:cs="Times New Roman"/>
          <w:szCs w:val="24"/>
          <w:vertAlign w:val="superscript"/>
        </w:rPr>
        <w:t xml:space="preserve"> </w:t>
      </w:r>
      <w:r w:rsidRPr="00654CB9">
        <w:rPr>
          <w:rFonts w:eastAsia="Times New Roman" w:cs="Times New Roman"/>
          <w:szCs w:val="24"/>
        </w:rPr>
        <w:t xml:space="preserve">Zhong-Yin Zhang, Gordon W. Gribble, Stanley M. Spinola, Adam S. Duerfeldt. </w:t>
      </w:r>
      <w:proofErr w:type="spellStart"/>
      <w:r w:rsidRPr="00654CB9">
        <w:rPr>
          <w:rFonts w:eastAsia="Times New Roman" w:cs="Times New Roman"/>
          <w:i/>
          <w:iCs/>
          <w:szCs w:val="24"/>
        </w:rPr>
        <w:t>Bioorg</w:t>
      </w:r>
      <w:proofErr w:type="spellEnd"/>
      <w:r w:rsidRPr="00654CB9">
        <w:rPr>
          <w:rFonts w:eastAsia="Times New Roman" w:cs="Times New Roman"/>
          <w:i/>
          <w:iCs/>
          <w:szCs w:val="24"/>
        </w:rPr>
        <w:t xml:space="preserve"> and Med Chem Lett.</w:t>
      </w:r>
      <w:r w:rsidRPr="00654CB9">
        <w:rPr>
          <w:rFonts w:eastAsia="Times New Roman" w:cs="Times New Roman"/>
          <w:szCs w:val="24"/>
        </w:rPr>
        <w:t xml:space="preserve"> </w:t>
      </w:r>
      <w:r w:rsidRPr="00654CB9">
        <w:rPr>
          <w:rFonts w:eastAsia="Times New Roman" w:cs="Times New Roman"/>
          <w:b/>
          <w:bCs/>
          <w:szCs w:val="24"/>
        </w:rPr>
        <w:t>2019</w:t>
      </w:r>
      <w:r w:rsidRPr="00654CB9">
        <w:rPr>
          <w:rFonts w:eastAsia="Times New Roman" w:cs="Times New Roman"/>
          <w:szCs w:val="24"/>
        </w:rPr>
        <w:t>, 29, 1836-1841. DOI: j.bmcl.2019.05.003,</w:t>
      </w:r>
      <w:r w:rsidRPr="00654CB9">
        <w:rPr>
          <w:rFonts w:eastAsia="Times New Roman" w:cs="Times New Roman"/>
          <w:szCs w:val="24"/>
        </w:rPr>
        <w:fldChar w:fldCharType="begin"/>
      </w:r>
      <w:r w:rsidRPr="00654CB9">
        <w:rPr>
          <w:rFonts w:eastAsia="Times New Roman" w:cs="Times New Roman"/>
          <w:szCs w:val="24"/>
        </w:rPr>
        <w:instrText xml:space="preserve"> ADDIN ZOTERO_ITEM CSL_CITATION {"citationID":"yhFHfPKS","properties":{"formattedCitation":"\\super 1\\nosupersub{}","plainCitation":"1","noteIndex":0},"citationItems":[{"id":95,"uris":["http://zotero.org/users/6503767/items/ZK39M2HV"],"itemData":{"id":95,"type":"article-journal","abstract":"Genetic activation of the bacterial two-component signal transduction system, CpxRA, abolishes the virulence of a number of pathogens in human and murine infection models. Recently, 2,3,4,9-tetrahydro-1H-carbazol-1amines were shown to activate the CpxRA system by inhibiting the phosphatase activity of CpxA. Herein we report the initial structure-activity relationships of this scaffold by focusing on three approaches 1) A-ring substitution, 2) B-ring deconstruction to provide N-arylated amino acid derivatives, and 3) C-ring elimination to give 2-ethylamino substituted indoles. These studies demonstrate that the A-ring is amenable to functionalization and provides a promising avenue for continued optimization of this chemotype. Further investigations revealed that the C-ring is not necessary for activity, although it likely provides conformational constraint that is beneficial to potency, and that the (R) stereochemistry is required at the primary amine. Simplification of the scaffold through deconstruction of the B-ring led to inactive compounds, highlighting the importance of the indole core. A new lead compound 26 was identified, which manifests a </w:instrText>
      </w:r>
      <w:r w:rsidRPr="00654CB9">
        <w:rPr>
          <w:rFonts w:ascii="Cambria Math" w:eastAsia="Times New Roman" w:hAnsi="Cambria Math" w:cs="Cambria Math"/>
          <w:szCs w:val="24"/>
        </w:rPr>
        <w:instrText>∼</w:instrText>
      </w:r>
      <w:r w:rsidRPr="00654CB9">
        <w:rPr>
          <w:rFonts w:eastAsia="Times New Roman" w:cs="Times New Roman"/>
          <w:szCs w:val="24"/>
        </w:rPr>
        <w:instrText xml:space="preserve">30-fold improvement in CpxA phosphatase inhibition over the initial hit. Comparison of amino and des-amino derivatives in bacterial strains differing in membrane permeability and efflux capabilities demonstrate that the amine is required not only for target engagement but also for permeation and accumulation in Escherichia coli.","container-title":"Bioorganic &amp; Medicinal Chemistry Letters","DOI":"10.1016/j.bmcl.2019.05.003","ISSN":"0960894X","issue":"14","journalAbbreviation":"Bioorganic &amp; Medicinal Chemistry Letters","language":"en","page":"1836-1841","source":"DOI.org (Crossref)","title":"First-generation structure-activity relationship studies of 2,3,4,9-tetrahydro-1H-carbazol-1-amines as CpxA phosphatase inhibitors","volume":"29","author":[{"family":"Li","given":"Yangxiong"},{"family":"Gardner","given":"Jessi J."},{"family":"Fortney","given":"Katherine R."},{"family":"Leus","given":"Inga V."},{"family":"Bonifay","given":"Vincent"},{"family":"Zgurskaya","given":"Helen I."},{"family":"Pletnev","given":"Alexandre A."},{"family":"Zhang","given":"Sheng"},{"family":"Zhang","given":"Zhong-Yin"},{"family":"Gribble","given":"Gordon W."},{"family":"Spinola","given":"Stanley M."},{"family":"Duerfeldt","given":"Adam S."}],"issued":{"date-parts":[["2019",7]]}}}],"schema":"https://github.com/citation-style-language/schema/raw/master/csl-citation.json"} </w:instrText>
      </w:r>
      <w:r w:rsidRPr="00654CB9">
        <w:rPr>
          <w:rFonts w:eastAsia="Times New Roman" w:cs="Times New Roman"/>
          <w:szCs w:val="24"/>
        </w:rPr>
        <w:fldChar w:fldCharType="separate"/>
      </w:r>
      <w:r w:rsidRPr="00654CB9">
        <w:rPr>
          <w:rFonts w:cs="Times New Roman"/>
          <w:szCs w:val="24"/>
          <w:vertAlign w:val="superscript"/>
        </w:rPr>
        <w:t>1</w:t>
      </w:r>
      <w:r w:rsidRPr="00654CB9">
        <w:rPr>
          <w:rFonts w:eastAsia="Times New Roman" w:cs="Times New Roman"/>
          <w:szCs w:val="24"/>
        </w:rPr>
        <w:fldChar w:fldCharType="end"/>
      </w:r>
      <w:r w:rsidRPr="00654CB9">
        <w:rPr>
          <w:rFonts w:eastAsia="Times New Roman" w:cs="Times New Roman"/>
          <w:szCs w:val="24"/>
        </w:rPr>
        <w:t xml:space="preserve"> and “</w:t>
      </w:r>
      <w:proofErr w:type="spellStart"/>
      <w:r w:rsidRPr="00654CB9">
        <w:rPr>
          <w:rFonts w:cs="Times New Roman"/>
        </w:rPr>
        <w:t>CpxA</w:t>
      </w:r>
      <w:proofErr w:type="spellEnd"/>
      <w:r w:rsidRPr="00654CB9">
        <w:rPr>
          <w:rFonts w:cs="Times New Roman"/>
        </w:rPr>
        <w:t xml:space="preserve"> Phosphatase Inhibitor Activates CpxRA and Is a Potential Treatment for </w:t>
      </w:r>
      <w:proofErr w:type="spellStart"/>
      <w:r w:rsidRPr="00654CB9">
        <w:rPr>
          <w:rFonts w:cs="Times New Roman"/>
        </w:rPr>
        <w:t>Uropathogenic</w:t>
      </w:r>
      <w:proofErr w:type="spellEnd"/>
      <w:r w:rsidRPr="00654CB9">
        <w:rPr>
          <w:rFonts w:cs="Times New Roman"/>
        </w:rPr>
        <w:t xml:space="preserve"> Escherichia Coli in a Murine Model of Infection,” Fortney, K. R.; Smith, S. N.; van Rensburg, J. J.; Brothwell, J. A.; </w:t>
      </w:r>
      <w:r w:rsidRPr="00654CB9">
        <w:rPr>
          <w:rFonts w:cs="Times New Roman"/>
          <w:b/>
          <w:bCs/>
        </w:rPr>
        <w:t>Gardner, J. J.</w:t>
      </w:r>
      <w:r w:rsidRPr="00654CB9">
        <w:rPr>
          <w:rFonts w:cs="Times New Roman"/>
        </w:rPr>
        <w:t xml:space="preserve">; Katz, B. P.; Ahsan, N.; Duerfeldt, A. S.; Mobley, H. L. T.; Spinola, S. M. </w:t>
      </w:r>
      <w:proofErr w:type="spellStart"/>
      <w:r w:rsidRPr="00654CB9">
        <w:rPr>
          <w:rFonts w:cs="Times New Roman"/>
          <w:i/>
          <w:iCs/>
        </w:rPr>
        <w:t>Microbiol</w:t>
      </w:r>
      <w:proofErr w:type="spellEnd"/>
      <w:r w:rsidRPr="00654CB9">
        <w:rPr>
          <w:rFonts w:cs="Times New Roman"/>
          <w:i/>
          <w:iCs/>
        </w:rPr>
        <w:t xml:space="preserve"> </w:t>
      </w:r>
      <w:proofErr w:type="spellStart"/>
      <w:r w:rsidRPr="00654CB9">
        <w:rPr>
          <w:rFonts w:cs="Times New Roman"/>
          <w:i/>
          <w:iCs/>
        </w:rPr>
        <w:t>Spectr</w:t>
      </w:r>
      <w:proofErr w:type="spellEnd"/>
      <w:r w:rsidRPr="00654CB9">
        <w:rPr>
          <w:rFonts w:cs="Times New Roman"/>
        </w:rPr>
        <w:t xml:space="preserve">. </w:t>
      </w:r>
      <w:r w:rsidRPr="00654CB9">
        <w:rPr>
          <w:rFonts w:cs="Times New Roman"/>
          <w:b/>
          <w:bCs/>
        </w:rPr>
        <w:t>2022</w:t>
      </w:r>
      <w:r w:rsidRPr="00654CB9">
        <w:rPr>
          <w:rFonts w:cs="Times New Roman"/>
        </w:rPr>
        <w:t>, e02430-21. DOI: 10.1128/spectrum.02430-21.</w:t>
      </w:r>
      <w:r w:rsidRPr="00654CB9">
        <w:rPr>
          <w:rFonts w:cs="Times New Roman"/>
        </w:rPr>
        <w:fldChar w:fldCharType="begin"/>
      </w:r>
      <w:r w:rsidRPr="00654CB9">
        <w:rPr>
          <w:rFonts w:cs="Times New Roman"/>
        </w:rPr>
        <w:instrText xml:space="preserve"> ADDIN ZOTERO_ITEM CSL_CITATION {"citationID":"4uxfHIsb","properties":{"formattedCitation":"\\super 2\\nosupersub{}","plainCitation":"2","noteIndex":0},"citationItems":[{"id":691,"uris":["http://zotero.org/users/6503767/items/7ATYW2D4"],"itemData":{"id":691,"type":"article-journal","container-title":"Microbiology Spectrum","DOI":"10.1128/spectrum.02430-21","issue":"0","note":"publisher: American Society for Microbiology","page":"e02430-21","source":"journals.asm.org (Atypon)","title":"CpxA Phosphatase Inhibitor Activates CpxRA and Is a Potential Treatment for Uropathogenic Escherichia coli in a Murine Model of Infection","volume":"0","author":[{"family":"Fortney","given":"Kate R."},{"family":"Smith","given":"Sara N."},{"family":"Rensburg","given":"Julia J.","non-dropping-particle":"van"},{"family":"Brothwell","given":"Julie A."},{"family":"Gardner","given":"Jessi J."},{"family":"Katz","given":"Barry P."},{"family":"Ahsan","given":"Nagib"},{"family":"Duerfeldt","given":"Adam S."},{"family":"Mobley","given":"Harry L. T."},{"family":"Spinola","given":"Stanley M."}]}}],"schema":"https://github.com/citation-style-language/schema/raw/master/csl-citation.json"} </w:instrText>
      </w:r>
      <w:r w:rsidRPr="00654CB9">
        <w:rPr>
          <w:rFonts w:cs="Times New Roman"/>
        </w:rPr>
        <w:fldChar w:fldCharType="separate"/>
      </w:r>
      <w:r w:rsidRPr="00654CB9">
        <w:rPr>
          <w:rFonts w:cs="Times New Roman"/>
          <w:szCs w:val="24"/>
          <w:vertAlign w:val="superscript"/>
        </w:rPr>
        <w:t>2</w:t>
      </w:r>
      <w:r w:rsidRPr="00654CB9">
        <w:rPr>
          <w:rFonts w:cs="Times New Roman"/>
        </w:rPr>
        <w:fldChar w:fldCharType="end"/>
      </w:r>
      <w:r w:rsidRPr="00654CB9">
        <w:rPr>
          <w:rFonts w:cs="Times New Roman"/>
        </w:rPr>
        <w:t xml:space="preserve"> </w:t>
      </w:r>
      <w:r w:rsidRPr="00654CB9">
        <w:rPr>
          <w:rFonts w:eastAsia="Times New Roman" w:cs="Times New Roman"/>
          <w:szCs w:val="24"/>
        </w:rPr>
        <w:t xml:space="preserve">Further permissions related to the material excerpted in this chapter should be directed to Elsevier or the American Society for Microbiology. </w:t>
      </w:r>
    </w:p>
    <w:p w14:paraId="187C8C35" w14:textId="77777777" w:rsidR="00654CB9" w:rsidRPr="00654CB9" w:rsidRDefault="00654CB9" w:rsidP="00654CB9">
      <w:pPr>
        <w:spacing w:after="0"/>
        <w:ind w:firstLine="720"/>
        <w:rPr>
          <w:rFonts w:eastAsia="Times New Roman" w:cs="Times New Roman"/>
          <w:szCs w:val="24"/>
        </w:rPr>
      </w:pPr>
      <w:r w:rsidRPr="00654CB9">
        <w:rPr>
          <w:rFonts w:eastAsia="Times New Roman" w:cs="Times New Roman"/>
          <w:szCs w:val="24"/>
        </w:rPr>
        <w:t xml:space="preserve">I produced the results presented in this chapter with the following exceptions: My colleague, Dr. Yangxiong Li, and I contributed equally to the synthesis of fluorine-containing compounds </w:t>
      </w:r>
      <w:r w:rsidRPr="00654CB9">
        <w:rPr>
          <w:rFonts w:eastAsia="Times New Roman" w:cs="Times New Roman"/>
          <w:b/>
          <w:bCs/>
          <w:szCs w:val="24"/>
        </w:rPr>
        <w:t>2.14</w:t>
      </w:r>
      <w:r w:rsidRPr="00654CB9">
        <w:rPr>
          <w:rFonts w:eastAsia="Times New Roman" w:cs="Times New Roman"/>
          <w:szCs w:val="24"/>
        </w:rPr>
        <w:t xml:space="preserve"> – </w:t>
      </w:r>
      <w:r w:rsidRPr="00654CB9">
        <w:rPr>
          <w:rFonts w:eastAsia="Times New Roman" w:cs="Times New Roman"/>
          <w:b/>
          <w:bCs/>
          <w:szCs w:val="24"/>
        </w:rPr>
        <w:t xml:space="preserve">2.20 </w:t>
      </w:r>
      <w:r w:rsidRPr="00654CB9">
        <w:rPr>
          <w:rFonts w:eastAsia="Times New Roman" w:cs="Times New Roman"/>
          <w:szCs w:val="24"/>
        </w:rPr>
        <w:t xml:space="preserve">and </w:t>
      </w:r>
      <w:r w:rsidRPr="00654CB9">
        <w:rPr>
          <w:rFonts w:eastAsia="Times New Roman" w:cs="Times New Roman"/>
          <w:b/>
          <w:bCs/>
          <w:szCs w:val="24"/>
        </w:rPr>
        <w:t>2.23</w:t>
      </w:r>
      <w:r w:rsidRPr="00654CB9">
        <w:rPr>
          <w:rFonts w:eastAsia="Times New Roman" w:cs="Times New Roman"/>
          <w:szCs w:val="24"/>
        </w:rPr>
        <w:t xml:space="preserve"> – </w:t>
      </w:r>
      <w:r w:rsidRPr="00654CB9">
        <w:rPr>
          <w:rFonts w:eastAsia="Times New Roman" w:cs="Times New Roman"/>
          <w:b/>
          <w:bCs/>
          <w:szCs w:val="24"/>
        </w:rPr>
        <w:t>2.26</w:t>
      </w:r>
      <w:r w:rsidRPr="00654CB9">
        <w:rPr>
          <w:rFonts w:eastAsia="Times New Roman" w:cs="Times New Roman"/>
          <w:szCs w:val="24"/>
        </w:rPr>
        <w:t xml:space="preserve">. A-ring substituted compounds </w:t>
      </w:r>
      <w:r w:rsidRPr="00654CB9">
        <w:rPr>
          <w:rFonts w:eastAsia="Times New Roman" w:cs="Times New Roman"/>
          <w:b/>
          <w:bCs/>
          <w:szCs w:val="24"/>
        </w:rPr>
        <w:t>2.1</w:t>
      </w:r>
      <w:r w:rsidRPr="00654CB9">
        <w:rPr>
          <w:rFonts w:eastAsia="Times New Roman" w:cs="Times New Roman"/>
          <w:szCs w:val="24"/>
        </w:rPr>
        <w:t xml:space="preserve"> – </w:t>
      </w:r>
      <w:r w:rsidRPr="00654CB9">
        <w:rPr>
          <w:rFonts w:eastAsia="Times New Roman" w:cs="Times New Roman"/>
          <w:b/>
          <w:bCs/>
          <w:szCs w:val="24"/>
        </w:rPr>
        <w:t>2.13</w:t>
      </w:r>
      <w:r w:rsidRPr="00654CB9">
        <w:rPr>
          <w:rFonts w:eastAsia="Times New Roman" w:cs="Times New Roman"/>
          <w:szCs w:val="24"/>
        </w:rPr>
        <w:t xml:space="preserve"> were synthesized by Dr. Li or provided by the Gribble group from Dartmouth College. Activity assays, modified </w:t>
      </w:r>
      <w:r w:rsidRPr="00654CB9">
        <w:rPr>
          <w:rFonts w:eastAsia="Times New Roman" w:cs="Times New Roman"/>
          <w:i/>
          <w:iCs/>
          <w:szCs w:val="24"/>
        </w:rPr>
        <w:t>E. coli</w:t>
      </w:r>
      <w:r w:rsidRPr="00654CB9">
        <w:rPr>
          <w:rFonts w:eastAsia="Times New Roman" w:cs="Times New Roman"/>
          <w:szCs w:val="24"/>
        </w:rPr>
        <w:t xml:space="preserve"> strains (</w:t>
      </w:r>
      <w:proofErr w:type="spellStart"/>
      <w:r w:rsidRPr="00654CB9">
        <w:rPr>
          <w:rFonts w:eastAsia="Times New Roman" w:cs="Times New Roman"/>
          <w:szCs w:val="24"/>
        </w:rPr>
        <w:t>Δ</w:t>
      </w:r>
      <w:r w:rsidRPr="00654CB9">
        <w:rPr>
          <w:rFonts w:eastAsia="Times New Roman" w:cs="Times New Roman"/>
          <w:i/>
          <w:iCs/>
          <w:szCs w:val="24"/>
        </w:rPr>
        <w:t>cpxA</w:t>
      </w:r>
      <w:proofErr w:type="spellEnd"/>
      <w:r w:rsidRPr="00654CB9">
        <w:rPr>
          <w:rFonts w:eastAsia="Times New Roman" w:cs="Times New Roman"/>
          <w:szCs w:val="24"/>
        </w:rPr>
        <w:t xml:space="preserve">), and evaluation of compounds in murine models were provided by the Spinola lab at the Indiana University School of Medicine and the </w:t>
      </w:r>
      <w:r w:rsidRPr="00654CB9">
        <w:rPr>
          <w:rFonts w:cs="Times New Roman"/>
          <w:noProof/>
          <w:szCs w:val="24"/>
        </w:rPr>
        <w:t>Chemical Genomics Core facility in the Indiana CTSI</w:t>
      </w:r>
      <w:r w:rsidRPr="00654CB9">
        <w:rPr>
          <w:rFonts w:eastAsia="Times New Roman" w:cs="Times New Roman"/>
          <w:szCs w:val="24"/>
        </w:rPr>
        <w:t xml:space="preserve">. Intracellular accumulation assays were performed by Inga Leus and Vincent Bonifay within the Zgurskaya lab. Proteomic analysis was provided by Dr. Nagib Ahsan in the mass spectrometry core facility at the University of Oklahoma. </w:t>
      </w:r>
    </w:p>
    <w:p w14:paraId="7D1B9A94" w14:textId="77777777" w:rsidR="00654CB9" w:rsidRPr="00654CB9" w:rsidRDefault="00654CB9" w:rsidP="00D03824">
      <w:pPr>
        <w:pStyle w:val="Section"/>
      </w:pPr>
      <w:bookmarkStart w:id="122" w:name="_Toc98429805"/>
      <w:bookmarkStart w:id="123" w:name="_Toc102586251"/>
      <w:r w:rsidRPr="00654CB9">
        <w:lastRenderedPageBreak/>
        <w:t>2.1 Introduction</w:t>
      </w:r>
      <w:bookmarkEnd w:id="122"/>
      <w:bookmarkEnd w:id="123"/>
    </w:p>
    <w:p w14:paraId="27060AFD" w14:textId="77777777" w:rsidR="00654CB9" w:rsidRPr="00654CB9" w:rsidRDefault="00654CB9" w:rsidP="00654CB9">
      <w:pPr>
        <w:spacing w:after="0"/>
        <w:ind w:firstLine="720"/>
        <w:contextualSpacing/>
        <w:rPr>
          <w:rFonts w:cs="Times New Roman"/>
          <w:szCs w:val="24"/>
        </w:rPr>
      </w:pPr>
      <w:r w:rsidRPr="00654CB9">
        <w:rPr>
          <w:rFonts w:cs="Times New Roman"/>
          <w:szCs w:val="24"/>
        </w:rPr>
        <w:t xml:space="preserve">The urgency to develop </w:t>
      </w:r>
      <w:bookmarkStart w:id="124" w:name="_Hlk519342358"/>
      <w:r w:rsidRPr="00654CB9">
        <w:rPr>
          <w:rFonts w:cs="Times New Roman"/>
          <w:szCs w:val="24"/>
        </w:rPr>
        <w:t xml:space="preserve">new modalities to treat drug-resistant infections </w:t>
      </w:r>
      <w:bookmarkEnd w:id="124"/>
      <w:r w:rsidRPr="00654CB9">
        <w:rPr>
          <w:rFonts w:cs="Times New Roman"/>
          <w:szCs w:val="24"/>
        </w:rPr>
        <w:t>is unquestionable, especially for those caused by multi- and extensively-drug resistant Gram-negative pathogens. Reports of infectious strains resistant to all known clinically approved antibiotics have surfaced and raise the possibility that common infections may soon become untreatable if new therapeutic advancements are not developed in a timely fashion.</w:t>
      </w:r>
      <w:r w:rsidRPr="00654CB9">
        <w:rPr>
          <w:rFonts w:cs="Times New Roman"/>
          <w:szCs w:val="24"/>
        </w:rPr>
        <w:fldChar w:fldCharType="begin"/>
      </w:r>
      <w:r w:rsidRPr="00654CB9">
        <w:rPr>
          <w:rFonts w:cs="Times New Roman"/>
          <w:szCs w:val="24"/>
        </w:rPr>
        <w:instrText xml:space="preserve"> ADDIN ZOTERO_ITEM CSL_CITATION {"citationID":"P9eUZahc","properties":{"formattedCitation":"\\super 3\\nosupersub{}","plainCitation":"3","noteIndex":0},"citationItems":[{"id":130,"uris":["http://zotero.org/users/6503767/items/IGDD8TSG"],"itemData":{"id":130,"type":"article-journal","container-title":"Clinical Infectious Diseases","DOI":"10.1086/595011","ISSN":"1058-4838, 1537-6591","issue":"1","journalAbbreviation":"Clin Infect Dis","language":"en","page":"1-12","source":"DOI.org (Crossref)","title":"Bad Bugs, No Drugs: No ESKAPE! An Update from the Infectious Diseases Society of America","title-short":"Bad Bugs, No Drugs","volume":"48","author":[{"family":"Boucher","given":"Helen W."},{"family":"Talbot","given":"George H."},{"family":"Bradley","given":"John S."},{"family":"Edwards","given":"John E."},{"family":"Gilbert","given":"David"},{"family":"Rice","given":"Louis B."},{"family":"Scheld","given":"Michael"},{"family":"Spellberg","given":"Brad"},{"family":"Bartlett","given":"John"}],"issued":{"date-parts":[["2009",1]]}}}],"schema":"https://github.com/citation-style-language/schema/raw/master/csl-citation.json"}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3</w:t>
      </w:r>
      <w:r w:rsidRPr="00654CB9">
        <w:rPr>
          <w:rFonts w:cs="Times New Roman"/>
          <w:szCs w:val="24"/>
        </w:rPr>
        <w:fldChar w:fldCharType="end"/>
      </w:r>
      <w:r w:rsidRPr="00654CB9">
        <w:rPr>
          <w:rFonts w:cs="Times New Roman"/>
          <w:szCs w:val="24"/>
        </w:rPr>
        <w:t xml:space="preserve">  </w:t>
      </w:r>
    </w:p>
    <w:p w14:paraId="2DE0630E" w14:textId="77777777" w:rsidR="00654CB9" w:rsidRPr="00654CB9" w:rsidRDefault="00654CB9" w:rsidP="00654CB9">
      <w:pPr>
        <w:spacing w:after="0"/>
        <w:ind w:firstLine="720"/>
        <w:contextualSpacing/>
        <w:rPr>
          <w:rFonts w:cs="Times New Roman"/>
          <w:szCs w:val="24"/>
        </w:rPr>
      </w:pPr>
      <w:r w:rsidRPr="00654CB9">
        <w:rPr>
          <w:rFonts w:cs="Times New Roman"/>
          <w:szCs w:val="24"/>
        </w:rPr>
        <w:t>All currently available antibiotics inhibit a limited number of enzymes and processes that have essential functions for bacterial growth.</w:t>
      </w:r>
      <w:r w:rsidRPr="00654CB9">
        <w:rPr>
          <w:rFonts w:cs="Times New Roman"/>
          <w:szCs w:val="24"/>
        </w:rPr>
        <w:fldChar w:fldCharType="begin"/>
      </w:r>
      <w:r w:rsidRPr="00654CB9">
        <w:rPr>
          <w:rFonts w:cs="Times New Roman"/>
          <w:szCs w:val="24"/>
        </w:rPr>
        <w:instrText xml:space="preserve"> ADDIN ZOTERO_ITEM CSL_CITATION {"citationID":"Csc8l45X","properties":{"formattedCitation":"\\super 4\\nosupersub{}","plainCitation":"4","noteIndex":0},"citationItems":[{"id":132,"uris":["http://zotero.org/users/6503767/items/LB3GBE8Z"],"itemData":{"id":132,"type":"article-journal","container-title":"British Journal of Pharmacology","DOI":"10.1038/sj.bjp.0707432","ISSN":"00071188","issue":"8","language":"en","page":"1147-1154","source":"DOI.org (Crossref)","title":"Novel approaches to developing new antibiotics for bacterial infections: Novel approaches for making new antibiotics","title-short":"Novel approaches to developing new antibiotics for bacterial infections","volume":"152","author":[{"family":"Coates","given":"A R M"},{"family":"Hu","given":"Y"}],"issued":{"date-parts":[["2007",12]]}}}],"schema":"https://github.com/citation-style-language/schema/raw/master/csl-citation.json"}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4</w:t>
      </w:r>
      <w:r w:rsidRPr="00654CB9">
        <w:rPr>
          <w:rFonts w:cs="Times New Roman"/>
          <w:szCs w:val="24"/>
        </w:rPr>
        <w:fldChar w:fldCharType="end"/>
      </w:r>
      <w:r w:rsidRPr="00654CB9">
        <w:rPr>
          <w:rFonts w:cs="Times New Roman"/>
          <w:szCs w:val="24"/>
        </w:rPr>
        <w:t xml:space="preserve"> The dogma in the field is that only compounds that completely inhibit cell growth will prove to be clinically useful. Despite intensive efforts, few new targets or drug classes have been identified for Gram-negative bacteria in the past 50 years.</w:t>
      </w:r>
      <w:r w:rsidRPr="00654CB9">
        <w:rPr>
          <w:rFonts w:cs="Times New Roman"/>
          <w:szCs w:val="24"/>
        </w:rPr>
        <w:fldChar w:fldCharType="begin"/>
      </w:r>
      <w:r w:rsidRPr="00654CB9">
        <w:rPr>
          <w:rFonts w:cs="Times New Roman"/>
          <w:szCs w:val="24"/>
        </w:rPr>
        <w:instrText xml:space="preserve"> ADDIN ZOTERO_ITEM CSL_CITATION {"citationID":"ybWKg16T","properties":{"formattedCitation":"\\super 5\\nosupersub{}","plainCitation":"5","noteIndex":0},"citationItems":[{"id":134,"uris":["http://zotero.org/users/6503767/items/J6XAMF4W"],"itemData":{"id":134,"type":"article-journal","container-title":"British Journal of Pharmacology","DOI":"10.1111/j.1476-5381.2011.01250.x","ISSN":"00071188","issue":"1","language":"en","page":"184-194","source":"DOI.org (Crossref)","title":"Novel classes of antibiotics or more of the same?","title-short":"Novel classes of antibiotics or more of the same?","volume":"163","author":[{"family":"Coates","given":"Anthony RM"},{"family":"Halls","given":"Gerry"},{"family":"Hu","given":"Yanmin"}],"issued":{"date-parts":[["2011",5]]}}}],"schema":"https://github.com/citation-style-language/schema/raw/master/csl-citation.json"}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5</w:t>
      </w:r>
      <w:r w:rsidRPr="00654CB9">
        <w:rPr>
          <w:rFonts w:cs="Times New Roman"/>
          <w:szCs w:val="24"/>
        </w:rPr>
        <w:fldChar w:fldCharType="end"/>
      </w:r>
      <w:r w:rsidRPr="00654CB9">
        <w:rPr>
          <w:rFonts w:cs="Times New Roman"/>
          <w:szCs w:val="24"/>
        </w:rPr>
        <w:t xml:space="preserve"> In fact, the ability to address resistance has resorted in large part to structural modification of known classes.</w:t>
      </w:r>
      <w:r w:rsidRPr="00654CB9">
        <w:rPr>
          <w:rFonts w:cs="Times New Roman"/>
          <w:szCs w:val="24"/>
        </w:rPr>
        <w:fldChar w:fldCharType="begin"/>
      </w:r>
      <w:r w:rsidRPr="00654CB9">
        <w:rPr>
          <w:rFonts w:cs="Times New Roman"/>
          <w:szCs w:val="24"/>
        </w:rPr>
        <w:instrText xml:space="preserve"> ADDIN ZOTERO_ITEM CSL_CITATION {"citationID":"0R35mtc1","properties":{"formattedCitation":"\\super 6\\nosupersub{}","plainCitation":"6","noteIndex":0},"citationItems":[{"id":136,"uris":["http://zotero.org/users/6503767/items/QBQHVVRJ"],"itemData":{"id":136,"type":"article-journal","container-title":"Clinical Infectious Diseases","DOI":"10.1086/420937","ISSN":"1058-4838, 1537-6591","issue":"9","journalAbbreviation":"Clinical Infectious Diseases","language":"en","page":"1279-1286","source":"DOI.org (Crossref)","title":"Trends in Antimicrobial Drug Development: Implications for the Future","title-short":"Trends in Antimicrobial Drug Development","volume":"38","author":[{"family":"Spellberg","given":"B."},{"family":"Powers","given":"J. H."},{"family":"Brass","given":"E. P."},{"family":"Miller","given":"L. G."},{"family":"Edwards","given":"J. E."}],"issued":{"date-parts":[["2004",5,1]]}}}],"schema":"https://github.com/citation-style-language/schema/raw/master/csl-citation.json"}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6</w:t>
      </w:r>
      <w:r w:rsidRPr="00654CB9">
        <w:rPr>
          <w:rFonts w:cs="Times New Roman"/>
          <w:szCs w:val="24"/>
        </w:rPr>
        <w:fldChar w:fldCharType="end"/>
      </w:r>
      <w:r w:rsidRPr="00654CB9">
        <w:rPr>
          <w:rFonts w:cs="Times New Roman"/>
          <w:szCs w:val="24"/>
        </w:rPr>
        <w:t xml:space="preserve"> This approach typically provides only short-lived solutions, as new derivatives are susceptible to the rapid evolution of cross-resistance.</w:t>
      </w:r>
      <w:r w:rsidRPr="00654CB9">
        <w:rPr>
          <w:rFonts w:cs="Times New Roman"/>
          <w:szCs w:val="24"/>
        </w:rPr>
        <w:fldChar w:fldCharType="begin"/>
      </w:r>
      <w:r w:rsidRPr="00654CB9">
        <w:rPr>
          <w:rFonts w:cs="Times New Roman"/>
          <w:szCs w:val="24"/>
        </w:rPr>
        <w:instrText xml:space="preserve"> ADDIN ZOTERO_ITEM CSL_CITATION {"citationID":"GRFy7nv2","properties":{"formattedCitation":"\\super 7\\nosupersub{}","plainCitation":"7","noteIndex":0},"citationItems":[{"id":138,"uris":["http://zotero.org/users/6503767/items/FWWFP2UW"],"itemData":{"id":138,"type":"article-journal","container-title":"Trends in Pharmacological Sciences","DOI":"10.1016/j.tips.2010.08.002","ISSN":"01656147","issue":"11","journalAbbreviation":"Trends in Pharmacological Sciences","language":"en","page":"509-515","source":"DOI.org (Crossref)","title":"The global need for effective antibiotics: challenges and recent advances","title-short":"The global need for effective antibiotics","volume":"31","author":[{"family":"Högberg","given":"Liselotte Diaz"},{"family":"Heddini","given":"Andreas"},{"family":"Cars","given":"Otto"}],"issued":{"date-parts":[["2010",11]]}}}],"schema":"https://github.com/citation-style-language/schema/raw/master/csl-citation.json"}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7</w:t>
      </w:r>
      <w:r w:rsidRPr="00654CB9">
        <w:rPr>
          <w:rFonts w:cs="Times New Roman"/>
          <w:szCs w:val="24"/>
        </w:rPr>
        <w:fldChar w:fldCharType="end"/>
      </w:r>
      <w:r w:rsidRPr="00654CB9">
        <w:rPr>
          <w:rFonts w:cs="Times New Roman"/>
          <w:szCs w:val="24"/>
        </w:rPr>
        <w:t xml:space="preserve"> The reality is that bacterial resistance now outpaces our ability to derivatize known scaffolds and advance the new entities to the clinic. Thus, new </w:t>
      </w:r>
      <w:bookmarkStart w:id="125" w:name="_Hlk519343617"/>
      <w:r w:rsidRPr="00654CB9">
        <w:rPr>
          <w:rFonts w:cs="Times New Roman"/>
          <w:szCs w:val="24"/>
        </w:rPr>
        <w:t xml:space="preserve">targets, antibacterial chemotypes, and approaches </w:t>
      </w:r>
      <w:bookmarkEnd w:id="125"/>
      <w:r w:rsidRPr="00654CB9">
        <w:rPr>
          <w:rFonts w:cs="Times New Roman"/>
          <w:szCs w:val="24"/>
        </w:rPr>
        <w:t xml:space="preserve">are desperately required. In contrast to traditional approaches, one strategy that is gaining significant traction is </w:t>
      </w:r>
      <w:bookmarkStart w:id="126" w:name="_Hlk519342185"/>
      <w:r w:rsidRPr="00654CB9">
        <w:rPr>
          <w:rFonts w:cs="Times New Roman"/>
          <w:szCs w:val="24"/>
        </w:rPr>
        <w:t>to render organisms vulnerable to host immune clearance by targeting virulence determinants or processes that control the expression of virulence factors.</w:t>
      </w:r>
      <w:r w:rsidRPr="00654CB9">
        <w:rPr>
          <w:rFonts w:cs="Times New Roman"/>
          <w:szCs w:val="24"/>
        </w:rPr>
        <w:fldChar w:fldCharType="begin"/>
      </w:r>
      <w:r w:rsidRPr="00654CB9">
        <w:rPr>
          <w:rFonts w:cs="Times New Roman"/>
          <w:szCs w:val="24"/>
        </w:rPr>
        <w:instrText xml:space="preserve"> ADDIN ZOTERO_ITEM CSL_CITATION {"citationID":"xw5Qtulj","properties":{"formattedCitation":"\\super 8\\nosupersub{}","plainCitation":"8","noteIndex":0},"citationItems":[{"id":139,"uris":["http://zotero.org/users/6503767/items/JB7YIXEH"],"itemData":{"id":139,"type":"article-journal","container-title":"Nature Reviews Drug Discovery","DOI":"10.1038/nrd3013","ISSN":"1474-1776, 1474-1784","issue":"2","journalAbbreviation":"Nat Rev Drug Discov","language":"en","page":"117-128","source":"DOI.org (Crossref)","title":"Anti-virulence strategies to combat bacteria-mediated disease","volume":"9","author":[{"family":"Rasko","given":"David A."},{"family":"Sperandio","given":"Vanessa"}],"issued":{"date-parts":[["2010",2]]}}}],"schema":"https://github.com/citation-style-language/schema/raw/master/csl-citation.json"}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8</w:t>
      </w:r>
      <w:r w:rsidRPr="00654CB9">
        <w:rPr>
          <w:rFonts w:cs="Times New Roman"/>
          <w:szCs w:val="24"/>
        </w:rPr>
        <w:fldChar w:fldCharType="end"/>
      </w:r>
      <w:r w:rsidRPr="00654CB9">
        <w:rPr>
          <w:rFonts w:cs="Times New Roman"/>
          <w:szCs w:val="24"/>
        </w:rPr>
        <w:t xml:space="preserve"> </w:t>
      </w:r>
      <w:bookmarkEnd w:id="126"/>
    </w:p>
    <w:p w14:paraId="1444CD15" w14:textId="77777777" w:rsidR="00654CB9" w:rsidRPr="00654CB9" w:rsidRDefault="00654CB9" w:rsidP="00971132">
      <w:pPr>
        <w:autoSpaceDE w:val="0"/>
        <w:autoSpaceDN w:val="0"/>
        <w:adjustRightInd w:val="0"/>
        <w:ind w:firstLine="720"/>
        <w:rPr>
          <w:rFonts w:asciiTheme="minorHAnsi" w:hAnsiTheme="minorHAnsi"/>
          <w:noProof/>
          <w:sz w:val="22"/>
        </w:rPr>
      </w:pPr>
      <w:r w:rsidRPr="00654CB9">
        <w:rPr>
          <w:rFonts w:cs="Times New Roman"/>
          <w:szCs w:val="24"/>
        </w:rPr>
        <w:t>In this context, bacterial two-component signal transduction systems (2CSTS) represent attractive targets for antibacterial drug discovery. In contrast to 2CSTS, that act usually at histidine and aspartate residues, mammalian signal transduction systems utilize kinases and phosphatases that act at tyrosine, serine, or threonine residues.</w:t>
      </w:r>
      <w:r w:rsidRPr="00654CB9">
        <w:rPr>
          <w:rFonts w:cs="Times New Roman"/>
          <w:szCs w:val="24"/>
        </w:rPr>
        <w:fldChar w:fldCharType="begin"/>
      </w:r>
      <w:r w:rsidRPr="00654CB9">
        <w:rPr>
          <w:rFonts w:cs="Times New Roman"/>
          <w:szCs w:val="24"/>
        </w:rPr>
        <w:instrText xml:space="preserve"> ADDIN ZOTERO_ITEM CSL_CITATION {"citationID":"6HDNwrP3","properties":{"formattedCitation":"\\super 9\\nosupersub{}","plainCitation":"9","noteIndex":0},"citationItems":[{"id":141,"uris":["http://zotero.org/users/6503767/items/2SINBPQ5"],"itemData":{"id":141,"type":"article-journal","abstract":"▪ Abstract  Most prokaryotic signal-transduction systems and a few eukaryotic pathways use phosphotransfer schemes involving two conserved components, a histidine protein kinase and a response regulator protein. The histidine protein kinase, which is regulated by environmental stimuli, autophosphorylates at a histidine residue, creating a high-energy phosphoryl group that is subsequently transferred to an aspartate residue in the response regulator protein. Phosphorylation induces a conformational change in the regulatory domain that results in activation of an associated domain that effects the response. The basic scheme is highly adaptable, and numerous variations have provided optimization within specific signaling systems. The domains of two-component proteins are modular and can be integrated into proteins and pathways in a variety of ways, but the core structures and activities are maintained. Thus detailed analyses of a relatively small number of representative proteins provide a foundation for understanding this large family of signaling proteins.","container-title":"Annual Review of Biochemistry","DOI":"10.1146/annurev.biochem.69.1.183","ISSN":"0066-4154, 1545-4509","issue":"1","journalAbbreviation":"Annu. Rev. Biochem.","language":"en","page":"183-215","source":"DOI.org (Crossref)","title":"Two-Component Signal Transduction","volume":"69","author":[{"family":"Stock","given":"Ann M."},{"family":"Robinson","given":"Victoria L."},{"family":"Goudreau","given":"Paul N."}],"issued":{"date-parts":[["2000",6]]}}}],"schema":"https://github.com/citation-style-language/schema/raw/master/csl-citation.json"}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9</w:t>
      </w:r>
      <w:r w:rsidRPr="00654CB9">
        <w:rPr>
          <w:rFonts w:cs="Times New Roman"/>
          <w:szCs w:val="24"/>
        </w:rPr>
        <w:fldChar w:fldCharType="end"/>
      </w:r>
      <w:r w:rsidRPr="00654CB9">
        <w:rPr>
          <w:rFonts w:cs="Times New Roman"/>
          <w:szCs w:val="24"/>
        </w:rPr>
        <w:t xml:space="preserve"> Because 2CSTS are ubiquitous in bacteria, are not found in mammals, and perform </w:t>
      </w:r>
      <w:proofErr w:type="spellStart"/>
      <w:r w:rsidRPr="00654CB9">
        <w:rPr>
          <w:rFonts w:cs="Times New Roman"/>
          <w:szCs w:val="24"/>
        </w:rPr>
        <w:t>phosphorelay</w:t>
      </w:r>
      <w:proofErr w:type="spellEnd"/>
      <w:r w:rsidRPr="00654CB9">
        <w:rPr>
          <w:rFonts w:cs="Times New Roman"/>
          <w:szCs w:val="24"/>
        </w:rPr>
        <w:t xml:space="preserve"> on different amino acids, they are excellent </w:t>
      </w:r>
      <w:r w:rsidRPr="00654CB9">
        <w:rPr>
          <w:rFonts w:cs="Times New Roman"/>
          <w:szCs w:val="24"/>
        </w:rPr>
        <w:lastRenderedPageBreak/>
        <w:t xml:space="preserve">antimicrobial targets. These systems consist of a sensory kinase (SK) and a response regulator (RR). In response to a stimulus (1, </w:t>
      </w:r>
      <w:r w:rsidRPr="00654CB9">
        <w:rPr>
          <w:rFonts w:cs="Times New Roman"/>
          <w:b/>
          <w:szCs w:val="24"/>
        </w:rPr>
        <w:t>Figure 2.1</w:t>
      </w:r>
      <w:r w:rsidRPr="00654CB9">
        <w:rPr>
          <w:rFonts w:cs="Times New Roman"/>
          <w:szCs w:val="24"/>
        </w:rPr>
        <w:t xml:space="preserve">), the SK </w:t>
      </w:r>
      <w:proofErr w:type="spellStart"/>
      <w:r w:rsidRPr="00654CB9">
        <w:rPr>
          <w:rFonts w:cs="Times New Roman"/>
          <w:szCs w:val="24"/>
        </w:rPr>
        <w:t>autophosphorylates</w:t>
      </w:r>
      <w:proofErr w:type="spellEnd"/>
      <w:r w:rsidRPr="00654CB9">
        <w:rPr>
          <w:rFonts w:cs="Times New Roman"/>
          <w:szCs w:val="24"/>
        </w:rPr>
        <w:t xml:space="preserve"> a conserved histidine (2, </w:t>
      </w:r>
      <w:r w:rsidRPr="00654CB9">
        <w:rPr>
          <w:rFonts w:cs="Times New Roman"/>
          <w:b/>
          <w:szCs w:val="24"/>
        </w:rPr>
        <w:t>Figure 2.1</w:t>
      </w:r>
      <w:r w:rsidRPr="00654CB9">
        <w:rPr>
          <w:rFonts w:cs="Times New Roman"/>
          <w:szCs w:val="24"/>
        </w:rPr>
        <w:t xml:space="preserve">), and a cognate RR catalyzes the transfer of this phosphate group to itself on an aspartic acid residue (3, </w:t>
      </w:r>
      <w:r w:rsidRPr="00654CB9">
        <w:rPr>
          <w:rFonts w:cs="Times New Roman"/>
          <w:b/>
          <w:szCs w:val="24"/>
        </w:rPr>
        <w:t>Figure 2.1</w:t>
      </w:r>
      <w:r w:rsidRPr="00654CB9">
        <w:rPr>
          <w:rFonts w:cs="Times New Roman"/>
          <w:szCs w:val="24"/>
        </w:rPr>
        <w:t>).</w:t>
      </w:r>
      <w:r w:rsidRPr="00654CB9">
        <w:rPr>
          <w:rFonts w:cs="Times New Roman"/>
          <w:szCs w:val="24"/>
        </w:rPr>
        <w:fldChar w:fldCharType="begin"/>
      </w:r>
      <w:r w:rsidRPr="00654CB9">
        <w:rPr>
          <w:rFonts w:cs="Times New Roman"/>
          <w:szCs w:val="24"/>
        </w:rPr>
        <w:instrText xml:space="preserve"> ADDIN ZOTERO_ITEM CSL_CITATION {"citationID":"aWWvdz91","properties":{"formattedCitation":"\\super 10\\nosupersub{}","plainCitation":"10","noteIndex":0},"citationItems":[{"id":142,"uris":["http://zotero.org/users/6503767/items/62NQK7EJ"],"itemData":{"id":142,"type":"article-journal","abstract":"Disruption of normal protein trafficking in the Escherichia coli cell envelope (inner membrane, periplasm, outer membrane) can activate two parallel, but distinct, signal transduction pathways. This activation stimulates the expression of a number of genes whose products function to fold or degrade the mislocalized proteins. One of these signal transduction pathways is a two-component regulatory system comprised of the histidine kinase CpxA and the response regulator, CpxR. In this study we characterized gain-of-function Cpx* mutants in order to learn more about Cpx signal transduction. Sequencing demonstrated that the cpx* mutations cluster in either the periplasmic, the transmembrane, or the H-box domain of CpxA. Intriguingly, most of the periplasmic cpx* gain-of-function mutations cluster in the central region of this domain, and one encodes a deletion of 32 amino acids. Strains harboring these mutations are rendered insensitive to a normally activating signal. In vivo and in vitro characterization of maltose-binding-protein fusions between the wild-type CpxA and a representative cpx* mutant, CpxA101, showed that the mutant CpxA is altered in phosphotransfer reactions with CpxR. Specifically, while both CpxA and CpxA101 function as autokinases and CpxR kinases, CpxA101 is devoid of a CpxR-P phosphatase activity normally present in the wild-type protein. Taken together, the data support a model for Cpx-mediated signal transduction in which the kinase/phosphatase ratio is elevated by stress. Further, the sequence and phenotypes of periplasmic cpx* mutations suggest that interactions with a periplasmic signaling molecule may normally dictate a decreased kinase/phosphatase ratio under nonstress conditions.","container-title":"Journal of Bacteriology","DOI":"10.1128/jb.179.24.7724-7733.1997","ISSN":"0021-9193, 1098-5530","issue":"24","journalAbbreviation":"J Bacteriol","language":"en","page":"7724-7733","source":"DOI.org (Crossref)","title":"Transduction of envelope stress in Escherichia coli by the Cpx two-component system","volume":"179","author":[{"family":"Raivio","given":"T L"},{"family":"Silhavy","given":"T J"}],"issued":{"date-parts":[["1997",12]]}}}],"schema":"https://github.com/citation-style-language/schema/raw/master/csl-citation.json"}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10</w:t>
      </w:r>
      <w:r w:rsidRPr="00654CB9">
        <w:rPr>
          <w:rFonts w:cs="Times New Roman"/>
          <w:szCs w:val="24"/>
        </w:rPr>
        <w:fldChar w:fldCharType="end"/>
      </w:r>
      <w:r w:rsidRPr="00654CB9">
        <w:rPr>
          <w:rFonts w:cs="Times New Roman"/>
          <w:szCs w:val="24"/>
        </w:rPr>
        <w:t xml:space="preserve"> Phosphorylation of the RR leads to a biological response, usually resulting in changes to gene transcription. Some SKs also possess phospho-RR phosphatase activity (4, </w:t>
      </w:r>
      <w:r w:rsidRPr="00654CB9">
        <w:rPr>
          <w:rFonts w:cs="Times New Roman"/>
          <w:b/>
          <w:szCs w:val="24"/>
        </w:rPr>
        <w:t>Figure 2.1</w:t>
      </w:r>
      <w:r w:rsidRPr="00654CB9">
        <w:rPr>
          <w:rFonts w:cs="Times New Roman"/>
          <w:szCs w:val="24"/>
        </w:rPr>
        <w:t>) and are thus critical to signaling duration.</w:t>
      </w:r>
      <w:r w:rsidRPr="00654CB9">
        <w:rPr>
          <w:rFonts w:cs="Times New Roman"/>
          <w:szCs w:val="24"/>
        </w:rPr>
        <w:fldChar w:fldCharType="begin"/>
      </w:r>
      <w:r w:rsidRPr="00654CB9">
        <w:rPr>
          <w:rFonts w:cs="Times New Roman"/>
          <w:szCs w:val="24"/>
        </w:rPr>
        <w:instrText xml:space="preserve"> ADDIN ZOTERO_ITEM CSL_CITATION {"citationID":"dQEahre6","properties":{"formattedCitation":"\\super 9\\nosupersub{}","plainCitation":"9","noteIndex":0},"citationItems":[{"id":141,"uris":["http://zotero.org/users/6503767/items/2SINBPQ5"],"itemData":{"id":141,"type":"article-journal","abstract":"▪ Abstract  Most prokaryotic signal-transduction systems and a few eukaryotic pathways use phosphotransfer schemes involving two conserved components, a histidine protein kinase and a response regulator protein. The histidine protein kinase, which is regulated by environmental stimuli, autophosphorylates at a histidine residue, creating a high-energy phosphoryl group that is subsequently transferred to an aspartate residue in the response regulator protein. Phosphorylation induces a conformational change in the regulatory domain that results in activation of an associated domain that effects the response. The basic scheme is highly adaptable, and numerous variations have provided optimization within specific signaling systems. The domains of two-component proteins are modular and can be integrated into proteins and pathways in a variety of ways, but the core structures and activities are maintained. Thus detailed analyses of a relatively small number of representative proteins provide a foundation for understanding this large family of signaling proteins.","container-title":"Annual Review of Biochemistry","DOI":"10.1146/annurev.biochem.69.1.183","ISSN":"0066-4154, 1545-4509","issue":"1","journalAbbreviation":"Annu. Rev. Biochem.","language":"en","page":"183-215","source":"DOI.org (Crossref)","title":"Two-Component Signal Transduction","volume":"69","author":[{"family":"Stock","given":"Ann M."},{"family":"Robinson","given":"Victoria L."},{"family":"Goudreau","given":"Paul N."}],"issued":{"date-parts":[["2000",6]]}}}],"schema":"https://github.com/citation-style-language/schema/raw/master/csl-citation.json"}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9</w:t>
      </w:r>
      <w:r w:rsidRPr="00654CB9">
        <w:rPr>
          <w:rFonts w:cs="Times New Roman"/>
          <w:szCs w:val="24"/>
        </w:rPr>
        <w:fldChar w:fldCharType="end"/>
      </w:r>
      <w:r w:rsidRPr="00654CB9">
        <w:rPr>
          <w:rFonts w:cs="Times New Roman"/>
          <w:szCs w:val="24"/>
        </w:rPr>
        <w:t xml:space="preserve"> Loss of SK phosphatase activity leads to persistent RR phosphorylation and thus constitutive activation of the pathway.</w:t>
      </w:r>
      <w:r w:rsidRPr="00654CB9">
        <w:rPr>
          <w:rFonts w:asciiTheme="minorHAnsi" w:hAnsiTheme="minorHAnsi"/>
          <w:noProof/>
          <w:sz w:val="22"/>
        </w:rPr>
        <w:t xml:space="preserve"> </w:t>
      </w:r>
    </w:p>
    <w:p w14:paraId="2E7C4C90" w14:textId="77777777" w:rsidR="00654CB9" w:rsidRPr="00654CB9" w:rsidRDefault="00654CB9" w:rsidP="00654CB9">
      <w:pPr>
        <w:autoSpaceDE w:val="0"/>
        <w:autoSpaceDN w:val="0"/>
        <w:adjustRightInd w:val="0"/>
        <w:spacing w:after="0"/>
        <w:rPr>
          <w:rFonts w:cs="Times New Roman"/>
          <w:szCs w:val="24"/>
        </w:rPr>
      </w:pPr>
      <w:r w:rsidRPr="00654CB9">
        <w:rPr>
          <w:rFonts w:asciiTheme="minorHAnsi" w:hAnsiTheme="minorHAnsi"/>
          <w:noProof/>
          <w:sz w:val="22"/>
        </w:rPr>
        <mc:AlternateContent>
          <mc:Choice Requires="wps">
            <w:drawing>
              <wp:inline distT="0" distB="0" distL="0" distR="0" wp14:anchorId="0853E3A7" wp14:editId="42A189C2">
                <wp:extent cx="5943600" cy="3697357"/>
                <wp:effectExtent l="0" t="0" r="19050" b="17780"/>
                <wp:docPr id="7" name="Text Box 2" descr="CpxRA signaling overview.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697357"/>
                        </a:xfrm>
                        <a:prstGeom prst="rect">
                          <a:avLst/>
                        </a:prstGeom>
                        <a:solidFill>
                          <a:srgbClr val="FFFFFF"/>
                        </a:solidFill>
                        <a:ln w="9525">
                          <a:solidFill>
                            <a:srgbClr val="000000"/>
                          </a:solidFill>
                          <a:miter lim="800000"/>
                          <a:headEnd/>
                          <a:tailEnd/>
                        </a:ln>
                      </wps:spPr>
                      <wps:txbx>
                        <w:txbxContent>
                          <w:p w14:paraId="5E6ADBE8" w14:textId="77777777" w:rsidR="00654CB9" w:rsidRDefault="00654CB9" w:rsidP="00654CB9">
                            <w:pPr>
                              <w:keepNext/>
                            </w:pPr>
                            <w:r>
                              <w:rPr>
                                <w:noProof/>
                              </w:rPr>
                              <w:drawing>
                                <wp:inline distT="0" distB="0" distL="0" distR="0" wp14:anchorId="4E784E88" wp14:editId="4CA8585E">
                                  <wp:extent cx="5667375" cy="2280920"/>
                                  <wp:effectExtent l="0" t="0" r="9525" b="5080"/>
                                  <wp:docPr id="192" name="Picture 192" descr="CpxRA signaling over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CpxRA signaling overview. "/>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r="4647"/>
                                          <a:stretch/>
                                        </pic:blipFill>
                                        <pic:spPr bwMode="auto">
                                          <a:xfrm>
                                            <a:off x="0" y="0"/>
                                            <a:ext cx="5667375" cy="2280920"/>
                                          </a:xfrm>
                                          <a:prstGeom prst="rect">
                                            <a:avLst/>
                                          </a:prstGeom>
                                          <a:noFill/>
                                          <a:ln>
                                            <a:noFill/>
                                          </a:ln>
                                          <a:extLst>
                                            <a:ext uri="{53640926-AAD7-44D8-BBD7-CCE9431645EC}">
                                              <a14:shadowObscured xmlns:a14="http://schemas.microsoft.com/office/drawing/2010/main"/>
                                            </a:ext>
                                          </a:extLst>
                                        </pic:spPr>
                                      </pic:pic>
                                    </a:graphicData>
                                  </a:graphic>
                                </wp:inline>
                              </w:drawing>
                            </w:r>
                          </w:p>
                          <w:p w14:paraId="448340FA" w14:textId="688D705E" w:rsidR="00654CB9" w:rsidRPr="0031781A" w:rsidRDefault="00654CB9" w:rsidP="00DF51F5">
                            <w:pPr>
                              <w:pStyle w:val="Caption"/>
                            </w:pPr>
                            <w:bookmarkStart w:id="127" w:name="_Toc97309246"/>
                            <w:bookmarkStart w:id="128" w:name="_Toc100748295"/>
                            <w:r>
                              <w:t>Figure 2.</w:t>
                            </w:r>
                            <w:fldSimple w:instr=" SEQ Figure \* ARABIC \r1 ">
                              <w:r w:rsidR="00AA5AAC">
                                <w:rPr>
                                  <w:noProof/>
                                </w:rPr>
                                <w:t>1</w:t>
                              </w:r>
                            </w:fldSimple>
                            <w:r>
                              <w:t xml:space="preserve">. </w:t>
                            </w:r>
                            <w:r w:rsidRPr="009363E4">
                              <w:rPr>
                                <w:rFonts w:cs="Times New Roman"/>
                                <w:szCs w:val="24"/>
                              </w:rPr>
                              <w:t>CpxRA signaling overview.</w:t>
                            </w:r>
                            <w:bookmarkEnd w:id="127"/>
                            <w:bookmarkEnd w:id="128"/>
                            <w:r w:rsidRPr="0031781A">
                              <w:t xml:space="preserve"> </w:t>
                            </w:r>
                          </w:p>
                          <w:p w14:paraId="7A608DA9" w14:textId="77777777" w:rsidR="00654CB9" w:rsidRPr="009363E4" w:rsidRDefault="00654CB9" w:rsidP="00654CB9">
                            <w:pPr>
                              <w:spacing w:after="0" w:line="240" w:lineRule="auto"/>
                              <w:contextualSpacing/>
                              <w:rPr>
                                <w:rFonts w:cs="Times New Roman"/>
                                <w:szCs w:val="24"/>
                              </w:rPr>
                            </w:pPr>
                            <w:r w:rsidRPr="009363E4">
                              <w:rPr>
                                <w:rFonts w:cs="Times New Roman"/>
                                <w:szCs w:val="24"/>
                              </w:rPr>
                              <w:t xml:space="preserve">In response to membrane stress (1), </w:t>
                            </w:r>
                            <w:proofErr w:type="spellStart"/>
                            <w:r w:rsidRPr="009363E4">
                              <w:rPr>
                                <w:rFonts w:cs="Times New Roman"/>
                                <w:szCs w:val="24"/>
                              </w:rPr>
                              <w:t>CpxA</w:t>
                            </w:r>
                            <w:proofErr w:type="spellEnd"/>
                            <w:r w:rsidRPr="009363E4">
                              <w:rPr>
                                <w:rFonts w:cs="Times New Roman"/>
                                <w:szCs w:val="24"/>
                              </w:rPr>
                              <w:t xml:space="preserve"> (SK) undergoes autophosphorylation at a conserved His residue in an ATP-dependent manner (2). </w:t>
                            </w:r>
                            <w:proofErr w:type="spellStart"/>
                            <w:r w:rsidRPr="009363E4">
                              <w:rPr>
                                <w:rFonts w:cs="Times New Roman"/>
                                <w:szCs w:val="24"/>
                              </w:rPr>
                              <w:t>CpxR</w:t>
                            </w:r>
                            <w:proofErr w:type="spellEnd"/>
                            <w:r w:rsidRPr="009363E4">
                              <w:rPr>
                                <w:rFonts w:cs="Times New Roman"/>
                                <w:szCs w:val="24"/>
                              </w:rPr>
                              <w:t xml:space="preserve"> (RR) then catalyzes the transfer of the phosphate group to a cognate Asp residue (3), resulting in </w:t>
                            </w:r>
                            <w:proofErr w:type="spellStart"/>
                            <w:r w:rsidRPr="009363E4">
                              <w:rPr>
                                <w:rFonts w:cs="Times New Roman"/>
                                <w:szCs w:val="24"/>
                              </w:rPr>
                              <w:t>CpxR</w:t>
                            </w:r>
                            <w:proofErr w:type="spellEnd"/>
                            <w:r w:rsidRPr="009363E4">
                              <w:rPr>
                                <w:rFonts w:cs="Times New Roman"/>
                                <w:szCs w:val="24"/>
                              </w:rPr>
                              <w:t xml:space="preserve">-P and activation. </w:t>
                            </w:r>
                            <w:proofErr w:type="spellStart"/>
                            <w:r w:rsidRPr="009363E4">
                              <w:rPr>
                                <w:rFonts w:cs="Times New Roman"/>
                                <w:szCs w:val="24"/>
                              </w:rPr>
                              <w:t>CpxA</w:t>
                            </w:r>
                            <w:proofErr w:type="spellEnd"/>
                            <w:r w:rsidRPr="009363E4">
                              <w:rPr>
                                <w:rFonts w:cs="Times New Roman"/>
                                <w:szCs w:val="24"/>
                              </w:rPr>
                              <w:t xml:space="preserve"> exhibits phosphatase activity and can dephosphorylate </w:t>
                            </w:r>
                            <w:proofErr w:type="spellStart"/>
                            <w:r w:rsidRPr="009363E4">
                              <w:rPr>
                                <w:rFonts w:cs="Times New Roman"/>
                                <w:szCs w:val="24"/>
                              </w:rPr>
                              <w:t>CpxR</w:t>
                            </w:r>
                            <w:proofErr w:type="spellEnd"/>
                            <w:r w:rsidRPr="009363E4">
                              <w:rPr>
                                <w:rFonts w:cs="Times New Roman"/>
                                <w:szCs w:val="24"/>
                              </w:rPr>
                              <w:t>-P (4).</w:t>
                            </w:r>
                          </w:p>
                          <w:p w14:paraId="65277A3D" w14:textId="77777777" w:rsidR="00654CB9" w:rsidRDefault="00654CB9" w:rsidP="00654CB9">
                            <w:pPr>
                              <w:jc w:val="center"/>
                            </w:pPr>
                          </w:p>
                        </w:txbxContent>
                      </wps:txbx>
                      <wps:bodyPr rot="0" vert="horz" wrap="square" lIns="91440" tIns="45720" rIns="91440" bIns="45720" anchor="t" anchorCtr="0">
                        <a:noAutofit/>
                      </wps:bodyPr>
                    </wps:wsp>
                  </a:graphicData>
                </a:graphic>
              </wp:inline>
            </w:drawing>
          </mc:Choice>
          <mc:Fallback>
            <w:pict>
              <v:shape w14:anchorId="0853E3A7" id="_x0000_s1042" type="#_x0000_t202" alt="CpxRA signaling overview. " style="width:468pt;height:29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">
                <v:textbox>
                  <w:txbxContent>
                    <w:p w14:paraId="5E6ADBE8" w14:textId="77777777" w:rsidR="00654CB9" w:rsidRDefault="00654CB9" w:rsidP="00654CB9">
                      <w:pPr>
                        <w:keepNext/>
                      </w:pPr>
                      <w:r>
                        <w:rPr>
                          <w:noProof/>
                        </w:rPr>
                        <w:drawing>
                          <wp:inline distT="0" distB="0" distL="0" distR="0" wp14:anchorId="4E784E88" wp14:editId="4CA8585E">
                            <wp:extent cx="5667375" cy="2280920"/>
                            <wp:effectExtent l="0" t="0" r="9525" b="5080"/>
                            <wp:docPr id="192" name="Picture 192" descr="CpxRA signaling over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CpxRA signaling overview. "/>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r="4647"/>
                                    <a:stretch/>
                                  </pic:blipFill>
                                  <pic:spPr bwMode="auto">
                                    <a:xfrm>
                                      <a:off x="0" y="0"/>
                                      <a:ext cx="5667375" cy="2280920"/>
                                    </a:xfrm>
                                    <a:prstGeom prst="rect">
                                      <a:avLst/>
                                    </a:prstGeom>
                                    <a:noFill/>
                                    <a:ln>
                                      <a:noFill/>
                                    </a:ln>
                                    <a:extLst>
                                      <a:ext uri="{53640926-AAD7-44D8-BBD7-CCE9431645EC}">
                                        <a14:shadowObscured xmlns:a14="http://schemas.microsoft.com/office/drawing/2010/main"/>
                                      </a:ext>
                                    </a:extLst>
                                  </pic:spPr>
                                </pic:pic>
                              </a:graphicData>
                            </a:graphic>
                          </wp:inline>
                        </w:drawing>
                      </w:r>
                    </w:p>
                    <w:p w14:paraId="448340FA" w14:textId="688D705E" w:rsidR="00654CB9" w:rsidRPr="0031781A" w:rsidRDefault="00654CB9" w:rsidP="00DF51F5">
                      <w:pPr>
                        <w:pStyle w:val="Caption"/>
                      </w:pPr>
                      <w:bookmarkStart w:id="129" w:name="_Toc97309246"/>
                      <w:bookmarkStart w:id="130" w:name="_Toc100748295"/>
                      <w:r>
                        <w:t>Figure 2.</w:t>
                      </w:r>
                      <w:fldSimple w:instr=" SEQ Figure \* ARABIC \r1 ">
                        <w:r w:rsidR="00AA5AAC">
                          <w:rPr>
                            <w:noProof/>
                          </w:rPr>
                          <w:t>1</w:t>
                        </w:r>
                      </w:fldSimple>
                      <w:r>
                        <w:t xml:space="preserve">. </w:t>
                      </w:r>
                      <w:r w:rsidRPr="009363E4">
                        <w:rPr>
                          <w:rFonts w:cs="Times New Roman"/>
                          <w:szCs w:val="24"/>
                        </w:rPr>
                        <w:t>CpxRA signaling overview.</w:t>
                      </w:r>
                      <w:bookmarkEnd w:id="129"/>
                      <w:bookmarkEnd w:id="130"/>
                      <w:r w:rsidRPr="0031781A">
                        <w:t xml:space="preserve"> </w:t>
                      </w:r>
                    </w:p>
                    <w:p w14:paraId="7A608DA9" w14:textId="77777777" w:rsidR="00654CB9" w:rsidRPr="009363E4" w:rsidRDefault="00654CB9" w:rsidP="00654CB9">
                      <w:pPr>
                        <w:spacing w:after="0" w:line="240" w:lineRule="auto"/>
                        <w:contextualSpacing/>
                        <w:rPr>
                          <w:rFonts w:cs="Times New Roman"/>
                          <w:szCs w:val="24"/>
                        </w:rPr>
                      </w:pPr>
                      <w:r w:rsidRPr="009363E4">
                        <w:rPr>
                          <w:rFonts w:cs="Times New Roman"/>
                          <w:szCs w:val="24"/>
                        </w:rPr>
                        <w:t xml:space="preserve">In response to membrane stress (1), </w:t>
                      </w:r>
                      <w:proofErr w:type="spellStart"/>
                      <w:r w:rsidRPr="009363E4">
                        <w:rPr>
                          <w:rFonts w:cs="Times New Roman"/>
                          <w:szCs w:val="24"/>
                        </w:rPr>
                        <w:t>CpxA</w:t>
                      </w:r>
                      <w:proofErr w:type="spellEnd"/>
                      <w:r w:rsidRPr="009363E4">
                        <w:rPr>
                          <w:rFonts w:cs="Times New Roman"/>
                          <w:szCs w:val="24"/>
                        </w:rPr>
                        <w:t xml:space="preserve"> (SK) undergoes autophosphorylation at a conserved His residue in an ATP-dependent manner (2). </w:t>
                      </w:r>
                      <w:proofErr w:type="spellStart"/>
                      <w:r w:rsidRPr="009363E4">
                        <w:rPr>
                          <w:rFonts w:cs="Times New Roman"/>
                          <w:szCs w:val="24"/>
                        </w:rPr>
                        <w:t>CpxR</w:t>
                      </w:r>
                      <w:proofErr w:type="spellEnd"/>
                      <w:r w:rsidRPr="009363E4">
                        <w:rPr>
                          <w:rFonts w:cs="Times New Roman"/>
                          <w:szCs w:val="24"/>
                        </w:rPr>
                        <w:t xml:space="preserve"> (RR) then catalyzes the transfer of the phosphate group to a cognate Asp residue (3), resulting in </w:t>
                      </w:r>
                      <w:proofErr w:type="spellStart"/>
                      <w:r w:rsidRPr="009363E4">
                        <w:rPr>
                          <w:rFonts w:cs="Times New Roman"/>
                          <w:szCs w:val="24"/>
                        </w:rPr>
                        <w:t>CpxR</w:t>
                      </w:r>
                      <w:proofErr w:type="spellEnd"/>
                      <w:r w:rsidRPr="009363E4">
                        <w:rPr>
                          <w:rFonts w:cs="Times New Roman"/>
                          <w:szCs w:val="24"/>
                        </w:rPr>
                        <w:t xml:space="preserve">-P and activation. </w:t>
                      </w:r>
                      <w:proofErr w:type="spellStart"/>
                      <w:r w:rsidRPr="009363E4">
                        <w:rPr>
                          <w:rFonts w:cs="Times New Roman"/>
                          <w:szCs w:val="24"/>
                        </w:rPr>
                        <w:t>CpxA</w:t>
                      </w:r>
                      <w:proofErr w:type="spellEnd"/>
                      <w:r w:rsidRPr="009363E4">
                        <w:rPr>
                          <w:rFonts w:cs="Times New Roman"/>
                          <w:szCs w:val="24"/>
                        </w:rPr>
                        <w:t xml:space="preserve"> exhibits phosphatase activity and can dephosphorylate </w:t>
                      </w:r>
                      <w:proofErr w:type="spellStart"/>
                      <w:r w:rsidRPr="009363E4">
                        <w:rPr>
                          <w:rFonts w:cs="Times New Roman"/>
                          <w:szCs w:val="24"/>
                        </w:rPr>
                        <w:t>CpxR</w:t>
                      </w:r>
                      <w:proofErr w:type="spellEnd"/>
                      <w:r w:rsidRPr="009363E4">
                        <w:rPr>
                          <w:rFonts w:cs="Times New Roman"/>
                          <w:szCs w:val="24"/>
                        </w:rPr>
                        <w:t>-P (4).</w:t>
                      </w:r>
                    </w:p>
                    <w:p w14:paraId="65277A3D" w14:textId="77777777" w:rsidR="00654CB9" w:rsidRDefault="00654CB9" w:rsidP="00654CB9">
                      <w:pPr>
                        <w:jc w:val="center"/>
                      </w:pPr>
                    </w:p>
                  </w:txbxContent>
                </v:textbox>
                <w10:anchorlock/>
              </v:shape>
            </w:pict>
          </mc:Fallback>
        </mc:AlternateContent>
      </w:r>
    </w:p>
    <w:p w14:paraId="7191F10C" w14:textId="77777777" w:rsidR="00654CB9" w:rsidRPr="00654CB9" w:rsidRDefault="00654CB9" w:rsidP="00654CB9">
      <w:pPr>
        <w:spacing w:after="0" w:line="240" w:lineRule="auto"/>
        <w:contextualSpacing/>
        <w:jc w:val="center"/>
        <w:rPr>
          <w:rFonts w:cs="Times New Roman"/>
          <w:b/>
          <w:sz w:val="18"/>
          <w:szCs w:val="18"/>
        </w:rPr>
      </w:pPr>
    </w:p>
    <w:p w14:paraId="06D9572B" w14:textId="77777777" w:rsidR="00654CB9" w:rsidRPr="00654CB9" w:rsidRDefault="00654CB9" w:rsidP="00654CB9">
      <w:pPr>
        <w:autoSpaceDE w:val="0"/>
        <w:autoSpaceDN w:val="0"/>
        <w:adjustRightInd w:val="0"/>
        <w:spacing w:after="0"/>
        <w:ind w:firstLine="720"/>
        <w:rPr>
          <w:rFonts w:cs="Times New Roman"/>
          <w:szCs w:val="24"/>
        </w:rPr>
      </w:pPr>
      <w:r w:rsidRPr="00654CB9">
        <w:rPr>
          <w:rFonts w:cs="Times New Roman"/>
          <w:szCs w:val="24"/>
        </w:rPr>
        <w:t xml:space="preserve">CpxRA, (SK = </w:t>
      </w:r>
      <w:proofErr w:type="spellStart"/>
      <w:r w:rsidRPr="00654CB9">
        <w:rPr>
          <w:rFonts w:cs="Times New Roman"/>
          <w:szCs w:val="24"/>
        </w:rPr>
        <w:t>CpxA</w:t>
      </w:r>
      <w:proofErr w:type="spellEnd"/>
      <w:r w:rsidRPr="00654CB9">
        <w:rPr>
          <w:rFonts w:cs="Times New Roman"/>
          <w:szCs w:val="24"/>
        </w:rPr>
        <w:t xml:space="preserve">; RR = </w:t>
      </w:r>
      <w:proofErr w:type="spellStart"/>
      <w:r w:rsidRPr="00654CB9">
        <w:rPr>
          <w:rFonts w:cs="Times New Roman"/>
          <w:szCs w:val="24"/>
        </w:rPr>
        <w:t>CpxR</w:t>
      </w:r>
      <w:proofErr w:type="spellEnd"/>
      <w:r w:rsidRPr="00654CB9">
        <w:rPr>
          <w:rFonts w:cs="Times New Roman"/>
          <w:szCs w:val="24"/>
        </w:rPr>
        <w:t xml:space="preserve">) is a 2CSTS found in many drug-resistant Gram-negative bacteria, including all members of the </w:t>
      </w:r>
      <w:r w:rsidRPr="00654CB9">
        <w:rPr>
          <w:rFonts w:cs="Times New Roman"/>
          <w:i/>
          <w:iCs/>
          <w:szCs w:val="24"/>
        </w:rPr>
        <w:t>Enterobacteriaceae</w:t>
      </w:r>
      <w:r w:rsidRPr="00654CB9">
        <w:rPr>
          <w:rFonts w:cs="Times New Roman"/>
          <w:szCs w:val="24"/>
        </w:rPr>
        <w:t xml:space="preserve">, </w:t>
      </w:r>
      <w:r w:rsidRPr="00654CB9">
        <w:rPr>
          <w:rFonts w:cs="Times New Roman"/>
          <w:i/>
          <w:iCs/>
          <w:szCs w:val="24"/>
        </w:rPr>
        <w:t xml:space="preserve">Neisseria gonorrhoeae, </w:t>
      </w:r>
      <w:r w:rsidRPr="00654CB9">
        <w:rPr>
          <w:rFonts w:cs="Times New Roman"/>
          <w:szCs w:val="24"/>
        </w:rPr>
        <w:t xml:space="preserve">and </w:t>
      </w:r>
      <w:proofErr w:type="spellStart"/>
      <w:r w:rsidRPr="00654CB9">
        <w:rPr>
          <w:rFonts w:cs="Times New Roman"/>
          <w:i/>
          <w:iCs/>
          <w:szCs w:val="24"/>
        </w:rPr>
        <w:t>Haemophilus</w:t>
      </w:r>
      <w:proofErr w:type="spellEnd"/>
      <w:r w:rsidRPr="00654CB9">
        <w:rPr>
          <w:rFonts w:cs="Times New Roman"/>
          <w:i/>
          <w:iCs/>
          <w:szCs w:val="24"/>
        </w:rPr>
        <w:t xml:space="preserve"> </w:t>
      </w:r>
      <w:proofErr w:type="spellStart"/>
      <w:r w:rsidRPr="00654CB9">
        <w:rPr>
          <w:rFonts w:cs="Times New Roman"/>
          <w:i/>
          <w:iCs/>
          <w:szCs w:val="24"/>
        </w:rPr>
        <w:t>ducreyi</w:t>
      </w:r>
      <w:proofErr w:type="spellEnd"/>
      <w:r w:rsidRPr="00654CB9">
        <w:rPr>
          <w:rFonts w:cs="Times New Roman"/>
          <w:szCs w:val="24"/>
        </w:rPr>
        <w:t>. A major function of CpxRA is to alleviate membrane stress by reducing protein traffic through the cell membrane.</w:t>
      </w:r>
      <w:r w:rsidRPr="00654CB9">
        <w:rPr>
          <w:rFonts w:cs="Times New Roman"/>
          <w:szCs w:val="24"/>
        </w:rPr>
        <w:fldChar w:fldCharType="begin"/>
      </w:r>
      <w:r w:rsidRPr="00654CB9">
        <w:rPr>
          <w:rFonts w:cs="Times New Roman"/>
          <w:szCs w:val="24"/>
        </w:rPr>
        <w:instrText xml:space="preserve"> ADDIN ZOTERO_ITEM CSL_CITATION {"citationID":"VKZhKsNi","properties":{"formattedCitation":"\\super 10\\nosupersub{}","plainCitation":"10","noteIndex":0},"citationItems":[{"id":142,"uris":["http://zotero.org/users/6503767/items/62NQK7EJ"],"itemData":{"id":142,"type":"article-journal","abstract":"Disruption of normal protein trafficking in the Escherichia coli cell envelope (inner membrane, periplasm, outer membrane) can activate two parallel, but distinct, signal transduction pathways. This activation stimulates the expression of a number of genes whose products function to fold or degrade the mislocalized proteins. One of these signal transduction pathways is a two-component regulatory system comprised of the histidine kinase CpxA and the response regulator, CpxR. In this study we characterized gain-of-function Cpx* mutants in order to learn more about Cpx signal transduction. Sequencing demonstrated that the cpx* mutations cluster in either the periplasmic, the transmembrane, or the H-box domain of CpxA. Intriguingly, most of the periplasmic cpx* gain-of-function mutations cluster in the central region of this domain, and one encodes a deletion of 32 amino acids. Strains harboring these mutations are rendered insensitive to a normally activating signal. In vivo and in vitro characterization of maltose-binding-protein fusions between the wild-type CpxA and a representative cpx* mutant, CpxA101, showed that the mutant CpxA is altered in phosphotransfer reactions with CpxR. Specifically, while both CpxA and CpxA101 function as autokinases and CpxR kinases, CpxA101 is devoid of a CpxR-P phosphatase activity normally present in the wild-type protein. Taken together, the data support a model for Cpx-mediated signal transduction in which the kinase/phosphatase ratio is elevated by stress. Further, the sequence and phenotypes of periplasmic cpx* mutations suggest that interactions with a periplasmic signaling molecule may normally dictate a decreased kinase/phosphatase ratio under nonstress conditions.","container-title":"Journal of Bacteriology","DOI":"10.1128/jb.179.24.7724-7733.1997","ISSN":"0021-9193, 1098-5530","issue":"24","journalAbbreviation":"J Bacteriol","language":"en","page":"7724-7733","source":"DOI.org (Crossref)","title":"Transduction of envelope stress in Escherichia coli by the Cpx two-component system","volume":"179","author":[{"family":"Raivio","given":"T L"},{"family":"Silhavy","given":"T J"}],"issued":{"date-parts":[["1997",12]]}}}],"schema":"https://github.com/citation-style-language/schema/raw/master/csl-citation.json"}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10</w:t>
      </w:r>
      <w:r w:rsidRPr="00654CB9">
        <w:rPr>
          <w:rFonts w:cs="Times New Roman"/>
          <w:szCs w:val="24"/>
        </w:rPr>
        <w:fldChar w:fldCharType="end"/>
      </w:r>
      <w:r w:rsidRPr="00654CB9">
        <w:rPr>
          <w:rFonts w:cs="Times New Roman"/>
          <w:szCs w:val="24"/>
        </w:rPr>
        <w:t xml:space="preserve"> Activation of CpxRA reduces the expression of </w:t>
      </w:r>
      <w:r w:rsidRPr="00654CB9">
        <w:rPr>
          <w:rFonts w:cs="Times New Roman"/>
          <w:szCs w:val="24"/>
        </w:rPr>
        <w:lastRenderedPageBreak/>
        <w:t xml:space="preserve">virulence factors, which must traverse the cytoplasmic membrane to reach the cell surface. </w:t>
      </w:r>
      <w:bookmarkStart w:id="131" w:name="_Hlk519343221"/>
      <w:r w:rsidRPr="00654CB9">
        <w:rPr>
          <w:rFonts w:cs="Times New Roman"/>
          <w:szCs w:val="24"/>
        </w:rPr>
        <w:t xml:space="preserve">Uncontrolled, genetic activation of CpxRA abolishes the virulence of </w:t>
      </w:r>
      <w:r w:rsidRPr="00654CB9">
        <w:rPr>
          <w:rFonts w:cs="Times New Roman"/>
          <w:i/>
          <w:iCs/>
          <w:szCs w:val="24"/>
        </w:rPr>
        <w:t xml:space="preserve">Salmonella enterica </w:t>
      </w:r>
      <w:r w:rsidRPr="00654CB9">
        <w:rPr>
          <w:rFonts w:cs="Times New Roman"/>
          <w:szCs w:val="24"/>
        </w:rPr>
        <w:t>serovar Typhimurium in mice</w:t>
      </w:r>
      <w:bookmarkEnd w:id="131"/>
      <w:r w:rsidRPr="00654CB9">
        <w:rPr>
          <w:rFonts w:cs="Times New Roman"/>
          <w:szCs w:val="24"/>
        </w:rPr>
        <w:t>.</w:t>
      </w:r>
      <w:r w:rsidRPr="00654CB9">
        <w:rPr>
          <w:rFonts w:cs="Times New Roman"/>
          <w:szCs w:val="24"/>
        </w:rPr>
        <w:fldChar w:fldCharType="begin"/>
      </w:r>
      <w:r w:rsidRPr="00654CB9">
        <w:rPr>
          <w:rFonts w:cs="Times New Roman"/>
          <w:szCs w:val="24"/>
        </w:rPr>
        <w:instrText xml:space="preserve"> ADDIN ZOTERO_ITEM CSL_CITATION {"citationID":"hjEB3o3s","properties":{"formattedCitation":"\\super 11\\nosupersub{}","plainCitation":"11","noteIndex":0},"citationItems":[{"id":150,"uris":["http://zotero.org/users/6503767/items/ZCZIFQ45"],"itemData":{"id":150,"type":"article-journal","abstract":"ABSTRACT\n            \n              The CpxAR (Cpx) two-component regulator controls the expression of genes in response to a variety of environmental cues. The Cpx regulator has been implicated in the virulence of several gram-negative pathogens, although a role for Cpx in vivo has not been demonstrated directly. Here we investigate whether positive or negative control of gene expression by Cpx is important for the pathogenesis of\n              Salmonella enterica\n              serotype Typhimurium. The Cpx signal pathway in serotype Typhimurium was disrupted by insertional inactivation of the\n              cpxA\n              and\n              cpxR\n              genes. We also constitutively activated the Cpx pathway by making an internal in-frame deletion in\n              cpxA\n              (a\n              cpxA*\n              mutation). Activation of the Cpx pathway inhibited induction of the envelope stress response pathway controlled by the alternative sigma factor σ\n              E\n              (encoded by\n              rpoE\n              ). Conversely, the Cpx pathway was highly up-regulated (&gt;40-fold) in a serotype Typhimurium\n              rpoE\n              mutant. The\n              cpxA\n              * mutation, but not the\n              cpxA\n              or the\n              cpxR\n              mutation, significantly reduced the capacity of serotype Typhimurium to adhere to and invade eucaryotic cells, although intracellular replication was not affected. The\n              cpxA\n              and\n              cpxA*\n              mutations significantly impaired the ability of serotype Typhimurium to grow in vivo in mice. To our knowledge, this is the first demonstration that the Cpx system is important for a bacterial pathogen in vivo.","container-title":"Infection and Immunity","DOI":"10.1128/IAI.72.8.4654-4661.2004","ISSN":"0019-9567, 1098-5522","issue":"8","journalAbbreviation":"Infect Immun","language":"en","page":"4654-4661","source":"DOI.org (Crossref)","title":"Role of the Two-Component Regulator CpxAR in the Virulence of &lt;i&gt;Salmonella enterica&lt;/i&gt; Serotype Typhimurium","volume":"72","author":[{"family":"Humphreys","given":"Sue"},{"family":"Rowley","given":"Gary"},{"family":"Stevenson","given":"Andrew"},{"family":"Anjum","given":"Muna F."},{"family":"Woodward","given":"Martin J."},{"family":"Gilbert","given":"Stephen"},{"family":"Kormanec","given":"Jan"},{"family":"Roberts","given":"Mark"}],"issued":{"date-parts":[["2004",8]]}}}],"schema":"https://github.com/citation-style-language/schema/raw/master/csl-citation.json"}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11</w:t>
      </w:r>
      <w:r w:rsidRPr="00654CB9">
        <w:rPr>
          <w:rFonts w:cs="Times New Roman"/>
          <w:szCs w:val="24"/>
        </w:rPr>
        <w:fldChar w:fldCharType="end"/>
      </w:r>
      <w:r w:rsidRPr="00654CB9">
        <w:rPr>
          <w:rFonts w:cs="Times New Roman"/>
          <w:szCs w:val="24"/>
        </w:rPr>
        <w:t xml:space="preserve"> Additionally, genetic activation of CpxRA abolishes the ability of </w:t>
      </w:r>
      <w:r w:rsidRPr="00654CB9">
        <w:rPr>
          <w:rFonts w:cs="Times New Roman"/>
          <w:i/>
          <w:iCs/>
          <w:szCs w:val="24"/>
        </w:rPr>
        <w:t xml:space="preserve">H. </w:t>
      </w:r>
      <w:proofErr w:type="spellStart"/>
      <w:r w:rsidRPr="00654CB9">
        <w:rPr>
          <w:rFonts w:cs="Times New Roman"/>
          <w:i/>
          <w:iCs/>
          <w:szCs w:val="24"/>
        </w:rPr>
        <w:t>ducreyi</w:t>
      </w:r>
      <w:proofErr w:type="spellEnd"/>
      <w:r w:rsidRPr="00654CB9">
        <w:rPr>
          <w:rFonts w:cs="Times New Roman"/>
          <w:i/>
          <w:iCs/>
          <w:szCs w:val="24"/>
        </w:rPr>
        <w:t xml:space="preserve"> </w:t>
      </w:r>
      <w:r w:rsidRPr="00654CB9">
        <w:rPr>
          <w:rFonts w:cs="Times New Roman"/>
          <w:szCs w:val="24"/>
        </w:rPr>
        <w:t>to cause disease in human volunteers,</w:t>
      </w:r>
      <w:r w:rsidRPr="00654CB9">
        <w:rPr>
          <w:rFonts w:cs="Times New Roman"/>
          <w:szCs w:val="24"/>
        </w:rPr>
        <w:fldChar w:fldCharType="begin"/>
      </w:r>
      <w:r w:rsidRPr="00654CB9">
        <w:rPr>
          <w:rFonts w:cs="Times New Roman"/>
          <w:szCs w:val="24"/>
        </w:rPr>
        <w:instrText xml:space="preserve"> ADDIN ZOTERO_ITEM CSL_CITATION {"citationID":"BVE8IPJa","properties":{"formattedCitation":"\\super 12\\nosupersub{}","plainCitation":"12","noteIndex":0},"citationItems":[{"id":152,"uris":["http://zotero.org/users/6503767/items/5R2Q6XA5"],"itemData":{"id":152,"type":"article-journal","abstract":"ABSTRACT\n            \n              Haemophilus ducreyi\n              must adapt to the environment of the human host to establish and maintain infection in the skin. Bacteria generally utilize stress response systems, such as the CpxRA two-component system, to adapt to hostile environments. CpxRA is the only obvious two-component system contained in the\n              H. ducreyi\n              genome and negatively regulates the\n              lspB-lspA2\n              operon, which encodes proteins that enable the organism to resist phagocytosis. We constructed an unmarked, in-frame\n              H. ducreyi cpxA\n              deletion mutant, 35000HPΔ\n              cpxA\n              . In human inoculation experiments, 35000HPΔ\n              cpxA\n              formed papules at a rate and size that were significantly less than its parent and was unable to form pustules compared to the parent. CpxA usually has kinase and phosphatase activities for CpxR, and the deletion of CpxA leads to the accumulation of activated CpxR due to the loss of phosphatase activity and the ability of CpxR to accept phosphate groups from other donors. Using a reporter construct, the\n              lspB-lspA2\n              promoter was downregulated in 35000HPΔ\n              cpxA\n              , confirming that CpxR was activated. Deletion of\n              cpxA\n              downregulated DsrA, the major determinant of serum resistance in the organism, causing the mutant to become serum susceptible. Complementation in\n              trans\n              restored parental phenotypes. 35000HPΔ\n              cpxA\n              is the first\n              H. ducreyi\n              mutant that is impaired in its ability to form both papules and pustules in humans. Since a major function of CpxRA is to control the flow of protein traffic across the periplasm, uncontrolled activation of this system likely causes dysregulated expression of multiple virulence determinants and cripples the ability of the organism to adapt to the host.","container-title":"Infection and Immunity","DOI":"10.1128/IAI.00432-10","ISSN":"0019-9567, 1098-5522","issue":"9","journalAbbreviation":"Infect Immun","language":"en","page":"3898-3904","source":"DOI.org (Crossref)","title":"Activation of the CpxRA System by Deletion of &lt;i&gt;cpxA&lt;/i&gt; Impairs the Ability of &lt;i&gt;Haemophilus ducreyi&lt;/i&gt; To Infect Humans","volume":"78","author":[{"family":"Spinola","given":"Stanley M."},{"family":"Fortney","given":"Kate R."},{"family":"Baker","given":"Beth"},{"family":"Janowicz","given":"Diane M."},{"family":"Zwickl","given":"Beth"},{"family":"Katz","given":"Barry P."},{"family":"Blick","given":"Robert J."},{"family":"Munson","given":"Robert S."}],"issued":{"date-parts":[["2010",9]]}}}],"schema":"https://github.com/citation-style-language/schema/raw/master/csl-citation.json"}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12</w:t>
      </w:r>
      <w:r w:rsidRPr="00654CB9">
        <w:rPr>
          <w:rFonts w:cs="Times New Roman"/>
          <w:szCs w:val="24"/>
        </w:rPr>
        <w:fldChar w:fldCharType="end"/>
      </w:r>
      <w:r w:rsidRPr="00654CB9">
        <w:rPr>
          <w:rFonts w:cs="Times New Roman"/>
          <w:szCs w:val="24"/>
        </w:rPr>
        <w:t xml:space="preserve"> of </w:t>
      </w:r>
      <w:bookmarkStart w:id="132" w:name="_Hlk519343293"/>
      <w:r w:rsidRPr="00654CB9">
        <w:rPr>
          <w:rFonts w:cs="Times New Roman"/>
          <w:i/>
          <w:iCs/>
          <w:szCs w:val="24"/>
        </w:rPr>
        <w:t xml:space="preserve">N. gonorrhoeae </w:t>
      </w:r>
      <w:r w:rsidRPr="00654CB9">
        <w:rPr>
          <w:rFonts w:cs="Times New Roman"/>
          <w:szCs w:val="24"/>
        </w:rPr>
        <w:t>to infect mice</w:t>
      </w:r>
      <w:bookmarkEnd w:id="132"/>
      <w:r w:rsidRPr="00654CB9">
        <w:rPr>
          <w:rFonts w:cs="Times New Roman"/>
          <w:szCs w:val="24"/>
        </w:rPr>
        <w:t>,</w:t>
      </w:r>
      <w:r w:rsidRPr="00654CB9">
        <w:rPr>
          <w:rFonts w:cs="Times New Roman"/>
          <w:szCs w:val="24"/>
        </w:rPr>
        <w:fldChar w:fldCharType="begin"/>
      </w:r>
      <w:r w:rsidRPr="00654CB9">
        <w:rPr>
          <w:rFonts w:cs="Times New Roman"/>
          <w:szCs w:val="24"/>
        </w:rPr>
        <w:instrText xml:space="preserve"> ADDIN ZOTERO_ITEM CSL_CITATION {"citationID":"flitWitY","properties":{"formattedCitation":"\\super 13\\nosupersub{}","plainCitation":"13","noteIndex":0},"citationItems":[{"id":124,"uris":["http://zotero.org/users/6503767/items/Y2IP95LS"],"itemData":{"id":124,"type":"article-journal","abstract":"During infection, Neisseria gonorrhoeae senses and responds to stress; such responses may be modulated by MisRS (NGO0177 and NGO0176), a two-component system that is a homolog of CpxRA. In Escherichia coli, CpxRA senses and responds to envelope stress; CpxA is a sensor kinase/phosphatase for CpxR, a response regulator. When a cpxA mutant is grown in medium containing glucose, CpxR is phosphorylated by acetyl phosphate but cannot be dephosphorylated, resulting in constitutive activation. Kandler and coworkers (J. L. Kandler, C. L. Holley, J. L. Reimche, V. Dhulipala, J. T. Balthazar, A. Muszyn´ ski, R. W. Carlson, and W. M. Shafer, Antimicrob Agents Chemother 60:4690–4700, 2016, https://doi.org/10.1128/AAC.00823-16) showed that MisR (CpxR) is required for the maintenance of membrane integrity and resistance to antimicrobial peptides, suggesting a role in gonococcal survival in vivo. Here, we evaluated the contributions of MisR and MisS (CpxA) to gonococcal infection in a murine model of cervicovaginal colonization and identiﬁed MisR-regulated genes using RNA sequencing (RNA-Seq). The deletion of misR or misS severely reduced the capacity of N. gonorrhoeae to colonize mice or maintain infection over a 7-day period and reduced microbial ﬁtness after exposure to heat shock. Compared to the wild type (WT), the inactivation of misR identiﬁed 157 differentially regulated genes, most of which encoded putative envelope proteins. The inactivation of misS identiﬁed 17 differentially regulated genes compared to the WT and 139 differentially regulated genes compared to the misR mutant, 111 of which overlapped those differentially expressed in the comparison of the WT versus the misR mutant. These data indicate that an intact MisRS system is required for gonococcal infection of mice. Provided the MisR is constitutively phosphorylated in the misS mutant, the data suggest that controlled but not constitutive activation is required for gonococcal infection in mice.","container-title":"Infection and Immunity","DOI":"10.1128/IAI.00307-17","ISSN":"0019-9567, 1098-5522","issue":"9","journalAbbreviation":"Infect Immun","language":"en","source":"DOI.org (Crossref)","title":"Both MisR (CpxR) and MisS (CpxA) Are Required for Neisseria gonorrhoeae Infection in a Murine Model of Lower Genital Tract Infection","URL":"https://journals.asm.org/doi/10.1128/IAI.00307-17","volume":"85","author":[{"family":"Gangaiah","given":"Dharanesh"},{"family":"Raterman","given":"Erica L."},{"family":"Wu","given":"Hong"},{"family":"Fortney","given":"Kate R."},{"family":"Gao","given":"Hongyu"},{"family":"Liu","given":"Yunlong"},{"family":"Jerse","given":"Ann E."},{"family":"Spinola","given":"Stanley M."}],"editor":[{"family":"Payne","given":"Shelley M."}],"accessed":{"date-parts":[["2021",10,12]]},"issued":{"date-parts":[["2017",9]]}}}],"schema":"https://github.com/citation-style-language/schema/raw/master/csl-citation.json"}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13</w:t>
      </w:r>
      <w:r w:rsidRPr="00654CB9">
        <w:rPr>
          <w:rFonts w:cs="Times New Roman"/>
          <w:szCs w:val="24"/>
        </w:rPr>
        <w:fldChar w:fldCharType="end"/>
      </w:r>
      <w:r w:rsidRPr="00654CB9">
        <w:rPr>
          <w:rFonts w:cs="Times New Roman"/>
          <w:szCs w:val="24"/>
        </w:rPr>
        <w:t xml:space="preserve"> and impairs the ability of </w:t>
      </w:r>
      <w:proofErr w:type="spellStart"/>
      <w:r w:rsidRPr="00654CB9">
        <w:rPr>
          <w:rFonts w:cs="Times New Roman"/>
          <w:szCs w:val="24"/>
        </w:rPr>
        <w:t>uropathogenic</w:t>
      </w:r>
      <w:proofErr w:type="spellEnd"/>
      <w:r w:rsidRPr="00654CB9">
        <w:rPr>
          <w:rFonts w:cs="Times New Roman"/>
          <w:szCs w:val="24"/>
        </w:rPr>
        <w:t xml:space="preserve"> </w:t>
      </w:r>
      <w:r w:rsidRPr="00654CB9">
        <w:rPr>
          <w:rFonts w:cs="Times New Roman"/>
          <w:i/>
          <w:szCs w:val="24"/>
        </w:rPr>
        <w:t xml:space="preserve">Escherichia coli </w:t>
      </w:r>
      <w:r w:rsidRPr="00654CB9">
        <w:rPr>
          <w:rFonts w:cs="Times New Roman"/>
          <w:szCs w:val="24"/>
        </w:rPr>
        <w:t>(UPEC) to cause pyelonephritis in mice.</w:t>
      </w:r>
      <w:r w:rsidRPr="00654CB9">
        <w:rPr>
          <w:rFonts w:cs="Times New Roman"/>
          <w:szCs w:val="24"/>
        </w:rPr>
        <w:fldChar w:fldCharType="begin"/>
      </w:r>
      <w:r w:rsidRPr="00654CB9">
        <w:rPr>
          <w:rFonts w:cs="Times New Roman"/>
          <w:szCs w:val="24"/>
        </w:rPr>
        <w:instrText xml:space="preserve"> ADDIN ZOTERO_ITEM CSL_CITATION {"citationID":"dn5TRzAR","properties":{"formattedCitation":"\\super 14\\nosupersub{}","plainCitation":"14","noteIndex":0},"citationItems":[{"id":122,"uris":["http://zotero.org/users/6503767/items/C8DGHM4N"],"itemData":{"id":122,"type":"article-journal","abstract":"CpxRA is an envelope stress response system found in all members of the family Enterobacteriaceae; CpxA has kinase activity for CpxR and phosphatase activity for phospho-CpxR, a transcription factor. CpxR also accepts phosphate groups from acetyl phosphate, a glucose metabolite. Activation of CpxR increases the transcription of genes encoding membrane repair and downregulates virulence determinants. We hypothesized that activation of CpxR could serve as an antimicrobial/antivirulence strategy and discovered compounds that activate CpxR in Escherichia coli by inhibiting CpxA phosphatase activity. As a prelude to testing such compounds in vivo, here we constructed cpxA (in the presence of glucose, CpxR is activated because of a lack of CpxA phosphatase) and cpxR (system absent) deletion mutants of uropathogenic E. coli (UPEC) CFT073. By RNA sequencing, few transcriptional differences were noted between the cpxR mutant and its parent, but in the cpxA mutant, several UPEC virulence determinants were downregulated, including the ﬁm and pap operons, and it exhibited reduced mannose-sensitive hemagglutination of guinea pig red blood cells in vitro. In competition experiments with mice, both mutants were less ﬁt than the parent in the urine, bladder, and kidney; these ﬁtness defects were complemented in trans. Unexpectedly, in single-strain challenges, only the cpxA mutant was attenuated for virulence in the kidney but not in the bladder or urine. For the cpxA mutant, this may be due to the preferential use of amino acids over glucose as a carbon source in the bladder and urine by UPEC. These studies suggest that CpxA phosphatase inhibitors may have some utility for treating complex urinary tract infections.","container-title":"Infection and Immunity","DOI":"10.1128/IAI.00798-17","ISSN":"0019-9567, 1098-5522","issue":"3","journalAbbreviation":"Infect Immun","language":"en","source":"DOI.org (Crossref)","title":"Evaluation of CpxRA as a Therapeutic Target for Uropathogenic Escherichia coli Infections","URL":"https://journals.asm.org/doi/10.1128/IAI.00798-17","volume":"86","author":[{"family":"Dbeibo","given":"Lana"},{"family":"Rensburg","given":"Julia J.","non-dropping-particle":"van"},{"family":"Smith","given":"Sara N."},{"family":"Fortney","given":"Kate R."},{"family":"Gangaiah","given":"Dharanesh"},{"family":"Gao","given":"Hongyu"},{"family":"Marzoa","given":"Juan"},{"family":"Liu","given":"Yunlong"},{"family":"Mobley","given":"Harry L. T."},{"family":"Spinola","given":"Stanley M."}],"editor":[{"family":"Payne","given":"Shelley M."}],"accessed":{"date-parts":[["2021",10,12]]},"issued":{"date-parts":[["2018",3]]}}}],"schema":"https://github.com/citation-style-language/schema/raw/master/csl-citation.json"}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14</w:t>
      </w:r>
      <w:r w:rsidRPr="00654CB9">
        <w:rPr>
          <w:rFonts w:cs="Times New Roman"/>
          <w:szCs w:val="24"/>
        </w:rPr>
        <w:fldChar w:fldCharType="end"/>
      </w:r>
      <w:r w:rsidRPr="00654CB9">
        <w:rPr>
          <w:rFonts w:cs="Times New Roman"/>
          <w:szCs w:val="24"/>
        </w:rPr>
        <w:t xml:space="preserve"> Thus, activation of CpxRA impairs the ability of multiple extracellular and intracellular pathogens to infect their experimental or natural hosts.</w:t>
      </w:r>
    </w:p>
    <w:p w14:paraId="5AF1BF32" w14:textId="77777777" w:rsidR="00654CB9" w:rsidRPr="00654CB9" w:rsidRDefault="00654CB9" w:rsidP="00654CB9">
      <w:pPr>
        <w:spacing w:after="0"/>
        <w:ind w:firstLine="720"/>
        <w:contextualSpacing/>
        <w:rPr>
          <w:rFonts w:cs="Times New Roman"/>
          <w:noProof/>
          <w:szCs w:val="24"/>
        </w:rPr>
      </w:pPr>
      <w:r w:rsidRPr="00654CB9">
        <w:rPr>
          <w:rFonts w:cs="Times New Roman"/>
          <w:szCs w:val="24"/>
        </w:rPr>
        <w:t>Most of what is known about 2CSTS has been produced through genetic manipulation of the pathway constituents or by the development of a few small molecule inhibitors of these systems.</w:t>
      </w:r>
      <w:r w:rsidRPr="00654CB9">
        <w:rPr>
          <w:rFonts w:cs="Times New Roman"/>
          <w:szCs w:val="24"/>
        </w:rPr>
        <w:fldChar w:fldCharType="begin"/>
      </w:r>
      <w:r w:rsidRPr="00654CB9">
        <w:rPr>
          <w:rFonts w:cs="Times New Roman"/>
          <w:szCs w:val="24"/>
        </w:rPr>
        <w:instrText xml:space="preserve"> ADDIN ZOTERO_ITEM CSL_CITATION {"citationID":"KzFrP0B9","properties":{"formattedCitation":"\\super 15,16\\nosupersub{}","plainCitation":"15,16","noteIndex":0},"citationItems":[{"id":154,"uris":["http://zotero.org/users/6503767/items/TXKHXBI2"],"itemData":{"id":154,"type":"article-journal","container-title":"Current Opinion in Microbiology","DOI":"10.1016/j.mib.2010.01.008","ISSN":"13695274","issue":"2","journalAbbreviation":"Current Opinion in Microbiology","language":"en","page":"232-239","source":"DOI.org (Crossref)","title":"Two-component signal transduction as potential drug targets in pathogenic bacteria","volume":"13","author":[{"family":"Gotoh","given":"Yasuhiro"},{"family":"Eguchi","given":"Yoko"},{"family":"Watanabe","given":"Takafumi"},{"family":"Okamoto","given":"Sho"},{"family":"Doi","given":"Akihiro"},{"family":"Utsumi","given":"Ryutaro"}],"issued":{"date-parts":[["2010",4]]}}},{"id":155,"uris":["http://zotero.org/users/6503767/items/VHW9NUQ9"],"itemData":{"id":155,"type":"article-journal","container-title":"Current Opinion in Cell Biology","DOI":"10.1016/j.ceb.2009.01.026","ISSN":"09550674","issue":"2","journalAbbreviation":"Current Opinion in Cell Biology","language":"en","page":"325-330","source":"DOI.org (Crossref)","title":"Protein kinases as antibacterial targets","volume":"21","author":[{"family":"Schreiber","given":"Mark"},{"family":"Res","given":"Ivica"},{"family":"Matter","given":"Alex"}],"issued":{"date-parts":[["2009",4]]}}}],"schema":"https://github.com/citation-style-language/schema/raw/master/csl-citation.json"}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15,16</w:t>
      </w:r>
      <w:r w:rsidRPr="00654CB9">
        <w:rPr>
          <w:rFonts w:cs="Times New Roman"/>
          <w:szCs w:val="24"/>
        </w:rPr>
        <w:fldChar w:fldCharType="end"/>
      </w:r>
      <w:r w:rsidRPr="00654CB9">
        <w:rPr>
          <w:rFonts w:cs="Times New Roman"/>
          <w:szCs w:val="24"/>
        </w:rPr>
        <w:t xml:space="preserve"> As such, the development of chemical probes to selectively modulate these systems is a valuable pursuit, as these tools could be used to advance the understanding of these pathways and provide a better picture of therapeutic utility. Recently, compound </w:t>
      </w:r>
      <w:r w:rsidRPr="00654CB9">
        <w:rPr>
          <w:rFonts w:cs="Times New Roman"/>
          <w:b/>
          <w:bCs/>
          <w:szCs w:val="24"/>
        </w:rPr>
        <w:t>2.</w:t>
      </w:r>
      <w:r w:rsidRPr="00654CB9">
        <w:rPr>
          <w:rFonts w:cs="Times New Roman"/>
          <w:b/>
          <w:szCs w:val="24"/>
        </w:rPr>
        <w:t xml:space="preserve">1 </w:t>
      </w:r>
      <w:r w:rsidRPr="00654CB9">
        <w:rPr>
          <w:rFonts w:cs="Times New Roman"/>
          <w:szCs w:val="24"/>
        </w:rPr>
        <w:t>(</w:t>
      </w:r>
      <w:r w:rsidRPr="00654CB9">
        <w:rPr>
          <w:rFonts w:cs="Times New Roman"/>
          <w:b/>
          <w:szCs w:val="24"/>
        </w:rPr>
        <w:t>Figure 2.2</w:t>
      </w:r>
      <w:r w:rsidRPr="00654CB9">
        <w:rPr>
          <w:rFonts w:cs="Times New Roman"/>
          <w:szCs w:val="24"/>
        </w:rPr>
        <w:t xml:space="preserve">) was shown to inhibit the phosphatase activity of </w:t>
      </w:r>
      <w:proofErr w:type="spellStart"/>
      <w:r w:rsidRPr="00654CB9">
        <w:rPr>
          <w:rFonts w:cs="Times New Roman"/>
          <w:szCs w:val="24"/>
        </w:rPr>
        <w:t>CpxA</w:t>
      </w:r>
      <w:proofErr w:type="spellEnd"/>
      <w:r w:rsidRPr="00654CB9">
        <w:rPr>
          <w:rFonts w:cs="Times New Roman"/>
          <w:szCs w:val="24"/>
        </w:rPr>
        <w:t xml:space="preserve">, resulting in accumulation of </w:t>
      </w:r>
      <w:proofErr w:type="spellStart"/>
      <w:r w:rsidRPr="00654CB9">
        <w:rPr>
          <w:rFonts w:cs="Times New Roman"/>
          <w:szCs w:val="24"/>
        </w:rPr>
        <w:t>CpxR</w:t>
      </w:r>
      <w:proofErr w:type="spellEnd"/>
      <w:r w:rsidRPr="00654CB9">
        <w:rPr>
          <w:rFonts w:cs="Times New Roman"/>
          <w:szCs w:val="24"/>
        </w:rPr>
        <w:t>-P and thus activation of the CpxRA system (</w:t>
      </w:r>
      <w:r w:rsidRPr="00654CB9">
        <w:rPr>
          <w:rFonts w:cs="Times New Roman"/>
          <w:b/>
          <w:szCs w:val="24"/>
        </w:rPr>
        <w:t>Figure 2.1</w:t>
      </w:r>
      <w:r w:rsidRPr="00654CB9">
        <w:rPr>
          <w:rFonts w:cs="Times New Roman"/>
          <w:szCs w:val="24"/>
        </w:rPr>
        <w:t>) as measured by a phospho-</w:t>
      </w:r>
      <w:proofErr w:type="spellStart"/>
      <w:r w:rsidRPr="00654CB9">
        <w:rPr>
          <w:rFonts w:cs="Times New Roman"/>
          <w:szCs w:val="24"/>
        </w:rPr>
        <w:t>CpxR</w:t>
      </w:r>
      <w:proofErr w:type="spellEnd"/>
      <w:r w:rsidRPr="00654CB9">
        <w:rPr>
          <w:rFonts w:cs="Times New Roman"/>
          <w:szCs w:val="24"/>
        </w:rPr>
        <w:t xml:space="preserve"> sensitive </w:t>
      </w:r>
      <w:r w:rsidRPr="00654CB9">
        <w:rPr>
          <w:rFonts w:cs="Times New Roman"/>
          <w:i/>
          <w:szCs w:val="24"/>
        </w:rPr>
        <w:t xml:space="preserve">lacZ </w:t>
      </w:r>
      <w:r w:rsidRPr="00654CB9">
        <w:rPr>
          <w:rFonts w:cs="Times New Roman"/>
          <w:szCs w:val="24"/>
        </w:rPr>
        <w:t xml:space="preserve">reporter in </w:t>
      </w:r>
      <w:r w:rsidRPr="00654CB9">
        <w:rPr>
          <w:rFonts w:cs="Times New Roman"/>
          <w:i/>
          <w:szCs w:val="24"/>
        </w:rPr>
        <w:t>E. coli</w:t>
      </w:r>
      <w:r w:rsidRPr="00654CB9">
        <w:rPr>
          <w:rFonts w:cs="Times New Roman"/>
          <w:szCs w:val="24"/>
        </w:rPr>
        <w:t xml:space="preserve"> cells.</w:t>
      </w:r>
      <w:r w:rsidRPr="00654CB9">
        <w:rPr>
          <w:rFonts w:cs="Times New Roman"/>
          <w:szCs w:val="24"/>
        </w:rPr>
        <w:fldChar w:fldCharType="begin"/>
      </w:r>
      <w:r w:rsidRPr="00654CB9">
        <w:rPr>
          <w:rFonts w:cs="Times New Roman"/>
          <w:szCs w:val="24"/>
        </w:rPr>
        <w:instrText xml:space="preserve"> ADDIN ZOTERO_ITEM CSL_CITATION {"citationID":"JRtC41Gx","properties":{"formattedCitation":"\\super 17\\nosupersub{}","plainCitation":"17","noteIndex":0},"citationItems":[{"id":125,"uris":["http://zotero.org/users/6503767/items/FDSR4HNB"],"itemData":{"id":125,"type":"article-journal","abstract":"ABSTRACT\n            \n              CpxRA is a two-component signal transduction system (2CSTS) found in many drug-resistant Gram-negative bacteria. In response to periplasmic stress, CpxA autophosphorylates and donates a phosphoryl group to its cognate response regulator, CpxR. Phosphorylated CpxR (CpxR-P) upregulates genes involved in membrane repair and downregulates multiple genes that encode virulence factors, which are trafficked across the cell membrane. Mutants that constitutively activate CpxRA in\n              Salmonella enterica\n              serovar Typhimurium and\n              Haemophilus ducreyi\n              are avirulent in mice and humans, respectively. Thus, the activation of CpxRA has high potential as a novel antimicrobial/antivirulence strategy. Using a series of\n              Escherichia coli\n              strains containing a CpxR-P-responsive\n              lacZ\n              reporter and deletions in genes encoding CpxRA system components, we developed and validated a novel cell-based high-throughput screen (HTS) for CpxRA activators. A screen of 36,000 compounds yielded one hit compound that increased reporter activity in wild-type cells. This is the first report of a compound that activates, rather than inhibits, a 2CSTS. The activity profile of the compound against CpxRA pathway mutants in the presence of glucose suggested that the compound inhibits CpxA phosphatase activity. We confirmed that the compound induced the accumulation of CpxR-P in treated cells. Although the hit compound contained a nitro group, a derivative lacking this group retained activity in serum and had lower cytotoxicity than that of the initial hit. This HTS is amenable for the screening of larger libraries to find compounds that activate CpxRA by other mechanisms, and it could be adapted to find activators of other two-component systems.","container-title":"Antimicrobial Agents and Chemotherapy","DOI":"10.1128/AAC.00236-15","ISSN":"0066-4804, 1098-6596","issue":"7","journalAbbreviation":"Antimicrob. Agents Chemother.","language":"en","page":"3789-3799","source":"DOI.org (Crossref)","title":"Development and Validation of a High-Throughput Cell-Based Screen To Identify Activators of a Bacterial Two-Component Signal Transduction System","volume":"59","author":[{"family":"Rensburg","given":"Julia J.","non-dropping-particle":"van"},{"family":"Fortney","given":"Kate R."},{"family":"Chen","given":"Lan"},{"family":"Krieger","given":"Andrew J."},{"family":"Lima","given":"Bruno P."},{"family":"Wolfe","given":"Alan J."},{"family":"Katz","given":"Barry P."},{"family":"Zhang","given":"Zhong-yin"},{"family":"Spinola","given":"Stanley M."}],"issued":{"date-parts":[["2015",7]]}}}],"schema":"https://github.com/citation-style-language/schema/raw/master/csl-citation.json"}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17</w:t>
      </w:r>
      <w:r w:rsidRPr="00654CB9">
        <w:rPr>
          <w:rFonts w:cs="Times New Roman"/>
          <w:szCs w:val="24"/>
        </w:rPr>
        <w:fldChar w:fldCharType="end"/>
      </w:r>
      <w:r w:rsidRPr="00654CB9">
        <w:rPr>
          <w:rFonts w:cs="Times New Roman"/>
          <w:szCs w:val="24"/>
        </w:rPr>
        <w:t xml:space="preserve"> In this chapter, we report our initial progress in advancing the structure-activity relationships (SAR) for this 2,3,4,9-tetrahydro-1</w:t>
      </w:r>
      <w:r w:rsidRPr="00654CB9">
        <w:rPr>
          <w:rFonts w:cs="Times New Roman"/>
          <w:i/>
          <w:szCs w:val="24"/>
        </w:rPr>
        <w:t>H</w:t>
      </w:r>
      <w:r w:rsidRPr="00654CB9">
        <w:rPr>
          <w:rFonts w:cs="Times New Roman"/>
          <w:szCs w:val="24"/>
        </w:rPr>
        <w:t>-carbazol-1-amine scaffold.</w:t>
      </w:r>
      <w:r w:rsidRPr="00654CB9">
        <w:rPr>
          <w:rFonts w:cs="Times New Roman"/>
          <w:noProof/>
          <w:szCs w:val="24"/>
        </w:rPr>
        <w:t xml:space="preserve"> </w:t>
      </w:r>
    </w:p>
    <w:p w14:paraId="0740D24F" w14:textId="77777777" w:rsidR="00654CB9" w:rsidRPr="00654CB9" w:rsidRDefault="00654CB9" w:rsidP="00654CB9">
      <w:pPr>
        <w:spacing w:after="0"/>
        <w:ind w:left="720" w:firstLine="720"/>
        <w:contextualSpacing/>
        <w:rPr>
          <w:rFonts w:cs="Times New Roman"/>
          <w:szCs w:val="24"/>
        </w:rPr>
      </w:pPr>
      <w:r w:rsidRPr="00654CB9">
        <w:rPr>
          <w:rFonts w:cs="Times New Roman"/>
          <w:noProof/>
          <w:szCs w:val="24"/>
        </w:rPr>
        <mc:AlternateContent>
          <mc:Choice Requires="wps">
            <w:drawing>
              <wp:inline distT="0" distB="0" distL="0" distR="0" wp14:anchorId="669ACCD4" wp14:editId="1EFBD644">
                <wp:extent cx="3886200" cy="2584174"/>
                <wp:effectExtent l="0" t="0" r="19050" b="2603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584174"/>
                        </a:xfrm>
                        <a:prstGeom prst="rect">
                          <a:avLst/>
                        </a:prstGeom>
                        <a:solidFill>
                          <a:srgbClr val="FFFFFF"/>
                        </a:solidFill>
                        <a:ln w="9525">
                          <a:solidFill>
                            <a:srgbClr val="000000"/>
                          </a:solidFill>
                          <a:miter lim="800000"/>
                          <a:headEnd/>
                          <a:tailEnd/>
                        </a:ln>
                      </wps:spPr>
                      <wps:txbx>
                        <w:txbxContent>
                          <w:p w14:paraId="057A299D" w14:textId="77777777" w:rsidR="00654CB9" w:rsidRDefault="00654CB9" w:rsidP="00654CB9">
                            <w:pPr>
                              <w:keepNext/>
                              <w:jc w:val="center"/>
                            </w:pPr>
                            <w:r>
                              <w:rPr>
                                <w:noProof/>
                              </w:rPr>
                              <w:drawing>
                                <wp:inline distT="0" distB="0" distL="0" distR="0" wp14:anchorId="17F3B61A" wp14:editId="014F05C5">
                                  <wp:extent cx="3694430" cy="1843405"/>
                                  <wp:effectExtent l="0" t="0" r="1270" b="4445"/>
                                  <wp:docPr id="193" name="Picture 193" descr="Initial SAR reported on the 2,3,4,9-tetrahydro-1H-carbazol-1-amine chemo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Initial SAR reported on the 2,3,4,9-tetrahydro-1H-carbazol-1-amine chemotype. "/>
                                          <pic:cNvPicPr/>
                                        </pic:nvPicPr>
                                        <pic:blipFill>
                                          <a:blip r:embed="rId102">
                                            <a:extLst>
                                              <a:ext uri="{28A0092B-C50C-407E-A947-70E740481C1C}">
                                                <a14:useLocalDpi xmlns:a14="http://schemas.microsoft.com/office/drawing/2010/main" val="0"/>
                                              </a:ext>
                                            </a:extLst>
                                          </a:blip>
                                          <a:stretch>
                                            <a:fillRect/>
                                          </a:stretch>
                                        </pic:blipFill>
                                        <pic:spPr>
                                          <a:xfrm>
                                            <a:off x="0" y="0"/>
                                            <a:ext cx="3694430" cy="1843405"/>
                                          </a:xfrm>
                                          <a:prstGeom prst="rect">
                                            <a:avLst/>
                                          </a:prstGeom>
                                        </pic:spPr>
                                      </pic:pic>
                                    </a:graphicData>
                                  </a:graphic>
                                </wp:inline>
                              </w:drawing>
                            </w:r>
                          </w:p>
                          <w:p w14:paraId="3A9B214F" w14:textId="6848CAF3" w:rsidR="00654CB9" w:rsidRPr="009363E4" w:rsidRDefault="00654CB9" w:rsidP="00DF51F5">
                            <w:pPr>
                              <w:pStyle w:val="Caption"/>
                            </w:pPr>
                            <w:bookmarkStart w:id="133" w:name="_Toc97309247"/>
                            <w:bookmarkStart w:id="134" w:name="_Toc100748296"/>
                            <w:r>
                              <w:t>Figure 2.</w:t>
                            </w:r>
                            <w:fldSimple w:instr=" SEQ Figure \* ARABIC ">
                              <w:r w:rsidR="00AA5AAC">
                                <w:rPr>
                                  <w:noProof/>
                                </w:rPr>
                                <w:t>2</w:t>
                              </w:r>
                            </w:fldSimple>
                            <w:r>
                              <w:t xml:space="preserve">. </w:t>
                            </w:r>
                            <w:r w:rsidRPr="009363E4">
                              <w:t>Initial SAR reported on the 2,3,4,9-tetrahydro-1</w:t>
                            </w:r>
                            <w:r w:rsidRPr="009363E4">
                              <w:rPr>
                                <w:i/>
                              </w:rPr>
                              <w:t>H</w:t>
                            </w:r>
                            <w:r w:rsidRPr="009363E4">
                              <w:t>-carbazol-1-amine chemotype.</w:t>
                            </w:r>
                            <w:bookmarkEnd w:id="133"/>
                            <w:bookmarkEnd w:id="134"/>
                            <w:r w:rsidRPr="009363E4">
                              <w:t xml:space="preserve"> </w:t>
                            </w:r>
                          </w:p>
                          <w:p w14:paraId="6C59B328" w14:textId="77777777" w:rsidR="00654CB9" w:rsidRDefault="00654CB9" w:rsidP="00654CB9">
                            <w:pPr>
                              <w:jc w:val="center"/>
                            </w:pPr>
                          </w:p>
                        </w:txbxContent>
                      </wps:txbx>
                      <wps:bodyPr rot="0" vert="horz" wrap="square" lIns="91440" tIns="45720" rIns="91440" bIns="45720" anchor="t" anchorCtr="0">
                        <a:noAutofit/>
                      </wps:bodyPr>
                    </wps:wsp>
                  </a:graphicData>
                </a:graphic>
              </wp:inline>
            </w:drawing>
          </mc:Choice>
          <mc:Fallback>
            <w:pict>
              <v:shape w14:anchorId="669ACCD4" id="_x0000_s1043" type="#_x0000_t202" style="width:306pt;height:2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">
                <v:textbox>
                  <w:txbxContent>
                    <w:p w14:paraId="057A299D" w14:textId="77777777" w:rsidR="00654CB9" w:rsidRDefault="00654CB9" w:rsidP="00654CB9">
                      <w:pPr>
                        <w:keepNext/>
                        <w:jc w:val="center"/>
                      </w:pPr>
                      <w:r>
                        <w:rPr>
                          <w:noProof/>
                        </w:rPr>
                        <w:drawing>
                          <wp:inline distT="0" distB="0" distL="0" distR="0" wp14:anchorId="17F3B61A" wp14:editId="014F05C5">
                            <wp:extent cx="3694430" cy="1843405"/>
                            <wp:effectExtent l="0" t="0" r="1270" b="4445"/>
                            <wp:docPr id="193" name="Picture 193" descr="Initial SAR reported on the 2,3,4,9-tetrahydro-1H-carbazol-1-amine chemo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Initial SAR reported on the 2,3,4,9-tetrahydro-1H-carbazol-1-amine chemotype. "/>
                                    <pic:cNvPicPr/>
                                  </pic:nvPicPr>
                                  <pic:blipFill>
                                    <a:blip r:embed="rId102">
                                      <a:extLst>
                                        <a:ext uri="{28A0092B-C50C-407E-A947-70E740481C1C}">
                                          <a14:useLocalDpi xmlns:a14="http://schemas.microsoft.com/office/drawing/2010/main" val="0"/>
                                        </a:ext>
                                      </a:extLst>
                                    </a:blip>
                                    <a:stretch>
                                      <a:fillRect/>
                                    </a:stretch>
                                  </pic:blipFill>
                                  <pic:spPr>
                                    <a:xfrm>
                                      <a:off x="0" y="0"/>
                                      <a:ext cx="3694430" cy="1843405"/>
                                    </a:xfrm>
                                    <a:prstGeom prst="rect">
                                      <a:avLst/>
                                    </a:prstGeom>
                                  </pic:spPr>
                                </pic:pic>
                              </a:graphicData>
                            </a:graphic>
                          </wp:inline>
                        </w:drawing>
                      </w:r>
                    </w:p>
                    <w:p w14:paraId="3A9B214F" w14:textId="6848CAF3" w:rsidR="00654CB9" w:rsidRPr="009363E4" w:rsidRDefault="00654CB9" w:rsidP="00DF51F5">
                      <w:pPr>
                        <w:pStyle w:val="Caption"/>
                      </w:pPr>
                      <w:bookmarkStart w:id="135" w:name="_Toc97309247"/>
                      <w:bookmarkStart w:id="136" w:name="_Toc100748296"/>
                      <w:r>
                        <w:t>Figure 2.</w:t>
                      </w:r>
                      <w:fldSimple w:instr=" SEQ Figure \* ARABIC ">
                        <w:r w:rsidR="00AA5AAC">
                          <w:rPr>
                            <w:noProof/>
                          </w:rPr>
                          <w:t>2</w:t>
                        </w:r>
                      </w:fldSimple>
                      <w:r>
                        <w:t xml:space="preserve">. </w:t>
                      </w:r>
                      <w:r w:rsidRPr="009363E4">
                        <w:t>Initial SAR reported on the 2,3,4,9-tetrahydro-1</w:t>
                      </w:r>
                      <w:r w:rsidRPr="009363E4">
                        <w:rPr>
                          <w:i/>
                        </w:rPr>
                        <w:t>H</w:t>
                      </w:r>
                      <w:r w:rsidRPr="009363E4">
                        <w:t>-carbazol-1-amine chemotype.</w:t>
                      </w:r>
                      <w:bookmarkEnd w:id="135"/>
                      <w:bookmarkEnd w:id="136"/>
                      <w:r w:rsidRPr="009363E4">
                        <w:t xml:space="preserve"> </w:t>
                      </w:r>
                    </w:p>
                    <w:p w14:paraId="6C59B328" w14:textId="77777777" w:rsidR="00654CB9" w:rsidRDefault="00654CB9" w:rsidP="00654CB9">
                      <w:pPr>
                        <w:jc w:val="center"/>
                      </w:pPr>
                    </w:p>
                  </w:txbxContent>
                </v:textbox>
                <w10:anchorlock/>
              </v:shape>
            </w:pict>
          </mc:Fallback>
        </mc:AlternateContent>
      </w:r>
    </w:p>
    <w:p w14:paraId="5CD0DED0" w14:textId="77777777" w:rsidR="00654CB9" w:rsidRPr="00654CB9" w:rsidRDefault="00654CB9" w:rsidP="00654CB9">
      <w:pPr>
        <w:spacing w:after="0"/>
        <w:contextualSpacing/>
        <w:jc w:val="left"/>
        <w:rPr>
          <w:rFonts w:cs="Times New Roman"/>
          <w:b/>
          <w:bCs/>
          <w:iCs/>
          <w:color w:val="000000"/>
          <w:szCs w:val="24"/>
          <w:shd w:val="clear" w:color="auto" w:fill="FFFFFF"/>
        </w:rPr>
      </w:pPr>
    </w:p>
    <w:p w14:paraId="5400C1A8" w14:textId="4CA5DFCF" w:rsidR="00654CB9" w:rsidRPr="00654CB9" w:rsidRDefault="00654CB9" w:rsidP="00D03824">
      <w:pPr>
        <w:pStyle w:val="Section"/>
      </w:pPr>
      <w:bookmarkStart w:id="137" w:name="_Toc98429806"/>
      <w:bookmarkStart w:id="138" w:name="_Toc102586252"/>
      <w:r w:rsidRPr="00654CB9">
        <w:t xml:space="preserve">2.2 Results and </w:t>
      </w:r>
      <w:r w:rsidR="007B3DF1">
        <w:t>d</w:t>
      </w:r>
      <w:r w:rsidRPr="00654CB9">
        <w:t>iscussion</w:t>
      </w:r>
      <w:bookmarkEnd w:id="137"/>
      <w:bookmarkEnd w:id="138"/>
    </w:p>
    <w:p w14:paraId="3C1219AE" w14:textId="77777777" w:rsidR="00654CB9" w:rsidRPr="00654CB9" w:rsidRDefault="00654CB9" w:rsidP="00654CB9">
      <w:pPr>
        <w:spacing w:after="0"/>
        <w:ind w:firstLine="720"/>
        <w:contextualSpacing/>
        <w:rPr>
          <w:rFonts w:cs="Times New Roman"/>
          <w:color w:val="000000"/>
          <w:szCs w:val="24"/>
          <w:shd w:val="clear" w:color="auto" w:fill="FFFFFF"/>
        </w:rPr>
      </w:pPr>
      <w:r w:rsidRPr="00654CB9">
        <w:rPr>
          <w:rFonts w:cs="Times New Roman"/>
          <w:szCs w:val="24"/>
        </w:rPr>
        <w:t xml:space="preserve">Results reported in the initial discovery paper indicate that the 6-nitro functionality is not required for </w:t>
      </w:r>
      <w:proofErr w:type="spellStart"/>
      <w:r w:rsidRPr="00654CB9">
        <w:rPr>
          <w:rFonts w:cs="Times New Roman"/>
          <w:szCs w:val="24"/>
        </w:rPr>
        <w:t>CpxA</w:t>
      </w:r>
      <w:proofErr w:type="spellEnd"/>
      <w:r w:rsidRPr="00654CB9">
        <w:rPr>
          <w:rFonts w:cs="Times New Roman"/>
          <w:szCs w:val="24"/>
        </w:rPr>
        <w:t xml:space="preserve"> phosphatase inhibition (</w:t>
      </w:r>
      <w:r w:rsidRPr="00654CB9">
        <w:rPr>
          <w:rFonts w:cs="Times New Roman"/>
          <w:b/>
          <w:bCs/>
          <w:szCs w:val="24"/>
        </w:rPr>
        <w:t>2.</w:t>
      </w:r>
      <w:r w:rsidRPr="00654CB9">
        <w:rPr>
          <w:rFonts w:cs="Times New Roman"/>
          <w:b/>
          <w:szCs w:val="24"/>
        </w:rPr>
        <w:t>2</w:t>
      </w:r>
      <w:r w:rsidRPr="00654CB9">
        <w:rPr>
          <w:rFonts w:cs="Times New Roman"/>
          <w:szCs w:val="24"/>
        </w:rPr>
        <w:t xml:space="preserve">, </w:t>
      </w:r>
      <w:r w:rsidRPr="00654CB9">
        <w:rPr>
          <w:rFonts w:cs="Times New Roman"/>
          <w:b/>
          <w:szCs w:val="24"/>
        </w:rPr>
        <w:t>Figure 2.2</w:t>
      </w:r>
      <w:r w:rsidRPr="00654CB9">
        <w:rPr>
          <w:rFonts w:cs="Times New Roman"/>
          <w:szCs w:val="24"/>
        </w:rPr>
        <w:t>), but that removal of the primary amine abolishes activity (</w:t>
      </w:r>
      <w:r w:rsidRPr="00654CB9">
        <w:rPr>
          <w:rFonts w:cs="Times New Roman"/>
          <w:b/>
          <w:bCs/>
          <w:szCs w:val="24"/>
        </w:rPr>
        <w:t>2.</w:t>
      </w:r>
      <w:r w:rsidRPr="00654CB9">
        <w:rPr>
          <w:rFonts w:cs="Times New Roman"/>
          <w:b/>
          <w:szCs w:val="24"/>
        </w:rPr>
        <w:t>3</w:t>
      </w:r>
      <w:r w:rsidRPr="00654CB9">
        <w:rPr>
          <w:rFonts w:cs="Times New Roman"/>
          <w:szCs w:val="24"/>
        </w:rPr>
        <w:t>,</w:t>
      </w:r>
      <w:r w:rsidRPr="00654CB9">
        <w:rPr>
          <w:rFonts w:cs="Times New Roman"/>
          <w:b/>
          <w:szCs w:val="24"/>
        </w:rPr>
        <w:t xml:space="preserve"> Figure 2.2</w:t>
      </w:r>
      <w:r w:rsidRPr="00654CB9">
        <w:rPr>
          <w:rFonts w:cs="Times New Roman"/>
          <w:szCs w:val="24"/>
        </w:rPr>
        <w:t>).</w:t>
      </w:r>
      <w:r w:rsidRPr="00654CB9">
        <w:rPr>
          <w:rFonts w:cs="Times New Roman"/>
          <w:color w:val="000000"/>
          <w:szCs w:val="24"/>
          <w:shd w:val="clear" w:color="auto" w:fill="FFFFFF"/>
        </w:rPr>
        <w:t xml:space="preserve"> To advance the SAR on this chemotype, we focused on three major approaches to reveal structural motifs important for </w:t>
      </w:r>
      <w:proofErr w:type="spellStart"/>
      <w:r w:rsidRPr="00654CB9">
        <w:rPr>
          <w:rFonts w:cs="Times New Roman"/>
          <w:color w:val="000000"/>
          <w:szCs w:val="24"/>
          <w:shd w:val="clear" w:color="auto" w:fill="FFFFFF"/>
        </w:rPr>
        <w:t>CpxA</w:t>
      </w:r>
      <w:proofErr w:type="spellEnd"/>
      <w:r w:rsidRPr="00654CB9">
        <w:rPr>
          <w:rFonts w:cs="Times New Roman"/>
          <w:color w:val="000000"/>
          <w:szCs w:val="24"/>
          <w:shd w:val="clear" w:color="auto" w:fill="FFFFFF"/>
        </w:rPr>
        <w:t xml:space="preserve"> inhibition</w:t>
      </w:r>
      <w:bookmarkStart w:id="139" w:name="_Hlk519347037"/>
      <w:r w:rsidRPr="00654CB9">
        <w:rPr>
          <w:rFonts w:cs="Times New Roman"/>
          <w:color w:val="000000"/>
          <w:szCs w:val="24"/>
          <w:shd w:val="clear" w:color="auto" w:fill="FFFFFF"/>
        </w:rPr>
        <w:t>: 1) A-ring substitution, 2) B-ring deconstruction to provide N-arylated amino acid derivatives and 3) C-ring removal to give 2-alkylamino substituted indoles</w:t>
      </w:r>
      <w:bookmarkEnd w:id="139"/>
      <w:r w:rsidRPr="00654CB9">
        <w:rPr>
          <w:rFonts w:cs="Times New Roman"/>
          <w:color w:val="000000"/>
          <w:szCs w:val="24"/>
          <w:shd w:val="clear" w:color="auto" w:fill="FFFFFF"/>
        </w:rPr>
        <w:t xml:space="preserve"> (</w:t>
      </w:r>
      <w:r w:rsidRPr="00654CB9">
        <w:rPr>
          <w:rFonts w:cs="Times New Roman"/>
          <w:b/>
          <w:color w:val="000000"/>
          <w:szCs w:val="24"/>
          <w:shd w:val="clear" w:color="auto" w:fill="FFFFFF"/>
        </w:rPr>
        <w:t>Figure 2.3</w:t>
      </w:r>
      <w:r w:rsidRPr="00654CB9">
        <w:rPr>
          <w:rFonts w:cs="Times New Roman"/>
          <w:color w:val="000000"/>
          <w:szCs w:val="24"/>
          <w:shd w:val="clear" w:color="auto" w:fill="FFFFFF"/>
        </w:rPr>
        <w:t xml:space="preserve">). </w:t>
      </w:r>
      <w:bookmarkStart w:id="140" w:name="_Hlk519347557"/>
      <w:r w:rsidRPr="00654CB9">
        <w:rPr>
          <w:rFonts w:cs="Times New Roman"/>
          <w:color w:val="000000"/>
          <w:szCs w:val="24"/>
          <w:shd w:val="clear" w:color="auto" w:fill="FFFFFF"/>
        </w:rPr>
        <w:t xml:space="preserve">Compounds were initially evaluated for their ability to activate a </w:t>
      </w:r>
      <w:proofErr w:type="spellStart"/>
      <w:r w:rsidRPr="00654CB9">
        <w:rPr>
          <w:rFonts w:cs="Times New Roman"/>
          <w:color w:val="000000"/>
          <w:szCs w:val="24"/>
          <w:shd w:val="clear" w:color="auto" w:fill="FFFFFF"/>
        </w:rPr>
        <w:t>CpxR</w:t>
      </w:r>
      <w:proofErr w:type="spellEnd"/>
      <w:r w:rsidRPr="00654CB9">
        <w:rPr>
          <w:rFonts w:cs="Times New Roman"/>
          <w:color w:val="000000"/>
          <w:szCs w:val="24"/>
          <w:shd w:val="clear" w:color="auto" w:fill="FFFFFF"/>
        </w:rPr>
        <w:t xml:space="preserve">-responsive </w:t>
      </w:r>
      <w:r w:rsidRPr="00654CB9">
        <w:rPr>
          <w:rFonts w:cs="Times New Roman"/>
          <w:i/>
          <w:iCs/>
          <w:color w:val="000000"/>
          <w:szCs w:val="24"/>
          <w:shd w:val="clear" w:color="auto" w:fill="FFFFFF"/>
        </w:rPr>
        <w:t>lacZ</w:t>
      </w:r>
      <w:r w:rsidRPr="00654CB9">
        <w:rPr>
          <w:rFonts w:cs="Times New Roman"/>
          <w:color w:val="000000"/>
          <w:szCs w:val="24"/>
          <w:shd w:val="clear" w:color="auto" w:fill="FFFFFF"/>
        </w:rPr>
        <w:t xml:space="preserve"> </w:t>
      </w:r>
      <w:r w:rsidRPr="00654CB9">
        <w:rPr>
          <w:rFonts w:cs="Times New Roman"/>
          <w:szCs w:val="24"/>
        </w:rPr>
        <w:t xml:space="preserve">reporter in a modified </w:t>
      </w:r>
      <w:r w:rsidRPr="00654CB9">
        <w:rPr>
          <w:rFonts w:cs="Times New Roman"/>
          <w:i/>
          <w:iCs/>
          <w:szCs w:val="24"/>
        </w:rPr>
        <w:t>E. coli</w:t>
      </w:r>
      <w:r w:rsidRPr="00654CB9">
        <w:rPr>
          <w:rFonts w:cs="Times New Roman"/>
          <w:szCs w:val="24"/>
        </w:rPr>
        <w:t xml:space="preserve"> strain</w:t>
      </w:r>
      <w:bookmarkEnd w:id="140"/>
      <w:r w:rsidRPr="00654CB9">
        <w:rPr>
          <w:rFonts w:cs="Times New Roman"/>
          <w:szCs w:val="24"/>
        </w:rPr>
        <w:t>.</w:t>
      </w:r>
      <w:r w:rsidRPr="00654CB9">
        <w:rPr>
          <w:rFonts w:cs="Times New Roman"/>
          <w:szCs w:val="24"/>
        </w:rPr>
        <w:fldChar w:fldCharType="begin"/>
      </w:r>
      <w:r w:rsidRPr="00654CB9">
        <w:rPr>
          <w:rFonts w:cs="Times New Roman"/>
          <w:szCs w:val="24"/>
        </w:rPr>
        <w:instrText xml:space="preserve"> ADDIN ZOTERO_ITEM CSL_CITATION {"citationID":"YtrolkqQ","properties":{"formattedCitation":"\\super 17\\nosupersub{}","plainCitation":"17","noteIndex":0},"citationItems":[{"id":125,"uris":["http://zotero.org/users/6503767/items/FDSR4HNB"],"itemData":{"id":125,"type":"article-journal","abstract":"ABSTRACT\n            \n              CpxRA is a two-component signal transduction system (2CSTS) found in many drug-resistant Gram-negative bacteria. In response to periplasmic stress, CpxA autophosphorylates and donates a phosphoryl group to its cognate response regulator, CpxR. Phosphorylated CpxR (CpxR-P) upregulates genes involved in membrane repair and downregulates multiple genes that encode virulence factors, which are trafficked across the cell membrane. Mutants that constitutively activate CpxRA in\n              Salmonella enterica\n              serovar Typhimurium and\n              Haemophilus ducreyi\n              are avirulent in mice and humans, respectively. Thus, the activation of CpxRA has high potential as a novel antimicrobial/antivirulence strategy. Using a series of\n              Escherichia coli\n              strains containing a CpxR-P-responsive\n              lacZ\n              reporter and deletions in genes encoding CpxRA system components, we developed and validated a novel cell-based high-throughput screen (HTS) for CpxRA activators. A screen of 36,000 compounds yielded one hit compound that increased reporter activity in wild-type cells. This is the first report of a compound that activates, rather than inhibits, a 2CSTS. The activity profile of the compound against CpxRA pathway mutants in the presence of glucose suggested that the compound inhibits CpxA phosphatase activity. We confirmed that the compound induced the accumulation of CpxR-P in treated cells. Although the hit compound contained a nitro group, a derivative lacking this group retained activity in serum and had lower cytotoxicity than that of the initial hit. This HTS is amenable for the screening of larger libraries to find compounds that activate CpxRA by other mechanisms, and it could be adapted to find activators of other two-component systems.","container-title":"Antimicrobial Agents and Chemotherapy","DOI":"10.1128/AAC.00236-15","ISSN":"0066-4804, 1098-6596","issue":"7","journalAbbreviation":"Antimicrob. Agents Chemother.","language":"en","page":"3789-3799","source":"DOI.org (Crossref)","title":"Development and Validation of a High-Throughput Cell-Based Screen To Identify Activators of a Bacterial Two-Component Signal Transduction System","volume":"59","author":[{"family":"Rensburg","given":"Julia J.","non-dropping-particle":"van"},{"family":"Fortney","given":"Kate R."},{"family":"Chen","given":"Lan"},{"family":"Krieger","given":"Andrew J."},{"family":"Lima","given":"Bruno P."},{"family":"Wolfe","given":"Alan J."},{"family":"Katz","given":"Barry P."},{"family":"Zhang","given":"Zhong-yin"},{"family":"Spinola","given":"Stanley M."}],"issued":{"date-parts":[["2015",7]]}}}],"schema":"https://github.com/citation-style-language/schema/raw/master/csl-citation.json"}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17</w:t>
      </w:r>
      <w:r w:rsidRPr="00654CB9">
        <w:rPr>
          <w:rFonts w:cs="Times New Roman"/>
          <w:szCs w:val="24"/>
        </w:rPr>
        <w:fldChar w:fldCharType="end"/>
      </w:r>
      <w:r w:rsidRPr="00654CB9">
        <w:rPr>
          <w:rFonts w:cs="Times New Roman"/>
          <w:color w:val="000000"/>
          <w:szCs w:val="24"/>
          <w:shd w:val="clear" w:color="auto" w:fill="FFFFFF"/>
        </w:rPr>
        <w:t xml:space="preserve">  </w:t>
      </w:r>
    </w:p>
    <w:p w14:paraId="1D700546" w14:textId="77777777" w:rsidR="00654CB9" w:rsidRPr="00654CB9" w:rsidRDefault="00654CB9" w:rsidP="00654CB9">
      <w:pPr>
        <w:spacing w:after="0"/>
        <w:ind w:firstLine="720"/>
        <w:contextualSpacing/>
        <w:rPr>
          <w:rFonts w:cs="Times New Roman"/>
          <w:b/>
          <w:iCs/>
          <w:color w:val="000000"/>
          <w:sz w:val="22"/>
          <w:shd w:val="clear" w:color="auto" w:fill="FFFFFF"/>
        </w:rPr>
      </w:pPr>
      <w:r w:rsidRPr="00654CB9">
        <w:rPr>
          <w:rFonts w:cs="Times New Roman"/>
          <w:iCs/>
          <w:noProof/>
          <w:color w:val="000000"/>
          <w:szCs w:val="24"/>
          <w:shd w:val="clear" w:color="auto" w:fill="FFFFFF"/>
        </w:rPr>
        <mc:AlternateContent>
          <mc:Choice Requires="wps">
            <w:drawing>
              <wp:inline distT="0" distB="0" distL="0" distR="0" wp14:anchorId="27648511" wp14:editId="5720C7B1">
                <wp:extent cx="4686300" cy="2250219"/>
                <wp:effectExtent l="0" t="0" r="19050" b="1714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50219"/>
                        </a:xfrm>
                        <a:prstGeom prst="rect">
                          <a:avLst/>
                        </a:prstGeom>
                        <a:solidFill>
                          <a:srgbClr val="FFFFFF"/>
                        </a:solidFill>
                        <a:ln w="9525">
                          <a:solidFill>
                            <a:srgbClr val="000000"/>
                          </a:solidFill>
                          <a:miter lim="800000"/>
                          <a:headEnd/>
                          <a:tailEnd/>
                        </a:ln>
                      </wps:spPr>
                      <wps:txbx>
                        <w:txbxContent>
                          <w:p w14:paraId="3EE0E006" w14:textId="77777777" w:rsidR="00654CB9" w:rsidRDefault="00654CB9" w:rsidP="00654CB9">
                            <w:pPr>
                              <w:keepNext/>
                              <w:spacing w:after="0"/>
                              <w:jc w:val="center"/>
                            </w:pPr>
                            <w:r>
                              <w:rPr>
                                <w:noProof/>
                              </w:rPr>
                              <w:object w:dxaOrig="11120" w:dyaOrig="4902" w14:anchorId="700304ED">
                                <v:shape id="_x0000_i1032" type="#_x0000_t75" style="width:311.85pt;height:136.5pt" o:ole="">
                                  <v:imagedata r:id="rId103" o:title=""/>
                                </v:shape>
                                <o:OLEObject Type="Embed" ProgID="ChemDraw.Document.6.0" ShapeID="_x0000_i1032" DrawAspect="Content" ObjectID="_1713353470" r:id="rId104"/>
                              </w:object>
                            </w:r>
                          </w:p>
                          <w:p w14:paraId="53FF1D9F" w14:textId="7762DEF0" w:rsidR="00654CB9" w:rsidRPr="00D03824" w:rsidRDefault="00654CB9" w:rsidP="00DF51F5">
                            <w:pPr>
                              <w:pStyle w:val="Caption"/>
                              <w:rPr>
                                <w:i/>
                                <w:iCs/>
                                <w:shd w:val="clear" w:color="auto" w:fill="FFFFFF"/>
                              </w:rPr>
                            </w:pPr>
                            <w:bookmarkStart w:id="141" w:name="_Toc97309248"/>
                            <w:bookmarkStart w:id="142" w:name="_Toc100748297"/>
                            <w:r w:rsidRPr="00D03824">
                              <w:t>Figure 2.</w:t>
                            </w:r>
                            <w:fldSimple w:instr=" SEQ Figure \* ARABIC ">
                              <w:r w:rsidR="00AA5AAC">
                                <w:rPr>
                                  <w:noProof/>
                                </w:rPr>
                                <w:t>3</w:t>
                              </w:r>
                            </w:fldSimple>
                            <w:r w:rsidRPr="00D03824">
                              <w:t>.</w:t>
                            </w:r>
                            <w:r w:rsidRPr="00D03824">
                              <w:rPr>
                                <w:i/>
                                <w:iCs/>
                              </w:rPr>
                              <w:t xml:space="preserve"> </w:t>
                            </w:r>
                            <w:r w:rsidRPr="00D03824">
                              <w:rPr>
                                <w:rStyle w:val="Emphasis"/>
                                <w:rFonts w:cs="Times New Roman"/>
                                <w:i w:val="0"/>
                                <w:iCs w:val="0"/>
                                <w:color w:val="000000"/>
                                <w:szCs w:val="24"/>
                                <w:shd w:val="clear" w:color="auto" w:fill="FFFFFF"/>
                              </w:rPr>
                              <w:t>SAR strategy and rationale for the targeted analogs.</w:t>
                            </w:r>
                            <w:bookmarkEnd w:id="141"/>
                            <w:bookmarkEnd w:id="142"/>
                          </w:p>
                        </w:txbxContent>
                      </wps:txbx>
                      <wps:bodyPr rot="0" vert="horz" wrap="square" lIns="91440" tIns="45720" rIns="91440" bIns="45720" anchor="t" anchorCtr="0">
                        <a:noAutofit/>
                      </wps:bodyPr>
                    </wps:wsp>
                  </a:graphicData>
                </a:graphic>
              </wp:inline>
            </w:drawing>
          </mc:Choice>
          <mc:Fallback>
            <w:pict>
              <v:shape w14:anchorId="27648511" id="_x0000_s1044" type="#_x0000_t202" style="width:369pt;height:17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">
                <v:textbox>
                  <w:txbxContent>
                    <w:p w14:paraId="3EE0E006" w14:textId="77777777" w:rsidR="00654CB9" w:rsidRDefault="00654CB9" w:rsidP="00654CB9">
                      <w:pPr>
                        <w:keepNext/>
                        <w:spacing w:after="0"/>
                        <w:jc w:val="center"/>
                      </w:pPr>
                      <w:r>
                        <w:rPr>
                          <w:noProof/>
                        </w:rPr>
                        <w:object w:dxaOrig="11120" w:dyaOrig="4902" w14:anchorId="700304ED">
                          <v:shape id="_x0000_i1032" type="#_x0000_t75" style="width:311.85pt;height:136.5pt" o:ole="">
                            <v:imagedata r:id="rId103" o:title=""/>
                          </v:shape>
                          <o:OLEObject Type="Embed" ProgID="ChemDraw.Document.6.0" ShapeID="_x0000_i1032" DrawAspect="Content" ObjectID="_1713353470" r:id="rId105"/>
                        </w:object>
                      </w:r>
                    </w:p>
                    <w:p w14:paraId="53FF1D9F" w14:textId="7762DEF0" w:rsidR="00654CB9" w:rsidRPr="00D03824" w:rsidRDefault="00654CB9" w:rsidP="00DF51F5">
                      <w:pPr>
                        <w:pStyle w:val="Caption"/>
                        <w:rPr>
                          <w:i/>
                          <w:iCs/>
                          <w:shd w:val="clear" w:color="auto" w:fill="FFFFFF"/>
                        </w:rPr>
                      </w:pPr>
                      <w:bookmarkStart w:id="143" w:name="_Toc97309248"/>
                      <w:bookmarkStart w:id="144" w:name="_Toc100748297"/>
                      <w:r w:rsidRPr="00D03824">
                        <w:t>Figure 2.</w:t>
                      </w:r>
                      <w:fldSimple w:instr=" SEQ Figure \* ARABIC ">
                        <w:r w:rsidR="00AA5AAC">
                          <w:rPr>
                            <w:noProof/>
                          </w:rPr>
                          <w:t>3</w:t>
                        </w:r>
                      </w:fldSimple>
                      <w:r w:rsidRPr="00D03824">
                        <w:t>.</w:t>
                      </w:r>
                      <w:r w:rsidRPr="00D03824">
                        <w:rPr>
                          <w:i/>
                          <w:iCs/>
                        </w:rPr>
                        <w:t xml:space="preserve"> </w:t>
                      </w:r>
                      <w:r w:rsidRPr="00D03824">
                        <w:rPr>
                          <w:rStyle w:val="Emphasis"/>
                          <w:rFonts w:cs="Times New Roman"/>
                          <w:i w:val="0"/>
                          <w:iCs w:val="0"/>
                          <w:color w:val="000000"/>
                          <w:szCs w:val="24"/>
                          <w:shd w:val="clear" w:color="auto" w:fill="FFFFFF"/>
                        </w:rPr>
                        <w:t>SAR strategy and rationale for the targeted analogs.</w:t>
                      </w:r>
                      <w:bookmarkEnd w:id="143"/>
                      <w:bookmarkEnd w:id="144"/>
                    </w:p>
                  </w:txbxContent>
                </v:textbox>
                <w10:anchorlock/>
              </v:shape>
            </w:pict>
          </mc:Fallback>
        </mc:AlternateContent>
      </w:r>
      <w:r w:rsidRPr="00654CB9">
        <w:rPr>
          <w:rFonts w:cs="Times New Roman"/>
          <w:i/>
          <w:iCs/>
          <w:color w:val="000000"/>
          <w:szCs w:val="24"/>
          <w:shd w:val="clear" w:color="auto" w:fill="FFFFFF"/>
        </w:rPr>
        <w:t xml:space="preserve"> </w:t>
      </w:r>
    </w:p>
    <w:p w14:paraId="6D8718D5" w14:textId="1B3D0E21" w:rsidR="00654CB9" w:rsidRPr="00654CB9" w:rsidRDefault="00654CB9" w:rsidP="00D03824">
      <w:pPr>
        <w:pStyle w:val="Subsection"/>
      </w:pPr>
      <w:bookmarkStart w:id="145" w:name="_Toc98429807"/>
      <w:bookmarkStart w:id="146" w:name="_Toc102586253"/>
      <w:r w:rsidRPr="00654CB9">
        <w:t>2.2.1 A-</w:t>
      </w:r>
      <w:r w:rsidR="007B3DF1">
        <w:t>r</w:t>
      </w:r>
      <w:r w:rsidRPr="00654CB9">
        <w:t xml:space="preserve">ing </w:t>
      </w:r>
      <w:r w:rsidR="007B3DF1">
        <w:t>s</w:t>
      </w:r>
      <w:r w:rsidRPr="00654CB9">
        <w:t>ubstitution.</w:t>
      </w:r>
      <w:bookmarkEnd w:id="145"/>
      <w:bookmarkEnd w:id="146"/>
    </w:p>
    <w:p w14:paraId="72D08B60" w14:textId="77777777" w:rsidR="00654CB9" w:rsidRPr="00654CB9" w:rsidRDefault="00654CB9" w:rsidP="00654CB9">
      <w:pPr>
        <w:spacing w:after="0"/>
        <w:ind w:firstLine="720"/>
        <w:contextualSpacing/>
        <w:rPr>
          <w:rFonts w:cs="Times New Roman"/>
          <w:color w:val="000000"/>
          <w:szCs w:val="24"/>
          <w:shd w:val="clear" w:color="auto" w:fill="FFFFFF"/>
        </w:rPr>
      </w:pPr>
      <w:r w:rsidRPr="00654CB9">
        <w:rPr>
          <w:rFonts w:cs="Times New Roman"/>
          <w:color w:val="000000"/>
          <w:szCs w:val="24"/>
          <w:shd w:val="clear" w:color="auto" w:fill="FFFFFF"/>
        </w:rPr>
        <w:t>Due to previous observations that substitution is allowed on the 5-position of the indole and may provide a means to alter the potency of this class, we evaluated a number of substituents that ranged broadly in size, polarity, and hydrogen bonding capabilities. Analogs were prepared in straight forward fashion via a two-step process employing Fischer-indole methodology</w:t>
      </w:r>
      <w:r w:rsidRPr="00654CB9">
        <w:rPr>
          <w:rFonts w:cs="Times New Roman"/>
          <w:color w:val="000000"/>
          <w:szCs w:val="24"/>
          <w:shd w:val="clear" w:color="auto" w:fill="FFFFFF"/>
        </w:rPr>
        <w:fldChar w:fldCharType="begin"/>
      </w:r>
      <w:r w:rsidRPr="00654CB9">
        <w:rPr>
          <w:rFonts w:cs="Times New Roman"/>
          <w:color w:val="000000"/>
          <w:szCs w:val="24"/>
          <w:shd w:val="clear" w:color="auto" w:fill="FFFFFF"/>
        </w:rPr>
        <w:instrText xml:space="preserve"> ADDIN ZOTERO_ITEM CSL_CITATION {"citationID":"lIBAt0OB","properties":{"formattedCitation":"\\super 18\\nosupersub{}","plainCitation":"18","noteIndex":0},"citationItems":[{"id":162,"uris":["http://zotero.org/users/6503767/items/HZUA5W32"],"itemData":{"id":162,"type":"article-journal","container-title":"Chemical Reviews","DOI":"10.1021/cr60224a003","ISSN":"0009-2665, 1520-6890","issue":"4","journalAbbreviation":"Chem. Rev.","language":"en","page":"373-401","source":"DOI.org (Crossref)","title":"The Fischer Indole Synthesis.","volume":"63","author":[{"family":"Robinson","given":"B."}],"issued":{"date-parts":[["1963",8,1]]}}}],"schema":"https://github.com/citation-style-language/schema/raw/master/csl-citation.json"} </w:instrText>
      </w:r>
      <w:r w:rsidRPr="00654CB9">
        <w:rPr>
          <w:rFonts w:cs="Times New Roman"/>
          <w:color w:val="000000"/>
          <w:szCs w:val="24"/>
          <w:shd w:val="clear" w:color="auto" w:fill="FFFFFF"/>
        </w:rPr>
        <w:fldChar w:fldCharType="separate"/>
      </w:r>
      <w:r w:rsidRPr="00654CB9">
        <w:rPr>
          <w:rFonts w:cs="Times New Roman"/>
          <w:szCs w:val="24"/>
          <w:vertAlign w:val="superscript"/>
        </w:rPr>
        <w:t>18</w:t>
      </w:r>
      <w:r w:rsidRPr="00654CB9">
        <w:rPr>
          <w:rFonts w:cs="Times New Roman"/>
          <w:color w:val="000000"/>
          <w:szCs w:val="24"/>
          <w:shd w:val="clear" w:color="auto" w:fill="FFFFFF"/>
        </w:rPr>
        <w:fldChar w:fldCharType="end"/>
      </w:r>
      <w:r w:rsidRPr="00654CB9">
        <w:rPr>
          <w:rFonts w:cs="Times New Roman"/>
          <w:color w:val="000000"/>
          <w:szCs w:val="24"/>
          <w:shd w:val="clear" w:color="auto" w:fill="FFFFFF"/>
        </w:rPr>
        <w:t xml:space="preserve"> followed by reductive amination (</w:t>
      </w:r>
      <w:r w:rsidRPr="00654CB9">
        <w:rPr>
          <w:rFonts w:cs="Times New Roman"/>
          <w:b/>
          <w:color w:val="000000"/>
          <w:szCs w:val="24"/>
          <w:shd w:val="clear" w:color="auto" w:fill="FFFFFF"/>
        </w:rPr>
        <w:t>Scheme 2.1</w:t>
      </w:r>
      <w:r w:rsidRPr="00654CB9">
        <w:rPr>
          <w:rFonts w:cs="Times New Roman"/>
          <w:color w:val="000000"/>
          <w:szCs w:val="24"/>
          <w:shd w:val="clear" w:color="auto" w:fill="FFFFFF"/>
        </w:rPr>
        <w:t xml:space="preserve">). As shown in </w:t>
      </w:r>
      <w:r w:rsidRPr="00654CB9">
        <w:rPr>
          <w:rFonts w:cs="Times New Roman"/>
          <w:b/>
          <w:color w:val="000000"/>
          <w:szCs w:val="24"/>
          <w:shd w:val="clear" w:color="auto" w:fill="FFFFFF"/>
        </w:rPr>
        <w:t>Figure 2.4</w:t>
      </w:r>
      <w:r w:rsidRPr="00654CB9">
        <w:rPr>
          <w:rFonts w:cs="Times New Roman"/>
          <w:color w:val="000000"/>
          <w:szCs w:val="24"/>
          <w:shd w:val="clear" w:color="auto" w:fill="FFFFFF"/>
        </w:rPr>
        <w:t>, the presence of a chlorine or fluorine at the 5-position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 xml:space="preserve">5 </w:t>
      </w:r>
      <w:r w:rsidRPr="00654CB9">
        <w:rPr>
          <w:rFonts w:cs="Times New Roman"/>
          <w:color w:val="000000"/>
          <w:szCs w:val="24"/>
          <w:shd w:val="clear" w:color="auto" w:fill="FFFFFF"/>
        </w:rPr>
        <w:t xml:space="preserv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6</w:t>
      </w:r>
      <w:r w:rsidRPr="00654CB9">
        <w:rPr>
          <w:rFonts w:cs="Times New Roman"/>
          <w:color w:val="000000"/>
          <w:szCs w:val="24"/>
          <w:shd w:val="clear" w:color="auto" w:fill="FFFFFF"/>
        </w:rPr>
        <w:t>) provided the best activity, favoring the smaller, fluorine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6</w:t>
      </w:r>
      <w:r w:rsidRPr="00654CB9">
        <w:rPr>
          <w:rFonts w:cs="Times New Roman"/>
          <w:color w:val="000000"/>
          <w:szCs w:val="24"/>
          <w:shd w:val="clear" w:color="auto" w:fill="FFFFFF"/>
        </w:rPr>
        <w:t xml:space="preserve">). </w:t>
      </w:r>
      <w:r w:rsidRPr="00654CB9">
        <w:rPr>
          <w:rFonts w:cs="Times New Roman"/>
          <w:color w:val="000000"/>
          <w:szCs w:val="24"/>
          <w:shd w:val="clear" w:color="auto" w:fill="FFFFFF"/>
        </w:rPr>
        <w:lastRenderedPageBreak/>
        <w:t>While incorporation of bromine at this position was also evaluated, evidence of cytotoxicity and general activation of the stress response in the reporter strain was noted and thus the level of CpxRA activation could not be determined. Installation of a trifluoromethyl group at the 5-position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7</w:t>
      </w:r>
      <w:r w:rsidRPr="00654CB9">
        <w:rPr>
          <w:rFonts w:cs="Times New Roman"/>
          <w:color w:val="000000"/>
          <w:szCs w:val="24"/>
          <w:shd w:val="clear" w:color="auto" w:fill="FFFFFF"/>
        </w:rPr>
        <w:t xml:space="preserve">) also provided equipotency to compound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1</w:t>
      </w:r>
      <w:r w:rsidRPr="00654CB9">
        <w:rPr>
          <w:rFonts w:cs="Times New Roman"/>
          <w:color w:val="000000"/>
          <w:szCs w:val="24"/>
          <w:shd w:val="clear" w:color="auto" w:fill="FFFFFF"/>
        </w:rPr>
        <w:t>. Incorporation of more electron rich substituents like a methoxy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8</w:t>
      </w:r>
      <w:r w:rsidRPr="00654CB9">
        <w:rPr>
          <w:rFonts w:cs="Times New Roman"/>
          <w:color w:val="000000"/>
          <w:szCs w:val="24"/>
          <w:shd w:val="clear" w:color="auto" w:fill="FFFFFF"/>
        </w:rPr>
        <w:t>) or methyl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9</w:t>
      </w:r>
      <w:r w:rsidRPr="00654CB9">
        <w:rPr>
          <w:rFonts w:cs="Times New Roman"/>
          <w:color w:val="000000"/>
          <w:szCs w:val="24"/>
          <w:shd w:val="clear" w:color="auto" w:fill="FFFFFF"/>
        </w:rPr>
        <w:t>) group was detrimental to activity. Inclusion of various other resonance mediated electron withdrawing groups such as a methyl ester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10</w:t>
      </w:r>
      <w:r w:rsidRPr="00654CB9">
        <w:rPr>
          <w:rFonts w:cs="Times New Roman"/>
          <w:color w:val="000000"/>
          <w:szCs w:val="24"/>
          <w:shd w:val="clear" w:color="auto" w:fill="FFFFFF"/>
        </w:rPr>
        <w:t>), carboxylic acid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11</w:t>
      </w:r>
      <w:r w:rsidRPr="00654CB9">
        <w:rPr>
          <w:rFonts w:cs="Times New Roman"/>
          <w:color w:val="000000"/>
          <w:szCs w:val="24"/>
          <w:shd w:val="clear" w:color="auto" w:fill="FFFFFF"/>
        </w:rPr>
        <w:t>), sulfonamide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12</w:t>
      </w:r>
      <w:r w:rsidRPr="00654CB9">
        <w:rPr>
          <w:rFonts w:cs="Times New Roman"/>
          <w:color w:val="000000"/>
          <w:szCs w:val="24"/>
          <w:shd w:val="clear" w:color="auto" w:fill="FFFFFF"/>
        </w:rPr>
        <w:t>), or nitrile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13</w:t>
      </w:r>
      <w:r w:rsidRPr="00654CB9">
        <w:rPr>
          <w:rFonts w:cs="Times New Roman"/>
          <w:color w:val="000000"/>
          <w:szCs w:val="24"/>
          <w:shd w:val="clear" w:color="auto" w:fill="FFFFFF"/>
        </w:rPr>
        <w:t xml:space="preserve">) failed to induce reporter activity beyond baseline, indicating no </w:t>
      </w:r>
      <w:proofErr w:type="spellStart"/>
      <w:r w:rsidRPr="00654CB9">
        <w:rPr>
          <w:rFonts w:cs="Times New Roman"/>
          <w:color w:val="000000"/>
          <w:szCs w:val="24"/>
          <w:shd w:val="clear" w:color="auto" w:fill="FFFFFF"/>
        </w:rPr>
        <w:t>CpxA</w:t>
      </w:r>
      <w:proofErr w:type="spellEnd"/>
      <w:r w:rsidRPr="00654CB9">
        <w:rPr>
          <w:rFonts w:cs="Times New Roman"/>
          <w:color w:val="000000"/>
          <w:szCs w:val="24"/>
          <w:shd w:val="clear" w:color="auto" w:fill="FFFFFF"/>
        </w:rPr>
        <w:t xml:space="preserve"> phosphatase inhibition for these analogs. </w:t>
      </w:r>
    </w:p>
    <w:p w14:paraId="457FE693" w14:textId="77777777" w:rsidR="00654CB9" w:rsidRPr="00654CB9" w:rsidRDefault="00654CB9" w:rsidP="00654CB9">
      <w:pPr>
        <w:spacing w:after="0"/>
        <w:ind w:firstLine="720"/>
        <w:contextualSpacing/>
        <w:rPr>
          <w:rFonts w:cs="Times New Roman"/>
          <w:iCs/>
          <w:color w:val="000000"/>
          <w:szCs w:val="24"/>
          <w:shd w:val="clear" w:color="auto" w:fill="FFFFFF"/>
        </w:rPr>
      </w:pPr>
      <w:r w:rsidRPr="00654CB9">
        <w:rPr>
          <w:rFonts w:cs="Times New Roman"/>
          <w:iCs/>
          <w:noProof/>
          <w:color w:val="000000"/>
          <w:szCs w:val="24"/>
          <w:shd w:val="clear" w:color="auto" w:fill="FFFFFF"/>
        </w:rPr>
        <mc:AlternateContent>
          <mc:Choice Requires="wps">
            <w:drawing>
              <wp:inline distT="0" distB="0" distL="0" distR="0" wp14:anchorId="1560233A" wp14:editId="4D984D2B">
                <wp:extent cx="4983480" cy="1582310"/>
                <wp:effectExtent l="0" t="0" r="26670" b="1841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3480" cy="1582310"/>
                        </a:xfrm>
                        <a:prstGeom prst="rect">
                          <a:avLst/>
                        </a:prstGeom>
                        <a:solidFill>
                          <a:srgbClr val="FFFFFF"/>
                        </a:solidFill>
                        <a:ln w="9525">
                          <a:solidFill>
                            <a:srgbClr val="000000"/>
                          </a:solidFill>
                          <a:miter lim="800000"/>
                          <a:headEnd/>
                          <a:tailEnd/>
                        </a:ln>
                      </wps:spPr>
                      <wps:txbx>
                        <w:txbxContent>
                          <w:p w14:paraId="01C1BD4A" w14:textId="77777777" w:rsidR="00654CB9" w:rsidRDefault="00654CB9" w:rsidP="00654CB9">
                            <w:pPr>
                              <w:keepNext/>
                              <w:spacing w:after="0"/>
                              <w:jc w:val="center"/>
                            </w:pPr>
                            <w:r>
                              <w:object w:dxaOrig="6665" w:dyaOrig="972" w14:anchorId="57B6254C">
                                <v:shape id="_x0000_i1033" type="#_x0000_t75" style="width:326.8pt;height:46.75pt" o:ole="">
                                  <v:imagedata r:id="rId106" o:title=""/>
                                </v:shape>
                                <o:OLEObject Type="Embed" ProgID="ChemDraw.Document.6.0" ShapeID="_x0000_i1033" DrawAspect="Content" ObjectID="_1713353471" r:id="rId107"/>
                              </w:object>
                            </w:r>
                          </w:p>
                          <w:p w14:paraId="008769D9" w14:textId="64AE7405" w:rsidR="00654CB9" w:rsidRDefault="00654CB9" w:rsidP="00DF51F5">
                            <w:pPr>
                              <w:pStyle w:val="Caption"/>
                            </w:pPr>
                            <w:r>
                              <w:t xml:space="preserve">Scheme </w:t>
                            </w:r>
                            <w:r w:rsidR="00867AF0">
                              <w:t>2.</w:t>
                            </w:r>
                            <w:fldSimple w:instr=" SEQ Scheme \* ARABIC \r1 ">
                              <w:r w:rsidR="00AA5AAC">
                                <w:rPr>
                                  <w:noProof/>
                                </w:rPr>
                                <w:t>1</w:t>
                              </w:r>
                            </w:fldSimple>
                            <w:r>
                              <w:t xml:space="preserve">. </w:t>
                            </w:r>
                            <w:r w:rsidRPr="00D37B65">
                              <w:t xml:space="preserve">General synthetic approach to </w:t>
                            </w:r>
                            <w:r>
                              <w:t>2.</w:t>
                            </w:r>
                            <w:r w:rsidRPr="00D37B65">
                              <w:t>1</w:t>
                            </w:r>
                            <w:r>
                              <w:t xml:space="preserve"> </w:t>
                            </w:r>
                            <w:r w:rsidRPr="00D37B65">
                              <w:t>–</w:t>
                            </w:r>
                            <w:r>
                              <w:t xml:space="preserve"> 2.</w:t>
                            </w:r>
                            <w:r w:rsidRPr="00D37B65">
                              <w:t xml:space="preserve">13. </w:t>
                            </w:r>
                          </w:p>
                          <w:p w14:paraId="65F45285" w14:textId="77777777" w:rsidR="00654CB9" w:rsidRPr="00D37B65" w:rsidRDefault="00654CB9" w:rsidP="00D03824">
                            <w:pPr>
                              <w:spacing w:after="0" w:line="240" w:lineRule="auto"/>
                              <w:rPr>
                                <w:szCs w:val="24"/>
                              </w:rPr>
                            </w:pPr>
                            <w:r w:rsidRPr="00D37B65">
                              <w:rPr>
                                <w:rFonts w:cs="Times New Roman"/>
                                <w:szCs w:val="24"/>
                              </w:rPr>
                              <w:t>Reagents and conditions: (a) 1 M HCl, H</w:t>
                            </w:r>
                            <w:r w:rsidRPr="00D37B65">
                              <w:rPr>
                                <w:rFonts w:cs="Times New Roman"/>
                                <w:szCs w:val="24"/>
                                <w:vertAlign w:val="subscript"/>
                              </w:rPr>
                              <w:t>2</w:t>
                            </w:r>
                            <w:r w:rsidRPr="00D37B65">
                              <w:rPr>
                                <w:rFonts w:cs="Times New Roman"/>
                                <w:szCs w:val="24"/>
                              </w:rPr>
                              <w:t>O, 120 °C, 32-66%; (b) NH</w:t>
                            </w:r>
                            <w:r w:rsidRPr="00D37B65">
                              <w:rPr>
                                <w:rFonts w:cs="Times New Roman"/>
                                <w:szCs w:val="24"/>
                                <w:vertAlign w:val="subscript"/>
                              </w:rPr>
                              <w:t>4</w:t>
                            </w:r>
                            <w:r w:rsidRPr="00D37B65">
                              <w:rPr>
                                <w:rFonts w:cs="Times New Roman"/>
                                <w:szCs w:val="24"/>
                              </w:rPr>
                              <w:t>OAc, NaCNBH</w:t>
                            </w:r>
                            <w:r w:rsidRPr="00D37B65">
                              <w:rPr>
                                <w:rFonts w:cs="Times New Roman"/>
                                <w:szCs w:val="24"/>
                                <w:vertAlign w:val="subscript"/>
                              </w:rPr>
                              <w:t>3</w:t>
                            </w:r>
                            <w:r w:rsidRPr="00D37B65">
                              <w:rPr>
                                <w:rFonts w:cs="Times New Roman"/>
                                <w:szCs w:val="24"/>
                              </w:rPr>
                              <w:t>, MeOH, 60 °C, 73-94%.</w:t>
                            </w:r>
                          </w:p>
                        </w:txbxContent>
                      </wps:txbx>
                      <wps:bodyPr rot="0" vert="horz" wrap="square" lIns="91440" tIns="45720" rIns="91440" bIns="45720" anchor="t" anchorCtr="0">
                        <a:noAutofit/>
                      </wps:bodyPr>
                    </wps:wsp>
                  </a:graphicData>
                </a:graphic>
              </wp:inline>
            </w:drawing>
          </mc:Choice>
          <mc:Fallback>
            <w:pict>
              <v:shape w14:anchorId="1560233A" id="_x0000_s1045" type="#_x0000_t202" style="width:392.4pt;height:1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">
                <v:textbox>
                  <w:txbxContent>
                    <w:p w14:paraId="01C1BD4A" w14:textId="77777777" w:rsidR="00654CB9" w:rsidRDefault="00654CB9" w:rsidP="00654CB9">
                      <w:pPr>
                        <w:keepNext/>
                        <w:spacing w:after="0"/>
                        <w:jc w:val="center"/>
                      </w:pPr>
                      <w:r>
                        <w:object w:dxaOrig="6665" w:dyaOrig="972" w14:anchorId="57B6254C">
                          <v:shape id="_x0000_i1033" type="#_x0000_t75" style="width:326.8pt;height:46.75pt" o:ole="">
                            <v:imagedata r:id="rId106" o:title=""/>
                          </v:shape>
                          <o:OLEObject Type="Embed" ProgID="ChemDraw.Document.6.0" ShapeID="_x0000_i1033" DrawAspect="Content" ObjectID="_1713353471" r:id="rId108"/>
                        </w:object>
                      </w:r>
                    </w:p>
                    <w:p w14:paraId="008769D9" w14:textId="64AE7405" w:rsidR="00654CB9" w:rsidRDefault="00654CB9" w:rsidP="00DF51F5">
                      <w:pPr>
                        <w:pStyle w:val="Caption"/>
                      </w:pPr>
                      <w:r>
                        <w:t xml:space="preserve">Scheme </w:t>
                      </w:r>
                      <w:r w:rsidR="00867AF0">
                        <w:t>2.</w:t>
                      </w:r>
                      <w:fldSimple w:instr=" SEQ Scheme \* ARABIC \r1 ">
                        <w:r w:rsidR="00AA5AAC">
                          <w:rPr>
                            <w:noProof/>
                          </w:rPr>
                          <w:t>1</w:t>
                        </w:r>
                      </w:fldSimple>
                      <w:r>
                        <w:t xml:space="preserve">. </w:t>
                      </w:r>
                      <w:r w:rsidRPr="00D37B65">
                        <w:t xml:space="preserve">General synthetic approach to </w:t>
                      </w:r>
                      <w:r>
                        <w:t>2.</w:t>
                      </w:r>
                      <w:r w:rsidRPr="00D37B65">
                        <w:t>1</w:t>
                      </w:r>
                      <w:r>
                        <w:t xml:space="preserve"> </w:t>
                      </w:r>
                      <w:r w:rsidRPr="00D37B65">
                        <w:t>–</w:t>
                      </w:r>
                      <w:r>
                        <w:t xml:space="preserve"> 2.</w:t>
                      </w:r>
                      <w:r w:rsidRPr="00D37B65">
                        <w:t xml:space="preserve">13. </w:t>
                      </w:r>
                    </w:p>
                    <w:p w14:paraId="65F45285" w14:textId="77777777" w:rsidR="00654CB9" w:rsidRPr="00D37B65" w:rsidRDefault="00654CB9" w:rsidP="00D03824">
                      <w:pPr>
                        <w:spacing w:after="0" w:line="240" w:lineRule="auto"/>
                        <w:rPr>
                          <w:szCs w:val="24"/>
                        </w:rPr>
                      </w:pPr>
                      <w:r w:rsidRPr="00D37B65">
                        <w:rPr>
                          <w:rFonts w:cs="Times New Roman"/>
                          <w:szCs w:val="24"/>
                        </w:rPr>
                        <w:t>Reagents and conditions: (a) 1 M HCl, H</w:t>
                      </w:r>
                      <w:r w:rsidRPr="00D37B65">
                        <w:rPr>
                          <w:rFonts w:cs="Times New Roman"/>
                          <w:szCs w:val="24"/>
                          <w:vertAlign w:val="subscript"/>
                        </w:rPr>
                        <w:t>2</w:t>
                      </w:r>
                      <w:r w:rsidRPr="00D37B65">
                        <w:rPr>
                          <w:rFonts w:cs="Times New Roman"/>
                          <w:szCs w:val="24"/>
                        </w:rPr>
                        <w:t>O, 120 °C, 32-66%; (b) NH</w:t>
                      </w:r>
                      <w:r w:rsidRPr="00D37B65">
                        <w:rPr>
                          <w:rFonts w:cs="Times New Roman"/>
                          <w:szCs w:val="24"/>
                          <w:vertAlign w:val="subscript"/>
                        </w:rPr>
                        <w:t>4</w:t>
                      </w:r>
                      <w:r w:rsidRPr="00D37B65">
                        <w:rPr>
                          <w:rFonts w:cs="Times New Roman"/>
                          <w:szCs w:val="24"/>
                        </w:rPr>
                        <w:t>OAc, NaCNBH</w:t>
                      </w:r>
                      <w:r w:rsidRPr="00D37B65">
                        <w:rPr>
                          <w:rFonts w:cs="Times New Roman"/>
                          <w:szCs w:val="24"/>
                          <w:vertAlign w:val="subscript"/>
                        </w:rPr>
                        <w:t>3</w:t>
                      </w:r>
                      <w:r w:rsidRPr="00D37B65">
                        <w:rPr>
                          <w:rFonts w:cs="Times New Roman"/>
                          <w:szCs w:val="24"/>
                        </w:rPr>
                        <w:t>, MeOH, 60 °C, 73-94%.</w:t>
                      </w:r>
                    </w:p>
                  </w:txbxContent>
                </v:textbox>
                <w10:anchorlock/>
              </v:shape>
            </w:pict>
          </mc:Fallback>
        </mc:AlternateContent>
      </w:r>
    </w:p>
    <w:p w14:paraId="56BD6340" w14:textId="77777777" w:rsidR="00654CB9" w:rsidRPr="00654CB9" w:rsidRDefault="00654CB9" w:rsidP="00654CB9">
      <w:pPr>
        <w:spacing w:after="0"/>
        <w:ind w:firstLine="720"/>
        <w:contextualSpacing/>
        <w:rPr>
          <w:rFonts w:cs="Times New Roman"/>
          <w:color w:val="000000"/>
          <w:szCs w:val="24"/>
          <w:shd w:val="clear" w:color="auto" w:fill="FFFFFF"/>
        </w:rPr>
      </w:pPr>
      <w:r w:rsidRPr="00654CB9">
        <w:rPr>
          <w:rFonts w:cs="Times New Roman"/>
          <w:color w:val="000000"/>
          <w:szCs w:val="24"/>
          <w:shd w:val="clear" w:color="auto" w:fill="FFFFFF"/>
        </w:rPr>
        <w:t>In hopes of revealing activity trends based on basic physicochemical Hansch parameters</w:t>
      </w:r>
      <w:r w:rsidRPr="00654CB9">
        <w:rPr>
          <w:rFonts w:asciiTheme="minorHAnsi" w:hAnsiTheme="minorHAnsi"/>
          <w:sz w:val="16"/>
          <w:szCs w:val="16"/>
        </w:rPr>
        <w:t xml:space="preserve"> </w:t>
      </w:r>
      <w:r w:rsidRPr="00654CB9">
        <w:rPr>
          <w:rFonts w:asciiTheme="minorHAnsi" w:hAnsiTheme="minorHAnsi"/>
          <w:szCs w:val="24"/>
        </w:rPr>
        <w:t>(</w:t>
      </w:r>
      <w:r w:rsidRPr="00654CB9">
        <w:rPr>
          <w:rFonts w:cs="Times New Roman"/>
          <w:color w:val="000000"/>
          <w:szCs w:val="24"/>
          <w:shd w:val="clear" w:color="auto" w:fill="FFFFFF"/>
        </w:rPr>
        <w:t>e.g., lipophilicity (π), size (E</w:t>
      </w:r>
      <w:r w:rsidRPr="00654CB9">
        <w:rPr>
          <w:rFonts w:cs="Times New Roman"/>
          <w:color w:val="000000"/>
          <w:szCs w:val="24"/>
          <w:shd w:val="clear" w:color="auto" w:fill="FFFFFF"/>
          <w:vertAlign w:val="subscript"/>
        </w:rPr>
        <w:t>s</w:t>
      </w:r>
      <w:r w:rsidRPr="00654CB9">
        <w:rPr>
          <w:rFonts w:cs="Times New Roman"/>
          <w:color w:val="000000"/>
          <w:szCs w:val="24"/>
          <w:shd w:val="clear" w:color="auto" w:fill="FFFFFF"/>
        </w:rPr>
        <w:t>), and electronics (</w:t>
      </w:r>
      <w:proofErr w:type="spellStart"/>
      <w:r w:rsidRPr="00654CB9">
        <w:rPr>
          <w:rFonts w:cs="Times New Roman"/>
          <w:color w:val="000000"/>
          <w:szCs w:val="24"/>
          <w:shd w:val="clear" w:color="auto" w:fill="FFFFFF"/>
        </w:rPr>
        <w:t>σ</w:t>
      </w:r>
      <w:r w:rsidRPr="00654CB9">
        <w:rPr>
          <w:rFonts w:cs="Times New Roman"/>
          <w:color w:val="000000"/>
          <w:szCs w:val="24"/>
          <w:shd w:val="clear" w:color="auto" w:fill="FFFFFF"/>
          <w:vertAlign w:val="subscript"/>
        </w:rPr>
        <w:t>p</w:t>
      </w:r>
      <w:proofErr w:type="spellEnd"/>
      <w:r w:rsidRPr="00654CB9">
        <w:rPr>
          <w:rFonts w:cs="Times New Roman"/>
          <w:color w:val="000000"/>
          <w:szCs w:val="24"/>
          <w:shd w:val="clear" w:color="auto" w:fill="FFFFFF"/>
        </w:rPr>
        <w:t>)), –log (EC</w:t>
      </w:r>
      <w:r w:rsidRPr="00654CB9">
        <w:rPr>
          <w:rFonts w:cs="Times New Roman"/>
          <w:color w:val="000000"/>
          <w:szCs w:val="24"/>
          <w:shd w:val="clear" w:color="auto" w:fill="FFFFFF"/>
          <w:vertAlign w:val="subscript"/>
        </w:rPr>
        <w:t>50</w:t>
      </w:r>
      <w:r w:rsidRPr="00654CB9">
        <w:rPr>
          <w:rFonts w:cs="Times New Roman"/>
          <w:color w:val="000000"/>
          <w:szCs w:val="24"/>
          <w:shd w:val="clear" w:color="auto" w:fill="FFFFFF"/>
        </w:rPr>
        <w:t xml:space="preserve">) values were plotted versus individual descriptors. Unfortunately, no obvious linear free energy relationship correlations are observed.  </w:t>
      </w:r>
    </w:p>
    <w:p w14:paraId="3A9583E3" w14:textId="77777777" w:rsidR="00654CB9" w:rsidRPr="00654CB9" w:rsidRDefault="00654CB9" w:rsidP="00971132">
      <w:pPr>
        <w:spacing w:after="0"/>
        <w:contextualSpacing/>
        <w:rPr>
          <w:rFonts w:cs="Times New Roman"/>
          <w:iCs/>
          <w:color w:val="000000"/>
          <w:szCs w:val="24"/>
          <w:shd w:val="clear" w:color="auto" w:fill="FFFFFF"/>
        </w:rPr>
      </w:pPr>
      <w:r w:rsidRPr="00654CB9">
        <w:rPr>
          <w:rFonts w:cs="Times New Roman"/>
          <w:iCs/>
          <w:noProof/>
          <w:color w:val="000000"/>
          <w:szCs w:val="24"/>
          <w:shd w:val="clear" w:color="auto" w:fill="FFFFFF"/>
        </w:rPr>
        <w:lastRenderedPageBreak/>
        <mc:AlternateContent>
          <mc:Choice Requires="wps">
            <w:drawing>
              <wp:inline distT="0" distB="0" distL="0" distR="0" wp14:anchorId="7EFA710D" wp14:editId="6B3B13D0">
                <wp:extent cx="5943600" cy="4389120"/>
                <wp:effectExtent l="0" t="0" r="19050" b="1143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389120"/>
                        </a:xfrm>
                        <a:prstGeom prst="rect">
                          <a:avLst/>
                        </a:prstGeom>
                        <a:solidFill>
                          <a:srgbClr val="FFFFFF"/>
                        </a:solidFill>
                        <a:ln w="9525">
                          <a:solidFill>
                            <a:srgbClr val="000000"/>
                          </a:solidFill>
                          <a:miter lim="800000"/>
                          <a:headEnd/>
                          <a:tailEnd/>
                        </a:ln>
                      </wps:spPr>
                      <wps:txbx>
                        <w:txbxContent>
                          <w:p w14:paraId="705CD178" w14:textId="77777777" w:rsidR="00654CB9" w:rsidRDefault="00654CB9" w:rsidP="00654CB9">
                            <w:pPr>
                              <w:keepNext/>
                              <w:spacing w:after="0"/>
                              <w:jc w:val="center"/>
                            </w:pPr>
                            <w:r>
                              <w:rPr>
                                <w:noProof/>
                              </w:rPr>
                              <w:drawing>
                                <wp:inline distT="0" distB="0" distL="0" distR="0" wp14:anchorId="559C36FA" wp14:editId="2EA31FC0">
                                  <wp:extent cx="5431536" cy="3456432"/>
                                  <wp:effectExtent l="0" t="0" r="0" b="0"/>
                                  <wp:docPr id="194" name="Picture 194" descr="β-galactosidase activity of A-ring substituted analo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β-galactosidase activity of A-ring substituted analogs. "/>
                                          <pic:cNvPicPr/>
                                        </pic:nvPicPr>
                                        <pic:blipFill>
                                          <a:blip r:embed="rId109">
                                            <a:extLst>
                                              <a:ext uri="{28A0092B-C50C-407E-A947-70E740481C1C}">
                                                <a14:useLocalDpi xmlns:a14="http://schemas.microsoft.com/office/drawing/2010/main" val="0"/>
                                              </a:ext>
                                            </a:extLst>
                                          </a:blip>
                                          <a:stretch>
                                            <a:fillRect/>
                                          </a:stretch>
                                        </pic:blipFill>
                                        <pic:spPr>
                                          <a:xfrm>
                                            <a:off x="0" y="0"/>
                                            <a:ext cx="5431536" cy="3456432"/>
                                          </a:xfrm>
                                          <a:prstGeom prst="rect">
                                            <a:avLst/>
                                          </a:prstGeom>
                                        </pic:spPr>
                                      </pic:pic>
                                    </a:graphicData>
                                  </a:graphic>
                                </wp:inline>
                              </w:drawing>
                            </w:r>
                          </w:p>
                          <w:p w14:paraId="33DCE893" w14:textId="747EE081" w:rsidR="00654CB9" w:rsidRPr="00D03824" w:rsidRDefault="00654CB9" w:rsidP="00DF51F5">
                            <w:pPr>
                              <w:pStyle w:val="Caption"/>
                              <w:rPr>
                                <w:rStyle w:val="Emphasis"/>
                                <w:rFonts w:cs="Times New Roman"/>
                                <w:i w:val="0"/>
                                <w:iCs w:val="0"/>
                                <w:color w:val="000000"/>
                                <w:szCs w:val="24"/>
                                <w:shd w:val="clear" w:color="auto" w:fill="FFFFFF"/>
                              </w:rPr>
                            </w:pPr>
                            <w:bookmarkStart w:id="147" w:name="_Toc97309249"/>
                            <w:bookmarkStart w:id="148" w:name="_Toc100748298"/>
                            <w:r>
                              <w:t>Figure 2.</w:t>
                            </w:r>
                            <w:fldSimple w:instr=" SEQ Figure \* ARABIC ">
                              <w:r w:rsidR="00AA5AAC">
                                <w:rPr>
                                  <w:noProof/>
                                </w:rPr>
                                <w:t>4</w:t>
                              </w:r>
                            </w:fldSimple>
                            <w:r>
                              <w:t xml:space="preserve">. </w:t>
                            </w:r>
                            <w:r w:rsidRPr="00D03824">
                              <w:rPr>
                                <w:rStyle w:val="Emphasis"/>
                                <w:rFonts w:cs="Times New Roman"/>
                                <w:i w:val="0"/>
                                <w:iCs w:val="0"/>
                                <w:color w:val="000000"/>
                                <w:szCs w:val="24"/>
                                <w:shd w:val="clear" w:color="auto" w:fill="FFFFFF"/>
                              </w:rPr>
                              <w:t>β-galactosidase activity of A-ring substituted analogs.</w:t>
                            </w:r>
                            <w:bookmarkEnd w:id="147"/>
                            <w:bookmarkEnd w:id="148"/>
                            <w:r w:rsidRPr="00D03824">
                              <w:rPr>
                                <w:rStyle w:val="Emphasis"/>
                                <w:rFonts w:cs="Times New Roman"/>
                                <w:i w:val="0"/>
                                <w:iCs w:val="0"/>
                                <w:color w:val="000000"/>
                                <w:szCs w:val="24"/>
                                <w:shd w:val="clear" w:color="auto" w:fill="FFFFFF"/>
                              </w:rPr>
                              <w:t xml:space="preserve"> </w:t>
                            </w:r>
                          </w:p>
                          <w:p w14:paraId="3CD30C2B" w14:textId="77777777" w:rsidR="00654CB9" w:rsidRPr="00D03824" w:rsidRDefault="00654CB9" w:rsidP="00654CB9">
                            <w:pPr>
                              <w:spacing w:after="0" w:line="240" w:lineRule="auto"/>
                              <w:contextualSpacing/>
                              <w:rPr>
                                <w:i/>
                                <w:iCs/>
                              </w:rPr>
                            </w:pPr>
                            <w:proofErr w:type="spellStart"/>
                            <w:r w:rsidRPr="00D03824">
                              <w:rPr>
                                <w:rStyle w:val="Emphasis"/>
                                <w:rFonts w:cs="Times New Roman"/>
                                <w:i w:val="0"/>
                                <w:iCs w:val="0"/>
                                <w:color w:val="000000"/>
                                <w:szCs w:val="24"/>
                                <w:shd w:val="clear" w:color="auto" w:fill="FFFFFF"/>
                                <w:vertAlign w:val="superscript"/>
                              </w:rPr>
                              <w:t>a</w:t>
                            </w:r>
                            <w:r w:rsidRPr="00D03824">
                              <w:rPr>
                                <w:rStyle w:val="Emphasis"/>
                                <w:rFonts w:cs="Times New Roman"/>
                                <w:i w:val="0"/>
                                <w:iCs w:val="0"/>
                                <w:color w:val="000000"/>
                                <w:szCs w:val="24"/>
                                <w:shd w:val="clear" w:color="auto" w:fill="FFFFFF"/>
                              </w:rPr>
                              <w:t>Evidence</w:t>
                            </w:r>
                            <w:proofErr w:type="spellEnd"/>
                            <w:r w:rsidRPr="00D03824">
                              <w:rPr>
                                <w:rStyle w:val="Emphasis"/>
                                <w:rFonts w:cs="Times New Roman"/>
                                <w:i w:val="0"/>
                                <w:iCs w:val="0"/>
                                <w:color w:val="000000"/>
                                <w:szCs w:val="24"/>
                                <w:shd w:val="clear" w:color="auto" w:fill="FFFFFF"/>
                              </w:rPr>
                              <w:t xml:space="preserve"> of stress response activation due to cytotoxicity. Results are provided as the mean ± SEM of at least three separate experiments performed in triplicate. ND = not determined.</w:t>
                            </w:r>
                          </w:p>
                        </w:txbxContent>
                      </wps:txbx>
                      <wps:bodyPr rot="0" vert="horz" wrap="square" lIns="91440" tIns="45720" rIns="91440" bIns="45720" anchor="t" anchorCtr="0">
                        <a:noAutofit/>
                      </wps:bodyPr>
                    </wps:wsp>
                  </a:graphicData>
                </a:graphic>
              </wp:inline>
            </w:drawing>
          </mc:Choice>
          <mc:Fallback>
            <w:pict>
              <v:shape w14:anchorId="7EFA710D" id="_x0000_s1046" type="#_x0000_t202" style="width:468pt;height:34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">
                <v:textbox>
                  <w:txbxContent>
                    <w:p w14:paraId="705CD178" w14:textId="77777777" w:rsidR="00654CB9" w:rsidRDefault="00654CB9" w:rsidP="00654CB9">
                      <w:pPr>
                        <w:keepNext/>
                        <w:spacing w:after="0"/>
                        <w:jc w:val="center"/>
                      </w:pPr>
                      <w:r>
                        <w:rPr>
                          <w:noProof/>
                        </w:rPr>
                        <w:drawing>
                          <wp:inline distT="0" distB="0" distL="0" distR="0" wp14:anchorId="559C36FA" wp14:editId="2EA31FC0">
                            <wp:extent cx="5431536" cy="3456432"/>
                            <wp:effectExtent l="0" t="0" r="0" b="0"/>
                            <wp:docPr id="194" name="Picture 194" descr="β-galactosidase activity of A-ring substituted analo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β-galactosidase activity of A-ring substituted analogs. "/>
                                    <pic:cNvPicPr/>
                                  </pic:nvPicPr>
                                  <pic:blipFill>
                                    <a:blip r:embed="rId109">
                                      <a:extLst>
                                        <a:ext uri="{28A0092B-C50C-407E-A947-70E740481C1C}">
                                          <a14:useLocalDpi xmlns:a14="http://schemas.microsoft.com/office/drawing/2010/main" val="0"/>
                                        </a:ext>
                                      </a:extLst>
                                    </a:blip>
                                    <a:stretch>
                                      <a:fillRect/>
                                    </a:stretch>
                                  </pic:blipFill>
                                  <pic:spPr>
                                    <a:xfrm>
                                      <a:off x="0" y="0"/>
                                      <a:ext cx="5431536" cy="3456432"/>
                                    </a:xfrm>
                                    <a:prstGeom prst="rect">
                                      <a:avLst/>
                                    </a:prstGeom>
                                  </pic:spPr>
                                </pic:pic>
                              </a:graphicData>
                            </a:graphic>
                          </wp:inline>
                        </w:drawing>
                      </w:r>
                    </w:p>
                    <w:p w14:paraId="33DCE893" w14:textId="747EE081" w:rsidR="00654CB9" w:rsidRPr="00D03824" w:rsidRDefault="00654CB9" w:rsidP="00DF51F5">
                      <w:pPr>
                        <w:pStyle w:val="Caption"/>
                        <w:rPr>
                          <w:rStyle w:val="Emphasis"/>
                          <w:rFonts w:cs="Times New Roman"/>
                          <w:i w:val="0"/>
                          <w:iCs w:val="0"/>
                          <w:color w:val="000000"/>
                          <w:szCs w:val="24"/>
                          <w:shd w:val="clear" w:color="auto" w:fill="FFFFFF"/>
                        </w:rPr>
                      </w:pPr>
                      <w:bookmarkStart w:id="149" w:name="_Toc97309249"/>
                      <w:bookmarkStart w:id="150" w:name="_Toc100748298"/>
                      <w:r>
                        <w:t>Figure 2.</w:t>
                      </w:r>
                      <w:fldSimple w:instr=" SEQ Figure \* ARABIC ">
                        <w:r w:rsidR="00AA5AAC">
                          <w:rPr>
                            <w:noProof/>
                          </w:rPr>
                          <w:t>4</w:t>
                        </w:r>
                      </w:fldSimple>
                      <w:r>
                        <w:t xml:space="preserve">. </w:t>
                      </w:r>
                      <w:r w:rsidRPr="00D03824">
                        <w:rPr>
                          <w:rStyle w:val="Emphasis"/>
                          <w:rFonts w:cs="Times New Roman"/>
                          <w:i w:val="0"/>
                          <w:iCs w:val="0"/>
                          <w:color w:val="000000"/>
                          <w:szCs w:val="24"/>
                          <w:shd w:val="clear" w:color="auto" w:fill="FFFFFF"/>
                        </w:rPr>
                        <w:t>β-galactosidase activity of A-ring substituted analogs.</w:t>
                      </w:r>
                      <w:bookmarkEnd w:id="149"/>
                      <w:bookmarkEnd w:id="150"/>
                      <w:r w:rsidRPr="00D03824">
                        <w:rPr>
                          <w:rStyle w:val="Emphasis"/>
                          <w:rFonts w:cs="Times New Roman"/>
                          <w:i w:val="0"/>
                          <w:iCs w:val="0"/>
                          <w:color w:val="000000"/>
                          <w:szCs w:val="24"/>
                          <w:shd w:val="clear" w:color="auto" w:fill="FFFFFF"/>
                        </w:rPr>
                        <w:t xml:space="preserve"> </w:t>
                      </w:r>
                    </w:p>
                    <w:p w14:paraId="3CD30C2B" w14:textId="77777777" w:rsidR="00654CB9" w:rsidRPr="00D03824" w:rsidRDefault="00654CB9" w:rsidP="00654CB9">
                      <w:pPr>
                        <w:spacing w:after="0" w:line="240" w:lineRule="auto"/>
                        <w:contextualSpacing/>
                        <w:rPr>
                          <w:i/>
                          <w:iCs/>
                        </w:rPr>
                      </w:pPr>
                      <w:proofErr w:type="spellStart"/>
                      <w:r w:rsidRPr="00D03824">
                        <w:rPr>
                          <w:rStyle w:val="Emphasis"/>
                          <w:rFonts w:cs="Times New Roman"/>
                          <w:i w:val="0"/>
                          <w:iCs w:val="0"/>
                          <w:color w:val="000000"/>
                          <w:szCs w:val="24"/>
                          <w:shd w:val="clear" w:color="auto" w:fill="FFFFFF"/>
                          <w:vertAlign w:val="superscript"/>
                        </w:rPr>
                        <w:t>a</w:t>
                      </w:r>
                      <w:r w:rsidRPr="00D03824">
                        <w:rPr>
                          <w:rStyle w:val="Emphasis"/>
                          <w:rFonts w:cs="Times New Roman"/>
                          <w:i w:val="0"/>
                          <w:iCs w:val="0"/>
                          <w:color w:val="000000"/>
                          <w:szCs w:val="24"/>
                          <w:shd w:val="clear" w:color="auto" w:fill="FFFFFF"/>
                        </w:rPr>
                        <w:t>Evidence</w:t>
                      </w:r>
                      <w:proofErr w:type="spellEnd"/>
                      <w:r w:rsidRPr="00D03824">
                        <w:rPr>
                          <w:rStyle w:val="Emphasis"/>
                          <w:rFonts w:cs="Times New Roman"/>
                          <w:i w:val="0"/>
                          <w:iCs w:val="0"/>
                          <w:color w:val="000000"/>
                          <w:szCs w:val="24"/>
                          <w:shd w:val="clear" w:color="auto" w:fill="FFFFFF"/>
                        </w:rPr>
                        <w:t xml:space="preserve"> of stress response activation due to cytotoxicity. Results are provided as the mean ± SEM of at least three separate experiments performed in triplicate. ND = not determined.</w:t>
                      </w:r>
                    </w:p>
                  </w:txbxContent>
                </v:textbox>
                <w10:anchorlock/>
              </v:shape>
            </w:pict>
          </mc:Fallback>
        </mc:AlternateContent>
      </w:r>
    </w:p>
    <w:p w14:paraId="14F17C0D" w14:textId="77777777" w:rsidR="00654CB9" w:rsidRPr="00654CB9" w:rsidRDefault="00654CB9" w:rsidP="00654CB9">
      <w:pPr>
        <w:spacing w:after="0"/>
        <w:ind w:firstLine="720"/>
        <w:contextualSpacing/>
        <w:rPr>
          <w:rFonts w:cs="Times New Roman"/>
          <w:color w:val="000000"/>
          <w:szCs w:val="24"/>
          <w:shd w:val="clear" w:color="auto" w:fill="FFFFFF"/>
        </w:rPr>
      </w:pPr>
      <w:r w:rsidRPr="00654CB9">
        <w:rPr>
          <w:rFonts w:cs="Times New Roman"/>
          <w:color w:val="000000"/>
          <w:szCs w:val="24"/>
          <w:shd w:val="clear" w:color="auto" w:fill="FFFFFF"/>
        </w:rPr>
        <w:t xml:space="preserve">To further the interrogation of A-ring substitution, we performed a “substituent walk” to evaluate the optimal positioning for the </w:t>
      </w:r>
      <w:proofErr w:type="spellStart"/>
      <w:r w:rsidRPr="00654CB9">
        <w:rPr>
          <w:rFonts w:cs="Times New Roman"/>
          <w:color w:val="000000"/>
          <w:szCs w:val="24"/>
          <w:shd w:val="clear" w:color="auto" w:fill="FFFFFF"/>
        </w:rPr>
        <w:t>fluoro</w:t>
      </w:r>
      <w:proofErr w:type="spellEnd"/>
      <w:r w:rsidRPr="00654CB9">
        <w:rPr>
          <w:rFonts w:cs="Times New Roman"/>
          <w:color w:val="000000"/>
          <w:szCs w:val="24"/>
          <w:shd w:val="clear" w:color="auto" w:fill="FFFFFF"/>
        </w:rPr>
        <w:t xml:space="preserve"> and trifluoromethyl substituents. The observation that the 6-fluoro analog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16</w:t>
      </w:r>
      <w:r w:rsidRPr="00654CB9">
        <w:rPr>
          <w:rFonts w:cs="Times New Roman"/>
          <w:color w:val="000000"/>
          <w:szCs w:val="24"/>
          <w:shd w:val="clear" w:color="auto" w:fill="FFFFFF"/>
        </w:rPr>
        <w:t xml:space="preserve"> exhibited near equipotency to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6</w:t>
      </w:r>
      <w:r w:rsidRPr="00654CB9">
        <w:rPr>
          <w:rFonts w:cs="Times New Roman"/>
          <w:color w:val="000000"/>
          <w:szCs w:val="24"/>
          <w:shd w:val="clear" w:color="auto" w:fill="FFFFFF"/>
        </w:rPr>
        <w:t xml:space="preserve"> led us to synthesize and evaluate the 5,6-difluoro analog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20</w:t>
      </w:r>
      <w:r w:rsidRPr="00654CB9">
        <w:rPr>
          <w:rFonts w:cs="Times New Roman"/>
          <w:color w:val="000000"/>
          <w:szCs w:val="24"/>
          <w:shd w:val="clear" w:color="auto" w:fill="FFFFFF"/>
        </w:rPr>
        <w:t xml:space="preserve"> (</w:t>
      </w:r>
      <w:r w:rsidRPr="00654CB9">
        <w:rPr>
          <w:rFonts w:cs="Times New Roman"/>
          <w:b/>
          <w:color w:val="000000"/>
          <w:szCs w:val="24"/>
          <w:shd w:val="clear" w:color="auto" w:fill="FFFFFF"/>
        </w:rPr>
        <w:t xml:space="preserve">Figure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5</w:t>
      </w:r>
      <w:r w:rsidRPr="00654CB9">
        <w:rPr>
          <w:rFonts w:cs="Times New Roman"/>
          <w:color w:val="000000"/>
          <w:szCs w:val="24"/>
          <w:shd w:val="clear" w:color="auto" w:fill="FFFFFF"/>
        </w:rPr>
        <w:t xml:space="preserve">). Gratifyingly, this substituent combination proved to be additive and improved activity ~3-fold from compound </w:t>
      </w:r>
      <w:r w:rsidRPr="00654CB9">
        <w:rPr>
          <w:rFonts w:cs="Times New Roman"/>
          <w:b/>
          <w:bCs/>
          <w:szCs w:val="24"/>
        </w:rPr>
        <w:t>2.</w:t>
      </w:r>
      <w:r w:rsidRPr="00654CB9">
        <w:rPr>
          <w:rFonts w:cs="Times New Roman"/>
          <w:b/>
          <w:color w:val="000000"/>
          <w:szCs w:val="24"/>
          <w:shd w:val="clear" w:color="auto" w:fill="FFFFFF"/>
        </w:rPr>
        <w:t>6</w:t>
      </w:r>
      <w:r w:rsidRPr="00654CB9">
        <w:rPr>
          <w:rFonts w:cs="Times New Roman"/>
          <w:color w:val="000000"/>
          <w:szCs w:val="24"/>
          <w:shd w:val="clear" w:color="auto" w:fill="FFFFFF"/>
        </w:rPr>
        <w:t xml:space="preserve"> and ~5-fold from compound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 xml:space="preserve">16 </w:t>
      </w:r>
      <w:r w:rsidRPr="00654CB9">
        <w:rPr>
          <w:rFonts w:cs="Times New Roman"/>
          <w:color w:val="000000"/>
          <w:szCs w:val="24"/>
          <w:shd w:val="clear" w:color="auto" w:fill="FFFFFF"/>
        </w:rPr>
        <w:t>(</w:t>
      </w:r>
      <w:r w:rsidRPr="00654CB9">
        <w:rPr>
          <w:rFonts w:cs="Times New Roman"/>
          <w:b/>
          <w:color w:val="000000"/>
          <w:szCs w:val="24"/>
          <w:shd w:val="clear" w:color="auto" w:fill="FFFFFF"/>
        </w:rPr>
        <w:t xml:space="preserve">Figure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5</w:t>
      </w:r>
      <w:r w:rsidRPr="00654CB9">
        <w:rPr>
          <w:rFonts w:cs="Times New Roman"/>
          <w:color w:val="000000"/>
          <w:szCs w:val="24"/>
          <w:shd w:val="clear" w:color="auto" w:fill="FFFFFF"/>
        </w:rPr>
        <w:t xml:space="preserve">). Overall, in comparison to the initial hit </w:t>
      </w:r>
      <w:r w:rsidRPr="00654CB9">
        <w:rPr>
          <w:rFonts w:cs="Times New Roman"/>
          <w:b/>
          <w:bCs/>
          <w:szCs w:val="24"/>
        </w:rPr>
        <w:t>2.</w:t>
      </w:r>
      <w:r w:rsidRPr="00654CB9">
        <w:rPr>
          <w:rFonts w:cs="Times New Roman"/>
          <w:b/>
          <w:color w:val="000000"/>
          <w:szCs w:val="24"/>
          <w:shd w:val="clear" w:color="auto" w:fill="FFFFFF"/>
        </w:rPr>
        <w:t xml:space="preserve">1 </w:t>
      </w:r>
      <w:r w:rsidRPr="00654CB9">
        <w:rPr>
          <w:rFonts w:cs="Times New Roman"/>
          <w:color w:val="000000"/>
          <w:szCs w:val="24"/>
          <w:shd w:val="clear" w:color="auto" w:fill="FFFFFF"/>
        </w:rPr>
        <w:t xml:space="preserve">and the unsubstituted derivative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w:t>
      </w:r>
      <w:r w:rsidRPr="00654CB9">
        <w:rPr>
          <w:rFonts w:cs="Times New Roman"/>
          <w:color w:val="000000"/>
          <w:szCs w:val="24"/>
          <w:shd w:val="clear" w:color="auto" w:fill="FFFFFF"/>
        </w:rPr>
        <w:t xml:space="preserve">, compound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20</w:t>
      </w:r>
      <w:r w:rsidRPr="00654CB9">
        <w:rPr>
          <w:rFonts w:cs="Times New Roman"/>
          <w:color w:val="000000"/>
          <w:szCs w:val="24"/>
          <w:shd w:val="clear" w:color="auto" w:fill="FFFFFF"/>
        </w:rPr>
        <w:t xml:space="preserve"> exhibits ~9-fold and ~11-fold improvements in cellular potency, respectively. </w:t>
      </w:r>
    </w:p>
    <w:p w14:paraId="0F30B75F" w14:textId="77777777" w:rsidR="00654CB9" w:rsidRPr="00654CB9" w:rsidRDefault="00654CB9" w:rsidP="00971132">
      <w:pPr>
        <w:contextualSpacing/>
        <w:rPr>
          <w:rFonts w:cs="Times New Roman"/>
          <w:iCs/>
          <w:color w:val="000000"/>
          <w:szCs w:val="24"/>
          <w:shd w:val="clear" w:color="auto" w:fill="FFFFFF"/>
        </w:rPr>
      </w:pPr>
      <w:r w:rsidRPr="00654CB9">
        <w:rPr>
          <w:rFonts w:cs="Times New Roman"/>
          <w:iCs/>
          <w:noProof/>
          <w:color w:val="000000"/>
          <w:szCs w:val="24"/>
          <w:shd w:val="clear" w:color="auto" w:fill="FFFFFF"/>
        </w:rPr>
        <w:lastRenderedPageBreak/>
        <mc:AlternateContent>
          <mc:Choice Requires="wps">
            <w:drawing>
              <wp:inline distT="0" distB="0" distL="0" distR="0" wp14:anchorId="104085E9" wp14:editId="2C5D789C">
                <wp:extent cx="5943600" cy="4595854"/>
                <wp:effectExtent l="0" t="0" r="19050" b="1460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95854"/>
                        </a:xfrm>
                        <a:prstGeom prst="rect">
                          <a:avLst/>
                        </a:prstGeom>
                        <a:solidFill>
                          <a:srgbClr val="FFFFFF"/>
                        </a:solidFill>
                        <a:ln w="9525">
                          <a:solidFill>
                            <a:srgbClr val="000000"/>
                          </a:solidFill>
                          <a:miter lim="800000"/>
                          <a:headEnd/>
                          <a:tailEnd/>
                        </a:ln>
                      </wps:spPr>
                      <wps:txbx>
                        <w:txbxContent>
                          <w:p w14:paraId="494A8125" w14:textId="77777777" w:rsidR="00654CB9" w:rsidRDefault="00654CB9" w:rsidP="00654CB9">
                            <w:pPr>
                              <w:keepNext/>
                              <w:spacing w:after="0"/>
                              <w:jc w:val="center"/>
                            </w:pPr>
                            <w:r>
                              <w:rPr>
                                <w:noProof/>
                              </w:rPr>
                              <w:drawing>
                                <wp:inline distT="0" distB="0" distL="0" distR="0" wp14:anchorId="4565BADC" wp14:editId="4E1A9DE7">
                                  <wp:extent cx="4898390" cy="3490595"/>
                                  <wp:effectExtent l="0" t="0" r="0" b="0"/>
                                  <wp:docPr id="195" name="Picture 195" descr="Results of “substituent-walk” around the A-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Results of “substituent-walk” around the A-ring. "/>
                                          <pic:cNvPicPr/>
                                        </pic:nvPicPr>
                                        <pic:blipFill>
                                          <a:blip r:embed="rId110">
                                            <a:extLst>
                                              <a:ext uri="{28A0092B-C50C-407E-A947-70E740481C1C}">
                                                <a14:useLocalDpi xmlns:a14="http://schemas.microsoft.com/office/drawing/2010/main" val="0"/>
                                              </a:ext>
                                            </a:extLst>
                                          </a:blip>
                                          <a:stretch>
                                            <a:fillRect/>
                                          </a:stretch>
                                        </pic:blipFill>
                                        <pic:spPr>
                                          <a:xfrm>
                                            <a:off x="0" y="0"/>
                                            <a:ext cx="4898390" cy="3490595"/>
                                          </a:xfrm>
                                          <a:prstGeom prst="rect">
                                            <a:avLst/>
                                          </a:prstGeom>
                                        </pic:spPr>
                                      </pic:pic>
                                    </a:graphicData>
                                  </a:graphic>
                                </wp:inline>
                              </w:drawing>
                            </w:r>
                          </w:p>
                          <w:p w14:paraId="4A4943B4" w14:textId="515B61C6" w:rsidR="00654CB9" w:rsidRPr="00D03824" w:rsidRDefault="00654CB9" w:rsidP="00DF51F5">
                            <w:pPr>
                              <w:pStyle w:val="Caption"/>
                              <w:rPr>
                                <w:rStyle w:val="Emphasis"/>
                                <w:rFonts w:cs="Times New Roman"/>
                                <w:i w:val="0"/>
                                <w:iCs w:val="0"/>
                                <w:color w:val="000000"/>
                                <w:szCs w:val="24"/>
                                <w:shd w:val="clear" w:color="auto" w:fill="FFFFFF"/>
                              </w:rPr>
                            </w:pPr>
                            <w:bookmarkStart w:id="151" w:name="_Toc97309250"/>
                            <w:bookmarkStart w:id="152" w:name="_Toc100748299"/>
                            <w:r>
                              <w:t xml:space="preserve">Figure </w:t>
                            </w:r>
                            <w:r w:rsidR="00867AF0">
                              <w:t>2.</w:t>
                            </w:r>
                            <w:fldSimple w:instr=" SEQ Figure \* ARABIC ">
                              <w:r w:rsidR="00AA5AAC">
                                <w:rPr>
                                  <w:noProof/>
                                </w:rPr>
                                <w:t>5</w:t>
                              </w:r>
                            </w:fldSimple>
                            <w:r>
                              <w:t xml:space="preserve">. </w:t>
                            </w:r>
                            <w:r w:rsidRPr="00D03824">
                              <w:rPr>
                                <w:rStyle w:val="Emphasis"/>
                                <w:rFonts w:cs="Times New Roman"/>
                                <w:i w:val="0"/>
                                <w:iCs w:val="0"/>
                                <w:color w:val="000000"/>
                                <w:szCs w:val="24"/>
                                <w:shd w:val="clear" w:color="auto" w:fill="FFFFFF"/>
                              </w:rPr>
                              <w:t>Results of “substituent-walk” around the A-ring.</w:t>
                            </w:r>
                            <w:bookmarkEnd w:id="151"/>
                            <w:bookmarkEnd w:id="152"/>
                            <w:r w:rsidRPr="00D03824">
                              <w:rPr>
                                <w:rStyle w:val="Emphasis"/>
                                <w:rFonts w:cs="Times New Roman"/>
                                <w:i w:val="0"/>
                                <w:iCs w:val="0"/>
                                <w:color w:val="000000"/>
                                <w:szCs w:val="24"/>
                                <w:shd w:val="clear" w:color="auto" w:fill="FFFFFF"/>
                              </w:rPr>
                              <w:t xml:space="preserve"> </w:t>
                            </w:r>
                          </w:p>
                          <w:p w14:paraId="77B7335E" w14:textId="77777777" w:rsidR="00654CB9" w:rsidRPr="00D03824" w:rsidRDefault="00654CB9" w:rsidP="00654CB9">
                            <w:pPr>
                              <w:spacing w:after="0" w:line="240" w:lineRule="auto"/>
                              <w:contextualSpacing/>
                              <w:rPr>
                                <w:rFonts w:cs="Times New Roman"/>
                                <w:i/>
                                <w:iCs/>
                                <w:color w:val="000000"/>
                                <w:szCs w:val="24"/>
                                <w:shd w:val="clear" w:color="auto" w:fill="FFFFFF"/>
                              </w:rPr>
                            </w:pPr>
                            <w:proofErr w:type="spellStart"/>
                            <w:r w:rsidRPr="00D03824">
                              <w:rPr>
                                <w:rStyle w:val="Emphasis"/>
                                <w:rFonts w:cs="Times New Roman"/>
                                <w:i w:val="0"/>
                                <w:iCs w:val="0"/>
                                <w:color w:val="000000"/>
                                <w:szCs w:val="24"/>
                                <w:shd w:val="clear" w:color="auto" w:fill="FFFFFF"/>
                                <w:vertAlign w:val="superscript"/>
                              </w:rPr>
                              <w:t>a</w:t>
                            </w:r>
                            <w:r w:rsidRPr="00D03824">
                              <w:rPr>
                                <w:rStyle w:val="Emphasis"/>
                                <w:rFonts w:cs="Times New Roman"/>
                                <w:i w:val="0"/>
                                <w:iCs w:val="0"/>
                                <w:color w:val="000000"/>
                                <w:szCs w:val="24"/>
                                <w:shd w:val="clear" w:color="auto" w:fill="FFFFFF"/>
                              </w:rPr>
                              <w:t>Low</w:t>
                            </w:r>
                            <w:proofErr w:type="spellEnd"/>
                            <w:r w:rsidRPr="00D03824">
                              <w:rPr>
                                <w:rStyle w:val="Emphasis"/>
                                <w:rFonts w:cs="Times New Roman"/>
                                <w:i w:val="0"/>
                                <w:iCs w:val="0"/>
                                <w:color w:val="000000"/>
                                <w:szCs w:val="24"/>
                                <w:shd w:val="clear" w:color="auto" w:fill="FFFFFF"/>
                              </w:rPr>
                              <w:t xml:space="preserve"> levels of agonism did not allow for EC</w:t>
                            </w:r>
                            <w:r w:rsidRPr="00D03824">
                              <w:rPr>
                                <w:rStyle w:val="Emphasis"/>
                                <w:rFonts w:cs="Times New Roman"/>
                                <w:i w:val="0"/>
                                <w:iCs w:val="0"/>
                                <w:color w:val="000000"/>
                                <w:szCs w:val="24"/>
                                <w:shd w:val="clear" w:color="auto" w:fill="FFFFFF"/>
                                <w:vertAlign w:val="subscript"/>
                              </w:rPr>
                              <w:t>50</w:t>
                            </w:r>
                            <w:r w:rsidRPr="00D03824">
                              <w:rPr>
                                <w:rStyle w:val="Emphasis"/>
                                <w:rFonts w:cs="Times New Roman"/>
                                <w:i w:val="0"/>
                                <w:iCs w:val="0"/>
                                <w:color w:val="000000"/>
                                <w:szCs w:val="24"/>
                                <w:shd w:val="clear" w:color="auto" w:fill="FFFFFF"/>
                              </w:rPr>
                              <w:t xml:space="preserve"> calculation. </w:t>
                            </w:r>
                            <w:proofErr w:type="spellStart"/>
                            <w:r w:rsidRPr="00D03824">
                              <w:rPr>
                                <w:rStyle w:val="Emphasis"/>
                                <w:rFonts w:cs="Times New Roman"/>
                                <w:i w:val="0"/>
                                <w:iCs w:val="0"/>
                                <w:color w:val="000000"/>
                                <w:szCs w:val="24"/>
                                <w:shd w:val="clear" w:color="auto" w:fill="FFFFFF"/>
                                <w:vertAlign w:val="superscript"/>
                              </w:rPr>
                              <w:t>b</w:t>
                            </w:r>
                            <w:r w:rsidRPr="00D03824">
                              <w:rPr>
                                <w:rStyle w:val="Emphasis"/>
                                <w:rFonts w:cs="Times New Roman"/>
                                <w:i w:val="0"/>
                                <w:iCs w:val="0"/>
                                <w:color w:val="000000"/>
                                <w:szCs w:val="24"/>
                                <w:shd w:val="clear" w:color="auto" w:fill="FFFFFF"/>
                              </w:rPr>
                              <w:t>General</w:t>
                            </w:r>
                            <w:proofErr w:type="spellEnd"/>
                            <w:r w:rsidRPr="00D03824">
                              <w:rPr>
                                <w:rStyle w:val="Emphasis"/>
                                <w:rFonts w:cs="Times New Roman"/>
                                <w:i w:val="0"/>
                                <w:iCs w:val="0"/>
                                <w:color w:val="000000"/>
                                <w:szCs w:val="24"/>
                                <w:shd w:val="clear" w:color="auto" w:fill="FFFFFF"/>
                              </w:rPr>
                              <w:t xml:space="preserve"> activation of stress response due to cytotoxicity. Results are provided as the mean ± SEM of at least three separate experiments performed in triplicate.</w:t>
                            </w:r>
                          </w:p>
                        </w:txbxContent>
                      </wps:txbx>
                      <wps:bodyPr rot="0" vert="horz" wrap="square" lIns="91440" tIns="45720" rIns="91440" bIns="45720" anchor="t" anchorCtr="0">
                        <a:noAutofit/>
                      </wps:bodyPr>
                    </wps:wsp>
                  </a:graphicData>
                </a:graphic>
              </wp:inline>
            </w:drawing>
          </mc:Choice>
          <mc:Fallback>
            <w:pict>
              <v:shape w14:anchorId="104085E9" id="_x0000_s1047" type="#_x0000_t202" style="width:468pt;height:36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">
                <v:textbox>
                  <w:txbxContent>
                    <w:p w14:paraId="494A8125" w14:textId="77777777" w:rsidR="00654CB9" w:rsidRDefault="00654CB9" w:rsidP="00654CB9">
                      <w:pPr>
                        <w:keepNext/>
                        <w:spacing w:after="0"/>
                        <w:jc w:val="center"/>
                      </w:pPr>
                      <w:r>
                        <w:rPr>
                          <w:noProof/>
                        </w:rPr>
                        <w:drawing>
                          <wp:inline distT="0" distB="0" distL="0" distR="0" wp14:anchorId="4565BADC" wp14:editId="4E1A9DE7">
                            <wp:extent cx="4898390" cy="3490595"/>
                            <wp:effectExtent l="0" t="0" r="0" b="0"/>
                            <wp:docPr id="195" name="Picture 195" descr="Results of “substituent-walk” around the A-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Results of “substituent-walk” around the A-ring. "/>
                                    <pic:cNvPicPr/>
                                  </pic:nvPicPr>
                                  <pic:blipFill>
                                    <a:blip r:embed="rId110">
                                      <a:extLst>
                                        <a:ext uri="{28A0092B-C50C-407E-A947-70E740481C1C}">
                                          <a14:useLocalDpi xmlns:a14="http://schemas.microsoft.com/office/drawing/2010/main" val="0"/>
                                        </a:ext>
                                      </a:extLst>
                                    </a:blip>
                                    <a:stretch>
                                      <a:fillRect/>
                                    </a:stretch>
                                  </pic:blipFill>
                                  <pic:spPr>
                                    <a:xfrm>
                                      <a:off x="0" y="0"/>
                                      <a:ext cx="4898390" cy="3490595"/>
                                    </a:xfrm>
                                    <a:prstGeom prst="rect">
                                      <a:avLst/>
                                    </a:prstGeom>
                                  </pic:spPr>
                                </pic:pic>
                              </a:graphicData>
                            </a:graphic>
                          </wp:inline>
                        </w:drawing>
                      </w:r>
                    </w:p>
                    <w:p w14:paraId="4A4943B4" w14:textId="515B61C6" w:rsidR="00654CB9" w:rsidRPr="00D03824" w:rsidRDefault="00654CB9" w:rsidP="00DF51F5">
                      <w:pPr>
                        <w:pStyle w:val="Caption"/>
                        <w:rPr>
                          <w:rStyle w:val="Emphasis"/>
                          <w:rFonts w:cs="Times New Roman"/>
                          <w:i w:val="0"/>
                          <w:iCs w:val="0"/>
                          <w:color w:val="000000"/>
                          <w:szCs w:val="24"/>
                          <w:shd w:val="clear" w:color="auto" w:fill="FFFFFF"/>
                        </w:rPr>
                      </w:pPr>
                      <w:bookmarkStart w:id="153" w:name="_Toc97309250"/>
                      <w:bookmarkStart w:id="154" w:name="_Toc100748299"/>
                      <w:r>
                        <w:t xml:space="preserve">Figure </w:t>
                      </w:r>
                      <w:r w:rsidR="00867AF0">
                        <w:t>2.</w:t>
                      </w:r>
                      <w:fldSimple w:instr=" SEQ Figure \* ARABIC ">
                        <w:r w:rsidR="00AA5AAC">
                          <w:rPr>
                            <w:noProof/>
                          </w:rPr>
                          <w:t>5</w:t>
                        </w:r>
                      </w:fldSimple>
                      <w:r>
                        <w:t xml:space="preserve">. </w:t>
                      </w:r>
                      <w:r w:rsidRPr="00D03824">
                        <w:rPr>
                          <w:rStyle w:val="Emphasis"/>
                          <w:rFonts w:cs="Times New Roman"/>
                          <w:i w:val="0"/>
                          <w:iCs w:val="0"/>
                          <w:color w:val="000000"/>
                          <w:szCs w:val="24"/>
                          <w:shd w:val="clear" w:color="auto" w:fill="FFFFFF"/>
                        </w:rPr>
                        <w:t>Results of “substituent-walk” around the A-ring.</w:t>
                      </w:r>
                      <w:bookmarkEnd w:id="153"/>
                      <w:bookmarkEnd w:id="154"/>
                      <w:r w:rsidRPr="00D03824">
                        <w:rPr>
                          <w:rStyle w:val="Emphasis"/>
                          <w:rFonts w:cs="Times New Roman"/>
                          <w:i w:val="0"/>
                          <w:iCs w:val="0"/>
                          <w:color w:val="000000"/>
                          <w:szCs w:val="24"/>
                          <w:shd w:val="clear" w:color="auto" w:fill="FFFFFF"/>
                        </w:rPr>
                        <w:t xml:space="preserve"> </w:t>
                      </w:r>
                    </w:p>
                    <w:p w14:paraId="77B7335E" w14:textId="77777777" w:rsidR="00654CB9" w:rsidRPr="00D03824" w:rsidRDefault="00654CB9" w:rsidP="00654CB9">
                      <w:pPr>
                        <w:spacing w:after="0" w:line="240" w:lineRule="auto"/>
                        <w:contextualSpacing/>
                        <w:rPr>
                          <w:rFonts w:cs="Times New Roman"/>
                          <w:i/>
                          <w:iCs/>
                          <w:color w:val="000000"/>
                          <w:szCs w:val="24"/>
                          <w:shd w:val="clear" w:color="auto" w:fill="FFFFFF"/>
                        </w:rPr>
                      </w:pPr>
                      <w:proofErr w:type="spellStart"/>
                      <w:r w:rsidRPr="00D03824">
                        <w:rPr>
                          <w:rStyle w:val="Emphasis"/>
                          <w:rFonts w:cs="Times New Roman"/>
                          <w:i w:val="0"/>
                          <w:iCs w:val="0"/>
                          <w:color w:val="000000"/>
                          <w:szCs w:val="24"/>
                          <w:shd w:val="clear" w:color="auto" w:fill="FFFFFF"/>
                          <w:vertAlign w:val="superscript"/>
                        </w:rPr>
                        <w:t>a</w:t>
                      </w:r>
                      <w:r w:rsidRPr="00D03824">
                        <w:rPr>
                          <w:rStyle w:val="Emphasis"/>
                          <w:rFonts w:cs="Times New Roman"/>
                          <w:i w:val="0"/>
                          <w:iCs w:val="0"/>
                          <w:color w:val="000000"/>
                          <w:szCs w:val="24"/>
                          <w:shd w:val="clear" w:color="auto" w:fill="FFFFFF"/>
                        </w:rPr>
                        <w:t>Low</w:t>
                      </w:r>
                      <w:proofErr w:type="spellEnd"/>
                      <w:r w:rsidRPr="00D03824">
                        <w:rPr>
                          <w:rStyle w:val="Emphasis"/>
                          <w:rFonts w:cs="Times New Roman"/>
                          <w:i w:val="0"/>
                          <w:iCs w:val="0"/>
                          <w:color w:val="000000"/>
                          <w:szCs w:val="24"/>
                          <w:shd w:val="clear" w:color="auto" w:fill="FFFFFF"/>
                        </w:rPr>
                        <w:t xml:space="preserve"> levels of agonism did not allow for EC</w:t>
                      </w:r>
                      <w:r w:rsidRPr="00D03824">
                        <w:rPr>
                          <w:rStyle w:val="Emphasis"/>
                          <w:rFonts w:cs="Times New Roman"/>
                          <w:i w:val="0"/>
                          <w:iCs w:val="0"/>
                          <w:color w:val="000000"/>
                          <w:szCs w:val="24"/>
                          <w:shd w:val="clear" w:color="auto" w:fill="FFFFFF"/>
                          <w:vertAlign w:val="subscript"/>
                        </w:rPr>
                        <w:t>50</w:t>
                      </w:r>
                      <w:r w:rsidRPr="00D03824">
                        <w:rPr>
                          <w:rStyle w:val="Emphasis"/>
                          <w:rFonts w:cs="Times New Roman"/>
                          <w:i w:val="0"/>
                          <w:iCs w:val="0"/>
                          <w:color w:val="000000"/>
                          <w:szCs w:val="24"/>
                          <w:shd w:val="clear" w:color="auto" w:fill="FFFFFF"/>
                        </w:rPr>
                        <w:t xml:space="preserve"> calculation. </w:t>
                      </w:r>
                      <w:proofErr w:type="spellStart"/>
                      <w:r w:rsidRPr="00D03824">
                        <w:rPr>
                          <w:rStyle w:val="Emphasis"/>
                          <w:rFonts w:cs="Times New Roman"/>
                          <w:i w:val="0"/>
                          <w:iCs w:val="0"/>
                          <w:color w:val="000000"/>
                          <w:szCs w:val="24"/>
                          <w:shd w:val="clear" w:color="auto" w:fill="FFFFFF"/>
                          <w:vertAlign w:val="superscript"/>
                        </w:rPr>
                        <w:t>b</w:t>
                      </w:r>
                      <w:r w:rsidRPr="00D03824">
                        <w:rPr>
                          <w:rStyle w:val="Emphasis"/>
                          <w:rFonts w:cs="Times New Roman"/>
                          <w:i w:val="0"/>
                          <w:iCs w:val="0"/>
                          <w:color w:val="000000"/>
                          <w:szCs w:val="24"/>
                          <w:shd w:val="clear" w:color="auto" w:fill="FFFFFF"/>
                        </w:rPr>
                        <w:t>General</w:t>
                      </w:r>
                      <w:proofErr w:type="spellEnd"/>
                      <w:r w:rsidRPr="00D03824">
                        <w:rPr>
                          <w:rStyle w:val="Emphasis"/>
                          <w:rFonts w:cs="Times New Roman"/>
                          <w:i w:val="0"/>
                          <w:iCs w:val="0"/>
                          <w:color w:val="000000"/>
                          <w:szCs w:val="24"/>
                          <w:shd w:val="clear" w:color="auto" w:fill="FFFFFF"/>
                        </w:rPr>
                        <w:t xml:space="preserve"> activation of stress response due to cytotoxicity. Results are provided as the mean ± SEM of at least three separate experiments performed in triplicate.</w:t>
                      </w:r>
                    </w:p>
                  </w:txbxContent>
                </v:textbox>
                <w10:anchorlock/>
              </v:shape>
            </w:pict>
          </mc:Fallback>
        </mc:AlternateContent>
      </w:r>
    </w:p>
    <w:p w14:paraId="5AF77746" w14:textId="7B7740D0" w:rsidR="00654CB9" w:rsidRPr="00654CB9" w:rsidRDefault="00654CB9" w:rsidP="00085905">
      <w:pPr>
        <w:pStyle w:val="Subsection"/>
      </w:pPr>
      <w:bookmarkStart w:id="155" w:name="_Toc98429808"/>
      <w:bookmarkStart w:id="156" w:name="_Toc102586254"/>
      <w:r w:rsidRPr="00654CB9">
        <w:t>2.2.2 C-</w:t>
      </w:r>
      <w:r w:rsidR="007B3DF1">
        <w:t>r</w:t>
      </w:r>
      <w:r w:rsidRPr="00654CB9">
        <w:t xml:space="preserve">ing </w:t>
      </w:r>
      <w:r w:rsidR="007B3DF1">
        <w:t>d</w:t>
      </w:r>
      <w:r w:rsidRPr="00654CB9">
        <w:t>econstruction.</w:t>
      </w:r>
      <w:bookmarkEnd w:id="155"/>
      <w:bookmarkEnd w:id="156"/>
      <w:r w:rsidRPr="00654CB9">
        <w:t xml:space="preserve"> </w:t>
      </w:r>
    </w:p>
    <w:p w14:paraId="62A7A85F" w14:textId="77777777" w:rsidR="00654CB9" w:rsidRPr="00654CB9" w:rsidRDefault="00654CB9" w:rsidP="00654CB9">
      <w:pPr>
        <w:spacing w:after="0"/>
        <w:ind w:firstLine="720"/>
        <w:contextualSpacing/>
        <w:rPr>
          <w:rFonts w:cs="Times New Roman"/>
          <w:szCs w:val="24"/>
        </w:rPr>
      </w:pPr>
      <w:r w:rsidRPr="00654CB9">
        <w:rPr>
          <w:rFonts w:cs="Times New Roman"/>
          <w:color w:val="000000"/>
          <w:szCs w:val="24"/>
          <w:shd w:val="clear" w:color="auto" w:fill="FFFFFF"/>
        </w:rPr>
        <w:t xml:space="preserve">In parallel to the A-ring studies, two derivatives lacking the intact C-ring were assessed for CpxRA agonism and thus provide insight into the importance of this feature. As shown in </w:t>
      </w:r>
      <w:r w:rsidRPr="00654CB9">
        <w:rPr>
          <w:rFonts w:cs="Times New Roman"/>
          <w:b/>
          <w:color w:val="000000"/>
          <w:szCs w:val="24"/>
          <w:shd w:val="clear" w:color="auto" w:fill="FFFFFF"/>
        </w:rPr>
        <w:t>Figure 2.6</w:t>
      </w:r>
      <w:r w:rsidRPr="00654CB9">
        <w:rPr>
          <w:rFonts w:cs="Times New Roman"/>
          <w:color w:val="000000"/>
          <w:szCs w:val="24"/>
          <w:shd w:val="clear" w:color="auto" w:fill="FFFFFF"/>
        </w:rPr>
        <w:t>, simplification of the</w:t>
      </w:r>
      <w:r w:rsidRPr="00654CB9">
        <w:rPr>
          <w:rFonts w:cs="Times New Roman"/>
          <w:i/>
          <w:iCs/>
          <w:color w:val="000000"/>
          <w:szCs w:val="24"/>
          <w:shd w:val="clear" w:color="auto" w:fill="FFFFFF"/>
        </w:rPr>
        <w:t xml:space="preserve"> </w:t>
      </w:r>
      <w:r w:rsidRPr="00654CB9">
        <w:rPr>
          <w:rFonts w:cs="Times New Roman"/>
          <w:szCs w:val="24"/>
        </w:rPr>
        <w:t>2,3,4,9-tetrahydro-1</w:t>
      </w:r>
      <w:r w:rsidRPr="00654CB9">
        <w:rPr>
          <w:rFonts w:cs="Times New Roman"/>
          <w:i/>
          <w:szCs w:val="24"/>
        </w:rPr>
        <w:t>H</w:t>
      </w:r>
      <w:r w:rsidRPr="00654CB9">
        <w:rPr>
          <w:rFonts w:cs="Times New Roman"/>
          <w:szCs w:val="24"/>
        </w:rPr>
        <w:t xml:space="preserve">-carbazol-1-amine scaffold to provide compound </w:t>
      </w:r>
      <w:r w:rsidRPr="00654CB9">
        <w:rPr>
          <w:rFonts w:cs="Times New Roman"/>
          <w:b/>
          <w:i/>
          <w:iCs/>
          <w:color w:val="000000"/>
          <w:szCs w:val="24"/>
          <w:shd w:val="clear" w:color="auto" w:fill="FFFFFF"/>
        </w:rPr>
        <w:t>2.</w:t>
      </w:r>
      <w:r w:rsidRPr="00654CB9">
        <w:rPr>
          <w:rFonts w:cs="Times New Roman"/>
          <w:b/>
          <w:szCs w:val="24"/>
        </w:rPr>
        <w:t>21</w:t>
      </w:r>
      <w:r w:rsidRPr="00654CB9">
        <w:rPr>
          <w:rFonts w:cs="Times New Roman"/>
          <w:szCs w:val="24"/>
        </w:rPr>
        <w:t xml:space="preserve"> resulted in a ~6-fold loss in activity when compared to </w:t>
      </w:r>
      <w:r w:rsidRPr="00654CB9">
        <w:rPr>
          <w:rFonts w:cs="Times New Roman"/>
          <w:b/>
          <w:bCs/>
          <w:szCs w:val="24"/>
        </w:rPr>
        <w:t>2.</w:t>
      </w:r>
      <w:r w:rsidRPr="00654CB9">
        <w:rPr>
          <w:rFonts w:cs="Times New Roman"/>
          <w:b/>
          <w:szCs w:val="24"/>
        </w:rPr>
        <w:t>6</w:t>
      </w:r>
      <w:r w:rsidRPr="00654CB9">
        <w:rPr>
          <w:rFonts w:cs="Times New Roman"/>
          <w:szCs w:val="24"/>
        </w:rPr>
        <w:t xml:space="preserve">. Further simplification to compound </w:t>
      </w:r>
      <w:r w:rsidRPr="00654CB9">
        <w:rPr>
          <w:rFonts w:cs="Times New Roman"/>
          <w:b/>
          <w:i/>
          <w:iCs/>
          <w:color w:val="000000"/>
          <w:szCs w:val="24"/>
          <w:shd w:val="clear" w:color="auto" w:fill="FFFFFF"/>
        </w:rPr>
        <w:t>2.</w:t>
      </w:r>
      <w:r w:rsidRPr="00654CB9">
        <w:rPr>
          <w:rFonts w:cs="Times New Roman"/>
          <w:b/>
          <w:szCs w:val="24"/>
        </w:rPr>
        <w:t>22</w:t>
      </w:r>
      <w:r w:rsidRPr="00654CB9">
        <w:rPr>
          <w:rFonts w:cs="Times New Roman"/>
          <w:szCs w:val="24"/>
        </w:rPr>
        <w:t xml:space="preserve">, however, resulted in an additional ~2-fold reduction in activity, even with the more active 5-fluoro A-ring. These initial results suggest that the C-ring is not necessary for target engagement, but likely provides beneficial conformational bias that improves ligand-target engagement. It is also worth noting that </w:t>
      </w:r>
      <w:r w:rsidRPr="00654CB9">
        <w:rPr>
          <w:rFonts w:cs="Times New Roman"/>
          <w:b/>
          <w:i/>
          <w:iCs/>
          <w:color w:val="000000"/>
          <w:szCs w:val="24"/>
          <w:shd w:val="clear" w:color="auto" w:fill="FFFFFF"/>
        </w:rPr>
        <w:t>2.</w:t>
      </w:r>
      <w:r w:rsidRPr="00654CB9">
        <w:rPr>
          <w:rFonts w:cs="Times New Roman"/>
          <w:b/>
          <w:szCs w:val="24"/>
        </w:rPr>
        <w:t>21</w:t>
      </w:r>
      <w:r w:rsidRPr="00654CB9">
        <w:rPr>
          <w:rFonts w:cs="Times New Roman"/>
          <w:szCs w:val="24"/>
        </w:rPr>
        <w:t xml:space="preserve"> showed no signs of general activation of the stress response, a complication observed for the related compound, </w:t>
      </w:r>
      <w:r w:rsidRPr="00654CB9">
        <w:rPr>
          <w:rFonts w:cs="Times New Roman"/>
          <w:b/>
          <w:i/>
          <w:iCs/>
          <w:color w:val="000000"/>
          <w:szCs w:val="24"/>
          <w:shd w:val="clear" w:color="auto" w:fill="FFFFFF"/>
        </w:rPr>
        <w:t>2.</w:t>
      </w:r>
      <w:r w:rsidRPr="00654CB9">
        <w:rPr>
          <w:rFonts w:cs="Times New Roman"/>
          <w:b/>
          <w:szCs w:val="24"/>
        </w:rPr>
        <w:t>4</w:t>
      </w:r>
      <w:r w:rsidRPr="00654CB9">
        <w:rPr>
          <w:rFonts w:cs="Times New Roman"/>
          <w:szCs w:val="24"/>
        </w:rPr>
        <w:t xml:space="preserve">. </w:t>
      </w:r>
    </w:p>
    <w:p w14:paraId="54F32C96" w14:textId="77777777" w:rsidR="00654CB9" w:rsidRPr="00654CB9" w:rsidRDefault="00654CB9" w:rsidP="00654CB9">
      <w:pPr>
        <w:spacing w:after="0"/>
        <w:ind w:firstLine="720"/>
        <w:contextualSpacing/>
        <w:rPr>
          <w:rFonts w:cs="Times New Roman"/>
          <w:szCs w:val="24"/>
        </w:rPr>
      </w:pPr>
      <w:r w:rsidRPr="00654CB9">
        <w:rPr>
          <w:rFonts w:cs="Times New Roman"/>
          <w:iCs/>
          <w:noProof/>
          <w:color w:val="000000"/>
          <w:sz w:val="22"/>
          <w:shd w:val="clear" w:color="auto" w:fill="FFFFFF"/>
        </w:rPr>
        <w:lastRenderedPageBreak/>
        <mc:AlternateContent>
          <mc:Choice Requires="wps">
            <w:drawing>
              <wp:inline distT="0" distB="0" distL="0" distR="0" wp14:anchorId="2FE444D1" wp14:editId="7DA345B8">
                <wp:extent cx="5029200" cy="2639833"/>
                <wp:effectExtent l="0" t="0" r="19050" b="27305"/>
                <wp:docPr id="15" name="Text Box 2" descr="Effects of C-ring deconstruct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639833"/>
                        </a:xfrm>
                        <a:prstGeom prst="rect">
                          <a:avLst/>
                        </a:prstGeom>
                        <a:solidFill>
                          <a:srgbClr val="FFFFFF"/>
                        </a:solidFill>
                        <a:ln w="9525">
                          <a:solidFill>
                            <a:srgbClr val="000000"/>
                          </a:solidFill>
                          <a:miter lim="800000"/>
                          <a:headEnd/>
                          <a:tailEnd/>
                        </a:ln>
                      </wps:spPr>
                      <wps:txbx>
                        <w:txbxContent>
                          <w:p w14:paraId="246228E3" w14:textId="77777777" w:rsidR="00654CB9" w:rsidRDefault="00654CB9" w:rsidP="00654CB9">
                            <w:pPr>
                              <w:keepNext/>
                              <w:spacing w:after="0"/>
                              <w:jc w:val="center"/>
                            </w:pPr>
                            <w:r>
                              <w:rPr>
                                <w:noProof/>
                              </w:rPr>
                              <w:drawing>
                                <wp:inline distT="0" distB="0" distL="0" distR="0" wp14:anchorId="1A296D7D" wp14:editId="284A577C">
                                  <wp:extent cx="2818042" cy="1668103"/>
                                  <wp:effectExtent l="0" t="0" r="1905" b="8890"/>
                                  <wp:docPr id="196" name="Picture 196" descr="Effects of C-ring deconstru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Effects of C-ring deconstruction. "/>
                                          <pic:cNvPicPr/>
                                        </pic:nvPicPr>
                                        <pic:blipFill>
                                          <a:blip r:embed="rId111">
                                            <a:extLst>
                                              <a:ext uri="{28A0092B-C50C-407E-A947-70E740481C1C}">
                                                <a14:useLocalDpi xmlns:a14="http://schemas.microsoft.com/office/drawing/2010/main" val="0"/>
                                              </a:ext>
                                            </a:extLst>
                                          </a:blip>
                                          <a:stretch>
                                            <a:fillRect/>
                                          </a:stretch>
                                        </pic:blipFill>
                                        <pic:spPr>
                                          <a:xfrm>
                                            <a:off x="0" y="0"/>
                                            <a:ext cx="2818042" cy="1668103"/>
                                          </a:xfrm>
                                          <a:prstGeom prst="rect">
                                            <a:avLst/>
                                          </a:prstGeom>
                                        </pic:spPr>
                                      </pic:pic>
                                    </a:graphicData>
                                  </a:graphic>
                                </wp:inline>
                              </w:drawing>
                            </w:r>
                          </w:p>
                          <w:p w14:paraId="64C74436" w14:textId="508580CD" w:rsidR="00654CB9" w:rsidRPr="00D03824" w:rsidRDefault="00654CB9" w:rsidP="00DF51F5">
                            <w:pPr>
                              <w:pStyle w:val="Caption"/>
                              <w:rPr>
                                <w:rStyle w:val="Emphasis"/>
                                <w:rFonts w:cs="Times New Roman"/>
                                <w:i w:val="0"/>
                                <w:iCs w:val="0"/>
                                <w:color w:val="000000"/>
                                <w:szCs w:val="24"/>
                                <w:shd w:val="clear" w:color="auto" w:fill="FFFFFF"/>
                              </w:rPr>
                            </w:pPr>
                            <w:bookmarkStart w:id="157" w:name="_Toc97309251"/>
                            <w:bookmarkStart w:id="158" w:name="_Toc100748300"/>
                            <w:r>
                              <w:t xml:space="preserve">Figure </w:t>
                            </w:r>
                            <w:r w:rsidRPr="00A716E6">
                              <w:t>2.</w:t>
                            </w:r>
                            <w:fldSimple w:instr=" SEQ Figure \* ARABIC ">
                              <w:r w:rsidR="00AA5AAC">
                                <w:rPr>
                                  <w:noProof/>
                                </w:rPr>
                                <w:t>6</w:t>
                              </w:r>
                            </w:fldSimple>
                            <w:r>
                              <w:t xml:space="preserve">. </w:t>
                            </w:r>
                            <w:r w:rsidRPr="00D03824">
                              <w:rPr>
                                <w:rStyle w:val="Emphasis"/>
                                <w:rFonts w:cs="Times New Roman"/>
                                <w:i w:val="0"/>
                                <w:iCs w:val="0"/>
                                <w:color w:val="000000"/>
                                <w:szCs w:val="24"/>
                                <w:shd w:val="clear" w:color="auto" w:fill="FFFFFF"/>
                              </w:rPr>
                              <w:t>Effects of C-ring deconstruction.</w:t>
                            </w:r>
                            <w:bookmarkEnd w:id="157"/>
                            <w:bookmarkEnd w:id="158"/>
                            <w:r w:rsidRPr="00D03824">
                              <w:rPr>
                                <w:rStyle w:val="Emphasis"/>
                                <w:rFonts w:cs="Times New Roman"/>
                                <w:i w:val="0"/>
                                <w:iCs w:val="0"/>
                                <w:color w:val="000000"/>
                                <w:szCs w:val="24"/>
                                <w:shd w:val="clear" w:color="auto" w:fill="FFFFFF"/>
                              </w:rPr>
                              <w:t xml:space="preserve"> </w:t>
                            </w:r>
                          </w:p>
                          <w:p w14:paraId="4B90AADA" w14:textId="77777777" w:rsidR="00654CB9" w:rsidRPr="00D03824" w:rsidRDefault="00654CB9" w:rsidP="00654CB9">
                            <w:pPr>
                              <w:spacing w:after="0" w:line="240" w:lineRule="auto"/>
                              <w:contextualSpacing/>
                              <w:rPr>
                                <w:rStyle w:val="Emphasis"/>
                                <w:rFonts w:cs="Times New Roman"/>
                                <w:i w:val="0"/>
                                <w:iCs w:val="0"/>
                                <w:color w:val="000000"/>
                                <w:szCs w:val="24"/>
                                <w:shd w:val="clear" w:color="auto" w:fill="FFFFFF"/>
                              </w:rPr>
                            </w:pPr>
                            <w:r w:rsidRPr="00D03824">
                              <w:rPr>
                                <w:rStyle w:val="Emphasis"/>
                                <w:rFonts w:cs="Times New Roman"/>
                                <w:i w:val="0"/>
                                <w:iCs w:val="0"/>
                                <w:color w:val="000000"/>
                                <w:szCs w:val="24"/>
                                <w:shd w:val="clear" w:color="auto" w:fill="FFFFFF"/>
                              </w:rPr>
                              <w:t>Results are provided as the mean ± SEM of at least three separate experiments performed in triplicate.</w:t>
                            </w:r>
                          </w:p>
                          <w:p w14:paraId="07F741DE" w14:textId="77777777" w:rsidR="00654CB9" w:rsidRDefault="00654CB9" w:rsidP="00654CB9"/>
                        </w:txbxContent>
                      </wps:txbx>
                      <wps:bodyPr rot="0" vert="horz" wrap="square" lIns="91440" tIns="45720" rIns="91440" bIns="45720" anchor="t" anchorCtr="0">
                        <a:noAutofit/>
                      </wps:bodyPr>
                    </wps:wsp>
                  </a:graphicData>
                </a:graphic>
              </wp:inline>
            </w:drawing>
          </mc:Choice>
          <mc:Fallback>
            <w:pict>
              <v:shape w14:anchorId="2FE444D1" id="_x0000_s1048" type="#_x0000_t202" alt="Effects of C-ring deconstruction. " style="width:396pt;height:20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">
                <v:textbox>
                  <w:txbxContent>
                    <w:p w14:paraId="246228E3" w14:textId="77777777" w:rsidR="00654CB9" w:rsidRDefault="00654CB9" w:rsidP="00654CB9">
                      <w:pPr>
                        <w:keepNext/>
                        <w:spacing w:after="0"/>
                        <w:jc w:val="center"/>
                      </w:pPr>
                      <w:r>
                        <w:rPr>
                          <w:noProof/>
                        </w:rPr>
                        <w:drawing>
                          <wp:inline distT="0" distB="0" distL="0" distR="0" wp14:anchorId="1A296D7D" wp14:editId="284A577C">
                            <wp:extent cx="2818042" cy="1668103"/>
                            <wp:effectExtent l="0" t="0" r="1905" b="8890"/>
                            <wp:docPr id="196" name="Picture 196" descr="Effects of C-ring deconstru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Effects of C-ring deconstruction. "/>
                                    <pic:cNvPicPr/>
                                  </pic:nvPicPr>
                                  <pic:blipFill>
                                    <a:blip r:embed="rId111">
                                      <a:extLst>
                                        <a:ext uri="{28A0092B-C50C-407E-A947-70E740481C1C}">
                                          <a14:useLocalDpi xmlns:a14="http://schemas.microsoft.com/office/drawing/2010/main" val="0"/>
                                        </a:ext>
                                      </a:extLst>
                                    </a:blip>
                                    <a:stretch>
                                      <a:fillRect/>
                                    </a:stretch>
                                  </pic:blipFill>
                                  <pic:spPr>
                                    <a:xfrm>
                                      <a:off x="0" y="0"/>
                                      <a:ext cx="2818042" cy="1668103"/>
                                    </a:xfrm>
                                    <a:prstGeom prst="rect">
                                      <a:avLst/>
                                    </a:prstGeom>
                                  </pic:spPr>
                                </pic:pic>
                              </a:graphicData>
                            </a:graphic>
                          </wp:inline>
                        </w:drawing>
                      </w:r>
                    </w:p>
                    <w:p w14:paraId="64C74436" w14:textId="508580CD" w:rsidR="00654CB9" w:rsidRPr="00D03824" w:rsidRDefault="00654CB9" w:rsidP="00DF51F5">
                      <w:pPr>
                        <w:pStyle w:val="Caption"/>
                        <w:rPr>
                          <w:rStyle w:val="Emphasis"/>
                          <w:rFonts w:cs="Times New Roman"/>
                          <w:i w:val="0"/>
                          <w:iCs w:val="0"/>
                          <w:color w:val="000000"/>
                          <w:szCs w:val="24"/>
                          <w:shd w:val="clear" w:color="auto" w:fill="FFFFFF"/>
                        </w:rPr>
                      </w:pPr>
                      <w:bookmarkStart w:id="159" w:name="_Toc97309251"/>
                      <w:bookmarkStart w:id="160" w:name="_Toc100748300"/>
                      <w:r>
                        <w:t xml:space="preserve">Figure </w:t>
                      </w:r>
                      <w:r w:rsidRPr="00A716E6">
                        <w:t>2.</w:t>
                      </w:r>
                      <w:fldSimple w:instr=" SEQ Figure \* ARABIC ">
                        <w:r w:rsidR="00AA5AAC">
                          <w:rPr>
                            <w:noProof/>
                          </w:rPr>
                          <w:t>6</w:t>
                        </w:r>
                      </w:fldSimple>
                      <w:r>
                        <w:t xml:space="preserve">. </w:t>
                      </w:r>
                      <w:r w:rsidRPr="00D03824">
                        <w:rPr>
                          <w:rStyle w:val="Emphasis"/>
                          <w:rFonts w:cs="Times New Roman"/>
                          <w:i w:val="0"/>
                          <w:iCs w:val="0"/>
                          <w:color w:val="000000"/>
                          <w:szCs w:val="24"/>
                          <w:shd w:val="clear" w:color="auto" w:fill="FFFFFF"/>
                        </w:rPr>
                        <w:t>Effects of C-ring deconstruction.</w:t>
                      </w:r>
                      <w:bookmarkEnd w:id="159"/>
                      <w:bookmarkEnd w:id="160"/>
                      <w:r w:rsidRPr="00D03824">
                        <w:rPr>
                          <w:rStyle w:val="Emphasis"/>
                          <w:rFonts w:cs="Times New Roman"/>
                          <w:i w:val="0"/>
                          <w:iCs w:val="0"/>
                          <w:color w:val="000000"/>
                          <w:szCs w:val="24"/>
                          <w:shd w:val="clear" w:color="auto" w:fill="FFFFFF"/>
                        </w:rPr>
                        <w:t xml:space="preserve"> </w:t>
                      </w:r>
                    </w:p>
                    <w:p w14:paraId="4B90AADA" w14:textId="77777777" w:rsidR="00654CB9" w:rsidRPr="00D03824" w:rsidRDefault="00654CB9" w:rsidP="00654CB9">
                      <w:pPr>
                        <w:spacing w:after="0" w:line="240" w:lineRule="auto"/>
                        <w:contextualSpacing/>
                        <w:rPr>
                          <w:rStyle w:val="Emphasis"/>
                          <w:rFonts w:cs="Times New Roman"/>
                          <w:i w:val="0"/>
                          <w:iCs w:val="0"/>
                          <w:color w:val="000000"/>
                          <w:szCs w:val="24"/>
                          <w:shd w:val="clear" w:color="auto" w:fill="FFFFFF"/>
                        </w:rPr>
                      </w:pPr>
                      <w:r w:rsidRPr="00D03824">
                        <w:rPr>
                          <w:rStyle w:val="Emphasis"/>
                          <w:rFonts w:cs="Times New Roman"/>
                          <w:i w:val="0"/>
                          <w:iCs w:val="0"/>
                          <w:color w:val="000000"/>
                          <w:szCs w:val="24"/>
                          <w:shd w:val="clear" w:color="auto" w:fill="FFFFFF"/>
                        </w:rPr>
                        <w:t>Results are provided as the mean ± SEM of at least three separate experiments performed in triplicate.</w:t>
                      </w:r>
                    </w:p>
                    <w:p w14:paraId="07F741DE" w14:textId="77777777" w:rsidR="00654CB9" w:rsidRDefault="00654CB9" w:rsidP="00654CB9"/>
                  </w:txbxContent>
                </v:textbox>
                <w10:anchorlock/>
              </v:shape>
            </w:pict>
          </mc:Fallback>
        </mc:AlternateContent>
      </w:r>
    </w:p>
    <w:p w14:paraId="10025BCC" w14:textId="01BA040E" w:rsidR="00654CB9" w:rsidRPr="00654CB9" w:rsidRDefault="00654CB9" w:rsidP="00654CB9">
      <w:pPr>
        <w:spacing w:after="0"/>
        <w:ind w:firstLine="720"/>
        <w:contextualSpacing/>
        <w:rPr>
          <w:rFonts w:cs="Times New Roman"/>
          <w:color w:val="000000"/>
          <w:szCs w:val="24"/>
          <w:shd w:val="clear" w:color="auto" w:fill="FFFFFF"/>
        </w:rPr>
      </w:pPr>
      <w:r w:rsidRPr="00654CB9">
        <w:rPr>
          <w:rFonts w:cs="Times New Roman"/>
          <w:color w:val="000000"/>
          <w:szCs w:val="24"/>
          <w:shd w:val="clear" w:color="auto" w:fill="FFFFFF"/>
        </w:rPr>
        <w:t>In addition to C-ring deconstruction, we were interested in probing the requirements associated with the primary amine. As mentioned previously, initial studies revealed the amine to be essential for activity (</w:t>
      </w:r>
      <w:r w:rsidRPr="00654CB9">
        <w:rPr>
          <w:rFonts w:cs="Times New Roman"/>
          <w:b/>
          <w:color w:val="000000"/>
          <w:szCs w:val="24"/>
          <w:shd w:val="clear" w:color="auto" w:fill="FFFFFF"/>
        </w:rPr>
        <w:t>Figure</w:t>
      </w:r>
      <w:r w:rsidRPr="00654CB9">
        <w:rPr>
          <w:rFonts w:cs="Times New Roman"/>
          <w:color w:val="000000"/>
          <w:szCs w:val="24"/>
          <w:shd w:val="clear" w:color="auto" w:fill="FFFFFF"/>
        </w:rPr>
        <w:t xml:space="preserv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w:t>
      </w:r>
      <w:r w:rsidRPr="00654CB9">
        <w:rPr>
          <w:rFonts w:cs="Times New Roman"/>
          <w:color w:val="000000"/>
          <w:szCs w:val="24"/>
          <w:shd w:val="clear" w:color="auto" w:fill="FFFFFF"/>
        </w:rPr>
        <w:t xml:space="preserve">). It was not known, however, if stereochemical preference exists at this position and/or if the amino group was simply providing hydrogen bond interactions that could be replenished with different functionalities. To probe these questions, we synthesized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 xml:space="preserve">23 </w:t>
      </w:r>
      <w:r w:rsidRPr="00654CB9">
        <w:rPr>
          <w:rFonts w:cs="Times New Roman"/>
          <w:color w:val="000000"/>
          <w:szCs w:val="24"/>
          <w:shd w:val="clear" w:color="auto" w:fill="FFFFFF"/>
        </w:rPr>
        <w:t xml:space="preserv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 xml:space="preserve">25 </w:t>
      </w:r>
      <w:r w:rsidRPr="00654CB9">
        <w:rPr>
          <w:rFonts w:cs="Times New Roman"/>
          <w:color w:val="000000"/>
          <w:szCs w:val="24"/>
          <w:shd w:val="clear" w:color="auto" w:fill="FFFFFF"/>
        </w:rPr>
        <w:t>(</w:t>
      </w:r>
      <w:r w:rsidRPr="00654CB9">
        <w:rPr>
          <w:rFonts w:cs="Times New Roman"/>
          <w:b/>
          <w:color w:val="000000"/>
          <w:szCs w:val="24"/>
          <w:shd w:val="clear" w:color="auto" w:fill="FFFFFF"/>
        </w:rPr>
        <w:t xml:space="preserve">Figure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7</w:t>
      </w:r>
      <w:r w:rsidRPr="00654CB9">
        <w:rPr>
          <w:rFonts w:cs="Times New Roman"/>
          <w:color w:val="000000"/>
          <w:szCs w:val="24"/>
          <w:shd w:val="clear" w:color="auto" w:fill="FFFFFF"/>
        </w:rPr>
        <w:t xml:space="preserve">). Access to enantiopure amines was achieved through the use of Ellman’s sulfonamides as chiral </w:t>
      </w:r>
      <w:r w:rsidR="00D03824" w:rsidRPr="00654CB9">
        <w:rPr>
          <w:rFonts w:cs="Times New Roman"/>
          <w:color w:val="000000"/>
          <w:szCs w:val="24"/>
          <w:shd w:val="clear" w:color="auto" w:fill="FFFFFF"/>
        </w:rPr>
        <w:t>auxiliaries</w:t>
      </w:r>
      <w:r w:rsidRPr="00654CB9">
        <w:rPr>
          <w:rFonts w:cs="Times New Roman"/>
          <w:color w:val="000000"/>
          <w:szCs w:val="24"/>
          <w:shd w:val="clear" w:color="auto" w:fill="FFFFFF"/>
        </w:rPr>
        <w:t xml:space="preserve"> to induce stereoselective reductive amination (</w:t>
      </w:r>
      <w:r w:rsidRPr="00654CB9">
        <w:rPr>
          <w:rFonts w:cs="Times New Roman"/>
          <w:b/>
          <w:color w:val="000000"/>
          <w:szCs w:val="24"/>
          <w:shd w:val="clear" w:color="auto" w:fill="FFFFFF"/>
        </w:rPr>
        <w:t xml:space="preserve">Scheme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w:t>
      </w:r>
      <w:r w:rsidRPr="00654CB9">
        <w:rPr>
          <w:rFonts w:cs="Times New Roman"/>
          <w:color w:val="000000"/>
          <w:szCs w:val="24"/>
          <w:shd w:val="clear" w:color="auto" w:fill="FFFFFF"/>
        </w:rPr>
        <w:t xml:space="preserve">). As shown in </w:t>
      </w:r>
      <w:r w:rsidRPr="00654CB9">
        <w:rPr>
          <w:rFonts w:cs="Times New Roman"/>
          <w:b/>
          <w:color w:val="000000"/>
          <w:szCs w:val="24"/>
          <w:shd w:val="clear" w:color="auto" w:fill="FFFFFF"/>
        </w:rPr>
        <w:t xml:space="preserve">Figure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7</w:t>
      </w:r>
      <w:r w:rsidRPr="00654CB9">
        <w:rPr>
          <w:rFonts w:cs="Times New Roman"/>
          <w:color w:val="000000"/>
          <w:szCs w:val="24"/>
          <w:shd w:val="clear" w:color="auto" w:fill="FFFFFF"/>
        </w:rPr>
        <w:t xml:space="preserve">, only one of the two enantiomers is active, with the (R)-enantiomer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23</w:t>
      </w:r>
      <w:r w:rsidRPr="00654CB9">
        <w:rPr>
          <w:rFonts w:cs="Times New Roman"/>
          <w:color w:val="000000"/>
          <w:szCs w:val="24"/>
          <w:shd w:val="clear" w:color="auto" w:fill="FFFFFF"/>
        </w:rPr>
        <w:t xml:space="preserve"> being eutomer and the (S)-enantiomer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24</w:t>
      </w:r>
      <w:r w:rsidRPr="00654CB9">
        <w:rPr>
          <w:rFonts w:cs="Times New Roman"/>
          <w:color w:val="000000"/>
          <w:szCs w:val="24"/>
          <w:shd w:val="clear" w:color="auto" w:fill="FFFFFF"/>
        </w:rPr>
        <w:t xml:space="preserve"> the distomer. </w:t>
      </w:r>
    </w:p>
    <w:p w14:paraId="45886AC4" w14:textId="77777777" w:rsidR="00654CB9" w:rsidRPr="00654CB9" w:rsidRDefault="00654CB9" w:rsidP="00654CB9">
      <w:pPr>
        <w:spacing w:after="0"/>
        <w:contextualSpacing/>
        <w:rPr>
          <w:rFonts w:cs="Times New Roman"/>
          <w:iCs/>
          <w:color w:val="000000"/>
          <w:szCs w:val="24"/>
          <w:shd w:val="clear" w:color="auto" w:fill="FFFFFF"/>
        </w:rPr>
      </w:pPr>
      <w:r w:rsidRPr="00654CB9">
        <w:rPr>
          <w:rFonts w:cs="Times New Roman"/>
          <w:iCs/>
          <w:noProof/>
          <w:color w:val="000000"/>
          <w:szCs w:val="24"/>
          <w:shd w:val="clear" w:color="auto" w:fill="FFFFFF"/>
        </w:rPr>
        <mc:AlternateContent>
          <mc:Choice Requires="wps">
            <w:drawing>
              <wp:inline distT="0" distB="0" distL="0" distR="0" wp14:anchorId="65EE0966" wp14:editId="5372C1AF">
                <wp:extent cx="5943600" cy="1645920"/>
                <wp:effectExtent l="0" t="0" r="19050" b="11430"/>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645920"/>
                        </a:xfrm>
                        <a:prstGeom prst="rect">
                          <a:avLst/>
                        </a:prstGeom>
                        <a:solidFill>
                          <a:srgbClr val="FFFFFF"/>
                        </a:solidFill>
                        <a:ln w="9525">
                          <a:solidFill>
                            <a:srgbClr val="000000"/>
                          </a:solidFill>
                          <a:miter lim="800000"/>
                          <a:headEnd/>
                          <a:tailEnd/>
                        </a:ln>
                      </wps:spPr>
                      <wps:txbx>
                        <w:txbxContent>
                          <w:p w14:paraId="63014BCA" w14:textId="28FA1A85" w:rsidR="00654CB9" w:rsidRDefault="00A705CB" w:rsidP="00A705CB">
                            <w:pPr>
                              <w:keepNext/>
                              <w:spacing w:after="0"/>
                              <w:jc w:val="center"/>
                            </w:pPr>
                            <w:r>
                              <w:object w:dxaOrig="9582" w:dyaOrig="1137" w14:anchorId="130FDF96">
                                <v:shape id="_x0000_i1034" type="#_x0000_t75" style="width:448.35pt;height:53.3pt" o:ole="">
                                  <v:imagedata r:id="rId112" o:title=""/>
                                </v:shape>
                                <o:OLEObject Type="Embed" ProgID="ChemDraw.Document.6.0" ShapeID="_x0000_i1034" DrawAspect="Content" ObjectID="_1713353472" r:id="rId113"/>
                              </w:object>
                            </w:r>
                          </w:p>
                          <w:p w14:paraId="43C57D78" w14:textId="6BA931F2" w:rsidR="00654CB9" w:rsidRPr="00D03824" w:rsidRDefault="00654CB9" w:rsidP="00DF51F5">
                            <w:pPr>
                              <w:pStyle w:val="Caption"/>
                              <w:rPr>
                                <w:rStyle w:val="Emphasis"/>
                                <w:rFonts w:cs="Times New Roman"/>
                                <w:i w:val="0"/>
                                <w:iCs w:val="0"/>
                                <w:color w:val="000000"/>
                                <w:szCs w:val="24"/>
                                <w:shd w:val="clear" w:color="auto" w:fill="FFFFFF"/>
                              </w:rPr>
                            </w:pPr>
                            <w:r>
                              <w:t xml:space="preserve">Scheme </w:t>
                            </w:r>
                            <w:r w:rsidRPr="00867AF0">
                              <w:rPr>
                                <w:rStyle w:val="Emphasis"/>
                                <w:rFonts w:cs="Times New Roman"/>
                                <w:i w:val="0"/>
                                <w:iCs w:val="0"/>
                                <w:color w:val="000000"/>
                                <w:szCs w:val="24"/>
                                <w:shd w:val="clear" w:color="auto" w:fill="FFFFFF"/>
                              </w:rPr>
                              <w:t>2</w:t>
                            </w:r>
                            <w:r w:rsidRPr="007F40AD">
                              <w:rPr>
                                <w:rStyle w:val="Emphasis"/>
                                <w:rFonts w:cs="Times New Roman"/>
                                <w:color w:val="000000"/>
                                <w:szCs w:val="24"/>
                                <w:shd w:val="clear" w:color="auto" w:fill="FFFFFF"/>
                              </w:rPr>
                              <w:t>.</w:t>
                            </w:r>
                            <w:fldSimple w:instr=" SEQ Scheme \* ARABIC ">
                              <w:r w:rsidR="00AA5AAC">
                                <w:rPr>
                                  <w:noProof/>
                                </w:rPr>
                                <w:t>2</w:t>
                              </w:r>
                            </w:fldSimple>
                            <w:r>
                              <w:t xml:space="preserve">. </w:t>
                            </w:r>
                            <w:r w:rsidRPr="00D03824">
                              <w:rPr>
                                <w:rStyle w:val="Emphasis"/>
                                <w:rFonts w:cs="Times New Roman"/>
                                <w:i w:val="0"/>
                                <w:iCs w:val="0"/>
                                <w:color w:val="000000"/>
                                <w:szCs w:val="24"/>
                                <w:shd w:val="clear" w:color="auto" w:fill="FFFFFF"/>
                              </w:rPr>
                              <w:t xml:space="preserve">Synthesis of compounds </w:t>
                            </w:r>
                            <w:r w:rsidRPr="00D03824">
                              <w:rPr>
                                <w:i/>
                                <w:iCs/>
                              </w:rPr>
                              <w:t>2.</w:t>
                            </w:r>
                            <w:r w:rsidRPr="00D03824">
                              <w:rPr>
                                <w:rStyle w:val="Emphasis"/>
                                <w:rFonts w:cs="Times New Roman"/>
                                <w:i w:val="0"/>
                                <w:iCs w:val="0"/>
                                <w:color w:val="000000"/>
                                <w:szCs w:val="24"/>
                                <w:shd w:val="clear" w:color="auto" w:fill="FFFFFF"/>
                              </w:rPr>
                              <w:t xml:space="preserve">23 and </w:t>
                            </w:r>
                            <w:r w:rsidRPr="00D03824">
                              <w:rPr>
                                <w:i/>
                                <w:iCs/>
                              </w:rPr>
                              <w:t>2.</w:t>
                            </w:r>
                            <w:r w:rsidRPr="00D03824">
                              <w:rPr>
                                <w:rStyle w:val="Emphasis"/>
                                <w:rFonts w:cs="Times New Roman"/>
                                <w:i w:val="0"/>
                                <w:iCs w:val="0"/>
                                <w:color w:val="000000"/>
                                <w:szCs w:val="24"/>
                                <w:shd w:val="clear" w:color="auto" w:fill="FFFFFF"/>
                              </w:rPr>
                              <w:t xml:space="preserve">24. </w:t>
                            </w:r>
                          </w:p>
                          <w:p w14:paraId="0A6B2C74" w14:textId="77777777" w:rsidR="00654CB9" w:rsidRPr="00D03824" w:rsidRDefault="00654CB9" w:rsidP="00654CB9">
                            <w:pPr>
                              <w:spacing w:after="0" w:line="240" w:lineRule="auto"/>
                              <w:contextualSpacing/>
                              <w:rPr>
                                <w:rFonts w:cs="Times New Roman"/>
                                <w:i/>
                                <w:iCs/>
                                <w:color w:val="000000"/>
                                <w:szCs w:val="24"/>
                                <w:shd w:val="clear" w:color="auto" w:fill="FFFFFF"/>
                              </w:rPr>
                            </w:pPr>
                            <w:r w:rsidRPr="00D03824">
                              <w:rPr>
                                <w:rStyle w:val="Emphasis"/>
                                <w:rFonts w:cs="Times New Roman"/>
                                <w:i w:val="0"/>
                                <w:iCs w:val="0"/>
                                <w:color w:val="000000"/>
                                <w:szCs w:val="24"/>
                                <w:shd w:val="clear" w:color="auto" w:fill="FFFFFF"/>
                              </w:rPr>
                              <w:t>Reagents and conditions: (a) t-</w:t>
                            </w:r>
                            <w:proofErr w:type="spellStart"/>
                            <w:r w:rsidRPr="00D03824">
                              <w:rPr>
                                <w:rStyle w:val="Emphasis"/>
                                <w:rFonts w:cs="Times New Roman"/>
                                <w:i w:val="0"/>
                                <w:iCs w:val="0"/>
                                <w:color w:val="000000"/>
                                <w:szCs w:val="24"/>
                                <w:shd w:val="clear" w:color="auto" w:fill="FFFFFF"/>
                              </w:rPr>
                              <w:t>butanesulfinamide</w:t>
                            </w:r>
                            <w:proofErr w:type="spellEnd"/>
                            <w:r w:rsidRPr="00D03824">
                              <w:rPr>
                                <w:rStyle w:val="Emphasis"/>
                                <w:rFonts w:cs="Times New Roman"/>
                                <w:i w:val="0"/>
                                <w:iCs w:val="0"/>
                                <w:color w:val="000000"/>
                                <w:szCs w:val="24"/>
                                <w:shd w:val="clear" w:color="auto" w:fill="FFFFFF"/>
                              </w:rPr>
                              <w:t xml:space="preserve">, </w:t>
                            </w:r>
                            <w:proofErr w:type="spellStart"/>
                            <w:proofErr w:type="gramStart"/>
                            <w:r w:rsidRPr="00D03824">
                              <w:rPr>
                                <w:rStyle w:val="Emphasis"/>
                                <w:rFonts w:cs="Times New Roman"/>
                                <w:i w:val="0"/>
                                <w:iCs w:val="0"/>
                                <w:color w:val="000000"/>
                                <w:szCs w:val="24"/>
                                <w:shd w:val="clear" w:color="auto" w:fill="FFFFFF"/>
                              </w:rPr>
                              <w:t>Ti</w:t>
                            </w:r>
                            <w:proofErr w:type="spellEnd"/>
                            <w:r w:rsidRPr="00D03824">
                              <w:rPr>
                                <w:rStyle w:val="Emphasis"/>
                                <w:rFonts w:cs="Times New Roman"/>
                                <w:i w:val="0"/>
                                <w:iCs w:val="0"/>
                                <w:color w:val="000000"/>
                                <w:szCs w:val="24"/>
                                <w:shd w:val="clear" w:color="auto" w:fill="FFFFFF"/>
                              </w:rPr>
                              <w:t>(</w:t>
                            </w:r>
                            <w:proofErr w:type="spellStart"/>
                            <w:proofErr w:type="gramEnd"/>
                            <w:r w:rsidRPr="00D03824">
                              <w:rPr>
                                <w:rStyle w:val="Emphasis"/>
                                <w:rFonts w:cs="Times New Roman"/>
                                <w:i w:val="0"/>
                                <w:iCs w:val="0"/>
                                <w:color w:val="000000"/>
                                <w:szCs w:val="24"/>
                                <w:shd w:val="clear" w:color="auto" w:fill="FFFFFF"/>
                              </w:rPr>
                              <w:t>OEt</w:t>
                            </w:r>
                            <w:proofErr w:type="spellEnd"/>
                            <w:r w:rsidRPr="00D03824">
                              <w:rPr>
                                <w:rStyle w:val="Emphasis"/>
                                <w:rFonts w:cs="Times New Roman"/>
                                <w:i w:val="0"/>
                                <w:iCs w:val="0"/>
                                <w:color w:val="000000"/>
                                <w:szCs w:val="24"/>
                                <w:shd w:val="clear" w:color="auto" w:fill="FFFFFF"/>
                              </w:rPr>
                              <w:t>)</w:t>
                            </w:r>
                            <w:r w:rsidRPr="00D03824">
                              <w:rPr>
                                <w:rStyle w:val="Emphasis"/>
                                <w:rFonts w:cs="Times New Roman"/>
                                <w:i w:val="0"/>
                                <w:iCs w:val="0"/>
                                <w:color w:val="000000"/>
                                <w:szCs w:val="24"/>
                                <w:shd w:val="clear" w:color="auto" w:fill="FFFFFF"/>
                                <w:vertAlign w:val="subscript"/>
                              </w:rPr>
                              <w:t>4</w:t>
                            </w:r>
                            <w:r w:rsidRPr="00D03824">
                              <w:rPr>
                                <w:rStyle w:val="Emphasis"/>
                                <w:rFonts w:cs="Times New Roman"/>
                                <w:i w:val="0"/>
                                <w:iCs w:val="0"/>
                                <w:color w:val="000000"/>
                                <w:szCs w:val="24"/>
                                <w:shd w:val="clear" w:color="auto" w:fill="FFFFFF"/>
                              </w:rPr>
                              <w:t>, toluene, reflux, 84%; (b) NaBH</w:t>
                            </w:r>
                            <w:r w:rsidRPr="00D03824">
                              <w:rPr>
                                <w:rStyle w:val="Emphasis"/>
                                <w:rFonts w:cs="Times New Roman"/>
                                <w:i w:val="0"/>
                                <w:iCs w:val="0"/>
                                <w:color w:val="000000"/>
                                <w:szCs w:val="24"/>
                                <w:shd w:val="clear" w:color="auto" w:fill="FFFFFF"/>
                                <w:vertAlign w:val="subscript"/>
                              </w:rPr>
                              <w:t>4</w:t>
                            </w:r>
                            <w:r w:rsidRPr="00D03824">
                              <w:rPr>
                                <w:rStyle w:val="Emphasis"/>
                                <w:rFonts w:cs="Times New Roman"/>
                                <w:i w:val="0"/>
                                <w:iCs w:val="0"/>
                                <w:color w:val="000000"/>
                                <w:szCs w:val="24"/>
                                <w:shd w:val="clear" w:color="auto" w:fill="FFFFFF"/>
                              </w:rPr>
                              <w:t xml:space="preserve">, THF, -78 °C; (c) </w:t>
                            </w:r>
                            <w:proofErr w:type="spellStart"/>
                            <w:r w:rsidRPr="00D03824">
                              <w:rPr>
                                <w:rStyle w:val="Emphasis"/>
                                <w:rFonts w:cs="Times New Roman"/>
                                <w:i w:val="0"/>
                                <w:iCs w:val="0"/>
                                <w:color w:val="000000"/>
                                <w:szCs w:val="24"/>
                                <w:shd w:val="clear" w:color="auto" w:fill="FFFFFF"/>
                              </w:rPr>
                              <w:t>HCl▪dioxane</w:t>
                            </w:r>
                            <w:proofErr w:type="spellEnd"/>
                            <w:r w:rsidRPr="00D03824">
                              <w:rPr>
                                <w:rStyle w:val="Emphasis"/>
                                <w:rFonts w:cs="Times New Roman"/>
                                <w:i w:val="0"/>
                                <w:iCs w:val="0"/>
                                <w:color w:val="000000"/>
                                <w:szCs w:val="24"/>
                                <w:shd w:val="clear" w:color="auto" w:fill="FFFFFF"/>
                              </w:rPr>
                              <w:t xml:space="preserve">, MeOH, 23 °C 99%. </w:t>
                            </w:r>
                          </w:p>
                        </w:txbxContent>
                      </wps:txbx>
                      <wps:bodyPr rot="0" vert="horz" wrap="square" lIns="91440" tIns="45720" rIns="91440" bIns="45720" anchor="t" anchorCtr="0">
                        <a:noAutofit/>
                      </wps:bodyPr>
                    </wps:wsp>
                  </a:graphicData>
                </a:graphic>
              </wp:inline>
            </w:drawing>
          </mc:Choice>
          <mc:Fallback>
            <w:pict>
              <v:shape w14:anchorId="65EE0966" id="_x0000_s1049" type="#_x0000_t202" style="width:468pt;height:1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QmFw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">
                <v:textbox>
                  <w:txbxContent>
                    <w:p w14:paraId="63014BCA" w14:textId="28FA1A85" w:rsidR="00654CB9" w:rsidRDefault="00A705CB" w:rsidP="00A705CB">
                      <w:pPr>
                        <w:keepNext/>
                        <w:spacing w:after="0"/>
                        <w:jc w:val="center"/>
                      </w:pPr>
                      <w:r>
                        <w:object w:dxaOrig="9582" w:dyaOrig="1137" w14:anchorId="130FDF96">
                          <v:shape id="_x0000_i1034" type="#_x0000_t75" style="width:448.35pt;height:53.3pt" o:ole="">
                            <v:imagedata r:id="rId112" o:title=""/>
                          </v:shape>
                          <o:OLEObject Type="Embed" ProgID="ChemDraw.Document.6.0" ShapeID="_x0000_i1034" DrawAspect="Content" ObjectID="_1713353472" r:id="rId114"/>
                        </w:object>
                      </w:r>
                    </w:p>
                    <w:p w14:paraId="43C57D78" w14:textId="6BA931F2" w:rsidR="00654CB9" w:rsidRPr="00D03824" w:rsidRDefault="00654CB9" w:rsidP="00DF51F5">
                      <w:pPr>
                        <w:pStyle w:val="Caption"/>
                        <w:rPr>
                          <w:rStyle w:val="Emphasis"/>
                          <w:rFonts w:cs="Times New Roman"/>
                          <w:i w:val="0"/>
                          <w:iCs w:val="0"/>
                          <w:color w:val="000000"/>
                          <w:szCs w:val="24"/>
                          <w:shd w:val="clear" w:color="auto" w:fill="FFFFFF"/>
                        </w:rPr>
                      </w:pPr>
                      <w:r>
                        <w:t xml:space="preserve">Scheme </w:t>
                      </w:r>
                      <w:r w:rsidRPr="00867AF0">
                        <w:rPr>
                          <w:rStyle w:val="Emphasis"/>
                          <w:rFonts w:cs="Times New Roman"/>
                          <w:i w:val="0"/>
                          <w:iCs w:val="0"/>
                          <w:color w:val="000000"/>
                          <w:szCs w:val="24"/>
                          <w:shd w:val="clear" w:color="auto" w:fill="FFFFFF"/>
                        </w:rPr>
                        <w:t>2</w:t>
                      </w:r>
                      <w:r w:rsidRPr="007F40AD">
                        <w:rPr>
                          <w:rStyle w:val="Emphasis"/>
                          <w:rFonts w:cs="Times New Roman"/>
                          <w:color w:val="000000"/>
                          <w:szCs w:val="24"/>
                          <w:shd w:val="clear" w:color="auto" w:fill="FFFFFF"/>
                        </w:rPr>
                        <w:t>.</w:t>
                      </w:r>
                      <w:fldSimple w:instr=" SEQ Scheme \* ARABIC ">
                        <w:r w:rsidR="00AA5AAC">
                          <w:rPr>
                            <w:noProof/>
                          </w:rPr>
                          <w:t>2</w:t>
                        </w:r>
                      </w:fldSimple>
                      <w:r>
                        <w:t xml:space="preserve">. </w:t>
                      </w:r>
                      <w:r w:rsidRPr="00D03824">
                        <w:rPr>
                          <w:rStyle w:val="Emphasis"/>
                          <w:rFonts w:cs="Times New Roman"/>
                          <w:i w:val="0"/>
                          <w:iCs w:val="0"/>
                          <w:color w:val="000000"/>
                          <w:szCs w:val="24"/>
                          <w:shd w:val="clear" w:color="auto" w:fill="FFFFFF"/>
                        </w:rPr>
                        <w:t xml:space="preserve">Synthesis of compounds </w:t>
                      </w:r>
                      <w:r w:rsidRPr="00D03824">
                        <w:rPr>
                          <w:i/>
                          <w:iCs/>
                        </w:rPr>
                        <w:t>2.</w:t>
                      </w:r>
                      <w:r w:rsidRPr="00D03824">
                        <w:rPr>
                          <w:rStyle w:val="Emphasis"/>
                          <w:rFonts w:cs="Times New Roman"/>
                          <w:i w:val="0"/>
                          <w:iCs w:val="0"/>
                          <w:color w:val="000000"/>
                          <w:szCs w:val="24"/>
                          <w:shd w:val="clear" w:color="auto" w:fill="FFFFFF"/>
                        </w:rPr>
                        <w:t xml:space="preserve">23 and </w:t>
                      </w:r>
                      <w:r w:rsidRPr="00D03824">
                        <w:rPr>
                          <w:i/>
                          <w:iCs/>
                        </w:rPr>
                        <w:t>2.</w:t>
                      </w:r>
                      <w:r w:rsidRPr="00D03824">
                        <w:rPr>
                          <w:rStyle w:val="Emphasis"/>
                          <w:rFonts w:cs="Times New Roman"/>
                          <w:i w:val="0"/>
                          <w:iCs w:val="0"/>
                          <w:color w:val="000000"/>
                          <w:szCs w:val="24"/>
                          <w:shd w:val="clear" w:color="auto" w:fill="FFFFFF"/>
                        </w:rPr>
                        <w:t xml:space="preserve">24. </w:t>
                      </w:r>
                    </w:p>
                    <w:p w14:paraId="0A6B2C74" w14:textId="77777777" w:rsidR="00654CB9" w:rsidRPr="00D03824" w:rsidRDefault="00654CB9" w:rsidP="00654CB9">
                      <w:pPr>
                        <w:spacing w:after="0" w:line="240" w:lineRule="auto"/>
                        <w:contextualSpacing/>
                        <w:rPr>
                          <w:rFonts w:cs="Times New Roman"/>
                          <w:i/>
                          <w:iCs/>
                          <w:color w:val="000000"/>
                          <w:szCs w:val="24"/>
                          <w:shd w:val="clear" w:color="auto" w:fill="FFFFFF"/>
                        </w:rPr>
                      </w:pPr>
                      <w:r w:rsidRPr="00D03824">
                        <w:rPr>
                          <w:rStyle w:val="Emphasis"/>
                          <w:rFonts w:cs="Times New Roman"/>
                          <w:i w:val="0"/>
                          <w:iCs w:val="0"/>
                          <w:color w:val="000000"/>
                          <w:szCs w:val="24"/>
                          <w:shd w:val="clear" w:color="auto" w:fill="FFFFFF"/>
                        </w:rPr>
                        <w:t>Reagents and conditions: (a) t-</w:t>
                      </w:r>
                      <w:proofErr w:type="spellStart"/>
                      <w:r w:rsidRPr="00D03824">
                        <w:rPr>
                          <w:rStyle w:val="Emphasis"/>
                          <w:rFonts w:cs="Times New Roman"/>
                          <w:i w:val="0"/>
                          <w:iCs w:val="0"/>
                          <w:color w:val="000000"/>
                          <w:szCs w:val="24"/>
                          <w:shd w:val="clear" w:color="auto" w:fill="FFFFFF"/>
                        </w:rPr>
                        <w:t>butanesulfinamide</w:t>
                      </w:r>
                      <w:proofErr w:type="spellEnd"/>
                      <w:r w:rsidRPr="00D03824">
                        <w:rPr>
                          <w:rStyle w:val="Emphasis"/>
                          <w:rFonts w:cs="Times New Roman"/>
                          <w:i w:val="0"/>
                          <w:iCs w:val="0"/>
                          <w:color w:val="000000"/>
                          <w:szCs w:val="24"/>
                          <w:shd w:val="clear" w:color="auto" w:fill="FFFFFF"/>
                        </w:rPr>
                        <w:t xml:space="preserve">, </w:t>
                      </w:r>
                      <w:proofErr w:type="spellStart"/>
                      <w:proofErr w:type="gramStart"/>
                      <w:r w:rsidRPr="00D03824">
                        <w:rPr>
                          <w:rStyle w:val="Emphasis"/>
                          <w:rFonts w:cs="Times New Roman"/>
                          <w:i w:val="0"/>
                          <w:iCs w:val="0"/>
                          <w:color w:val="000000"/>
                          <w:szCs w:val="24"/>
                          <w:shd w:val="clear" w:color="auto" w:fill="FFFFFF"/>
                        </w:rPr>
                        <w:t>Ti</w:t>
                      </w:r>
                      <w:proofErr w:type="spellEnd"/>
                      <w:r w:rsidRPr="00D03824">
                        <w:rPr>
                          <w:rStyle w:val="Emphasis"/>
                          <w:rFonts w:cs="Times New Roman"/>
                          <w:i w:val="0"/>
                          <w:iCs w:val="0"/>
                          <w:color w:val="000000"/>
                          <w:szCs w:val="24"/>
                          <w:shd w:val="clear" w:color="auto" w:fill="FFFFFF"/>
                        </w:rPr>
                        <w:t>(</w:t>
                      </w:r>
                      <w:proofErr w:type="spellStart"/>
                      <w:proofErr w:type="gramEnd"/>
                      <w:r w:rsidRPr="00D03824">
                        <w:rPr>
                          <w:rStyle w:val="Emphasis"/>
                          <w:rFonts w:cs="Times New Roman"/>
                          <w:i w:val="0"/>
                          <w:iCs w:val="0"/>
                          <w:color w:val="000000"/>
                          <w:szCs w:val="24"/>
                          <w:shd w:val="clear" w:color="auto" w:fill="FFFFFF"/>
                        </w:rPr>
                        <w:t>OEt</w:t>
                      </w:r>
                      <w:proofErr w:type="spellEnd"/>
                      <w:r w:rsidRPr="00D03824">
                        <w:rPr>
                          <w:rStyle w:val="Emphasis"/>
                          <w:rFonts w:cs="Times New Roman"/>
                          <w:i w:val="0"/>
                          <w:iCs w:val="0"/>
                          <w:color w:val="000000"/>
                          <w:szCs w:val="24"/>
                          <w:shd w:val="clear" w:color="auto" w:fill="FFFFFF"/>
                        </w:rPr>
                        <w:t>)</w:t>
                      </w:r>
                      <w:r w:rsidRPr="00D03824">
                        <w:rPr>
                          <w:rStyle w:val="Emphasis"/>
                          <w:rFonts w:cs="Times New Roman"/>
                          <w:i w:val="0"/>
                          <w:iCs w:val="0"/>
                          <w:color w:val="000000"/>
                          <w:szCs w:val="24"/>
                          <w:shd w:val="clear" w:color="auto" w:fill="FFFFFF"/>
                          <w:vertAlign w:val="subscript"/>
                        </w:rPr>
                        <w:t>4</w:t>
                      </w:r>
                      <w:r w:rsidRPr="00D03824">
                        <w:rPr>
                          <w:rStyle w:val="Emphasis"/>
                          <w:rFonts w:cs="Times New Roman"/>
                          <w:i w:val="0"/>
                          <w:iCs w:val="0"/>
                          <w:color w:val="000000"/>
                          <w:szCs w:val="24"/>
                          <w:shd w:val="clear" w:color="auto" w:fill="FFFFFF"/>
                        </w:rPr>
                        <w:t>, toluene, reflux, 84%; (b) NaBH</w:t>
                      </w:r>
                      <w:r w:rsidRPr="00D03824">
                        <w:rPr>
                          <w:rStyle w:val="Emphasis"/>
                          <w:rFonts w:cs="Times New Roman"/>
                          <w:i w:val="0"/>
                          <w:iCs w:val="0"/>
                          <w:color w:val="000000"/>
                          <w:szCs w:val="24"/>
                          <w:shd w:val="clear" w:color="auto" w:fill="FFFFFF"/>
                          <w:vertAlign w:val="subscript"/>
                        </w:rPr>
                        <w:t>4</w:t>
                      </w:r>
                      <w:r w:rsidRPr="00D03824">
                        <w:rPr>
                          <w:rStyle w:val="Emphasis"/>
                          <w:rFonts w:cs="Times New Roman"/>
                          <w:i w:val="0"/>
                          <w:iCs w:val="0"/>
                          <w:color w:val="000000"/>
                          <w:szCs w:val="24"/>
                          <w:shd w:val="clear" w:color="auto" w:fill="FFFFFF"/>
                        </w:rPr>
                        <w:t xml:space="preserve">, THF, -78 °C; (c) </w:t>
                      </w:r>
                      <w:proofErr w:type="spellStart"/>
                      <w:r w:rsidRPr="00D03824">
                        <w:rPr>
                          <w:rStyle w:val="Emphasis"/>
                          <w:rFonts w:cs="Times New Roman"/>
                          <w:i w:val="0"/>
                          <w:iCs w:val="0"/>
                          <w:color w:val="000000"/>
                          <w:szCs w:val="24"/>
                          <w:shd w:val="clear" w:color="auto" w:fill="FFFFFF"/>
                        </w:rPr>
                        <w:t>HCl▪dioxane</w:t>
                      </w:r>
                      <w:proofErr w:type="spellEnd"/>
                      <w:r w:rsidRPr="00D03824">
                        <w:rPr>
                          <w:rStyle w:val="Emphasis"/>
                          <w:rFonts w:cs="Times New Roman"/>
                          <w:i w:val="0"/>
                          <w:iCs w:val="0"/>
                          <w:color w:val="000000"/>
                          <w:szCs w:val="24"/>
                          <w:shd w:val="clear" w:color="auto" w:fill="FFFFFF"/>
                        </w:rPr>
                        <w:t xml:space="preserve">, MeOH, 23 °C 99%. </w:t>
                      </w:r>
                    </w:p>
                  </w:txbxContent>
                </v:textbox>
                <w10:anchorlock/>
              </v:shape>
            </w:pict>
          </mc:Fallback>
        </mc:AlternateContent>
      </w:r>
    </w:p>
    <w:p w14:paraId="1D74A9E3" w14:textId="77777777" w:rsidR="00654CB9" w:rsidRPr="00654CB9" w:rsidRDefault="00654CB9" w:rsidP="00654CB9">
      <w:pPr>
        <w:spacing w:after="0"/>
        <w:contextualSpacing/>
        <w:rPr>
          <w:rFonts w:cs="Times New Roman"/>
          <w:iCs/>
          <w:color w:val="000000"/>
          <w:szCs w:val="24"/>
          <w:shd w:val="clear" w:color="auto" w:fill="FFFFFF"/>
        </w:rPr>
      </w:pPr>
      <w:r w:rsidRPr="00654CB9">
        <w:rPr>
          <w:rFonts w:cs="Times New Roman"/>
          <w:iCs/>
          <w:noProof/>
          <w:color w:val="000000"/>
          <w:szCs w:val="24"/>
          <w:shd w:val="clear" w:color="auto" w:fill="FFFFFF"/>
        </w:rPr>
        <w:lastRenderedPageBreak/>
        <mc:AlternateContent>
          <mc:Choice Requires="wps">
            <w:drawing>
              <wp:inline distT="0" distB="0" distL="0" distR="0" wp14:anchorId="1EA41ADB" wp14:editId="63061365">
                <wp:extent cx="5943600" cy="2926080"/>
                <wp:effectExtent l="0" t="0" r="19050" b="2667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926080"/>
                        </a:xfrm>
                        <a:prstGeom prst="rect">
                          <a:avLst/>
                        </a:prstGeom>
                        <a:solidFill>
                          <a:srgbClr val="FFFFFF"/>
                        </a:solidFill>
                        <a:ln w="9525">
                          <a:solidFill>
                            <a:srgbClr val="000000"/>
                          </a:solidFill>
                          <a:miter lim="800000"/>
                          <a:headEnd/>
                          <a:tailEnd/>
                        </a:ln>
                      </wps:spPr>
                      <wps:txbx>
                        <w:txbxContent>
                          <w:p w14:paraId="0EEE3F45" w14:textId="77777777" w:rsidR="00654CB9" w:rsidRDefault="00654CB9" w:rsidP="00654CB9">
                            <w:pPr>
                              <w:keepNext/>
                              <w:spacing w:after="0"/>
                              <w:jc w:val="center"/>
                            </w:pPr>
                            <w:r>
                              <w:rPr>
                                <w:noProof/>
                              </w:rPr>
                              <w:drawing>
                                <wp:inline distT="0" distB="0" distL="0" distR="0" wp14:anchorId="533D2C2A" wp14:editId="3BB486E5">
                                  <wp:extent cx="4638547" cy="1983990"/>
                                  <wp:effectExtent l="0" t="0" r="0" b="0"/>
                                  <wp:docPr id="197" name="Picture 197" descr="Assessment of amine substitution and stereochemical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ssessment of amine substitution and stereochemical requirements. "/>
                                          <pic:cNvPicPr/>
                                        </pic:nvPicPr>
                                        <pic:blipFill>
                                          <a:blip r:embed="rId115">
                                            <a:extLst>
                                              <a:ext uri="{28A0092B-C50C-407E-A947-70E740481C1C}">
                                                <a14:useLocalDpi xmlns:a14="http://schemas.microsoft.com/office/drawing/2010/main" val="0"/>
                                              </a:ext>
                                            </a:extLst>
                                          </a:blip>
                                          <a:stretch>
                                            <a:fillRect/>
                                          </a:stretch>
                                        </pic:blipFill>
                                        <pic:spPr>
                                          <a:xfrm>
                                            <a:off x="0" y="0"/>
                                            <a:ext cx="4638547" cy="1983990"/>
                                          </a:xfrm>
                                          <a:prstGeom prst="rect">
                                            <a:avLst/>
                                          </a:prstGeom>
                                        </pic:spPr>
                                      </pic:pic>
                                    </a:graphicData>
                                  </a:graphic>
                                </wp:inline>
                              </w:drawing>
                            </w:r>
                          </w:p>
                          <w:p w14:paraId="64FDFB1A" w14:textId="0117B887" w:rsidR="00654CB9" w:rsidRPr="00D03824" w:rsidRDefault="00654CB9" w:rsidP="00DF51F5">
                            <w:pPr>
                              <w:pStyle w:val="Caption"/>
                              <w:rPr>
                                <w:rStyle w:val="Emphasis"/>
                                <w:rFonts w:cs="Times New Roman"/>
                                <w:i w:val="0"/>
                                <w:iCs w:val="0"/>
                                <w:color w:val="000000"/>
                                <w:szCs w:val="24"/>
                                <w:shd w:val="clear" w:color="auto" w:fill="FFFFFF"/>
                              </w:rPr>
                            </w:pPr>
                            <w:bookmarkStart w:id="161" w:name="_Toc97309252"/>
                            <w:bookmarkStart w:id="162" w:name="_Toc100748301"/>
                            <w:r w:rsidRPr="00D03824">
                              <w:t>Figure 2.</w:t>
                            </w:r>
                            <w:fldSimple w:instr=" SEQ Figure \* ARABIC ">
                              <w:r w:rsidR="00AA5AAC">
                                <w:rPr>
                                  <w:noProof/>
                                </w:rPr>
                                <w:t>7</w:t>
                              </w:r>
                            </w:fldSimple>
                            <w:r w:rsidRPr="00D03824">
                              <w:t xml:space="preserve">. </w:t>
                            </w:r>
                            <w:r w:rsidRPr="00D03824">
                              <w:rPr>
                                <w:rStyle w:val="Emphasis"/>
                                <w:rFonts w:cs="Times New Roman"/>
                                <w:i w:val="0"/>
                                <w:iCs w:val="0"/>
                                <w:color w:val="000000"/>
                                <w:szCs w:val="24"/>
                                <w:shd w:val="clear" w:color="auto" w:fill="FFFFFF"/>
                              </w:rPr>
                              <w:t>Assessment of amine substitution and stereochemical requirements.</w:t>
                            </w:r>
                            <w:bookmarkEnd w:id="161"/>
                            <w:bookmarkEnd w:id="162"/>
                            <w:r w:rsidRPr="00D03824">
                              <w:rPr>
                                <w:rStyle w:val="Emphasis"/>
                                <w:rFonts w:cs="Times New Roman"/>
                                <w:i w:val="0"/>
                                <w:iCs w:val="0"/>
                                <w:color w:val="000000"/>
                                <w:szCs w:val="24"/>
                                <w:shd w:val="clear" w:color="auto" w:fill="FFFFFF"/>
                              </w:rPr>
                              <w:t xml:space="preserve"> </w:t>
                            </w:r>
                          </w:p>
                          <w:p w14:paraId="7E9707C2" w14:textId="77777777" w:rsidR="00654CB9" w:rsidRPr="00D03824" w:rsidRDefault="00654CB9" w:rsidP="00654CB9">
                            <w:pPr>
                              <w:spacing w:after="0" w:line="240" w:lineRule="auto"/>
                              <w:contextualSpacing/>
                              <w:rPr>
                                <w:rFonts w:cs="Times New Roman"/>
                                <w:color w:val="000000"/>
                                <w:szCs w:val="24"/>
                                <w:shd w:val="clear" w:color="auto" w:fill="FFFFFF"/>
                              </w:rPr>
                            </w:pPr>
                            <w:r w:rsidRPr="00D03824">
                              <w:rPr>
                                <w:rStyle w:val="Emphasis"/>
                                <w:rFonts w:cs="Times New Roman"/>
                                <w:i w:val="0"/>
                                <w:iCs w:val="0"/>
                                <w:color w:val="000000"/>
                                <w:szCs w:val="24"/>
                                <w:shd w:val="clear" w:color="auto" w:fill="FFFFFF"/>
                              </w:rPr>
                              <w:t>Results are provided as the mean ± SEM of at least three separate experiments performed in triplicate.</w:t>
                            </w:r>
                          </w:p>
                        </w:txbxContent>
                      </wps:txbx>
                      <wps:bodyPr rot="0" vert="horz" wrap="square" lIns="91440" tIns="45720" rIns="91440" bIns="45720" anchor="t" anchorCtr="0">
                        <a:noAutofit/>
                      </wps:bodyPr>
                    </wps:wsp>
                  </a:graphicData>
                </a:graphic>
              </wp:inline>
            </w:drawing>
          </mc:Choice>
          <mc:Fallback>
            <w:pict>
              <v:shape w14:anchorId="1EA41ADB" id="_x0000_s1050" type="#_x0000_t202" style="width:468pt;height:23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">
                <v:textbox>
                  <w:txbxContent>
                    <w:p w14:paraId="0EEE3F45" w14:textId="77777777" w:rsidR="00654CB9" w:rsidRDefault="00654CB9" w:rsidP="00654CB9">
                      <w:pPr>
                        <w:keepNext/>
                        <w:spacing w:after="0"/>
                        <w:jc w:val="center"/>
                      </w:pPr>
                      <w:r>
                        <w:rPr>
                          <w:noProof/>
                        </w:rPr>
                        <w:drawing>
                          <wp:inline distT="0" distB="0" distL="0" distR="0" wp14:anchorId="533D2C2A" wp14:editId="3BB486E5">
                            <wp:extent cx="4638547" cy="1983990"/>
                            <wp:effectExtent l="0" t="0" r="0" b="0"/>
                            <wp:docPr id="197" name="Picture 197" descr="Assessment of amine substitution and stereochemical requir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ssessment of amine substitution and stereochemical requirements. "/>
                                    <pic:cNvPicPr/>
                                  </pic:nvPicPr>
                                  <pic:blipFill>
                                    <a:blip r:embed="rId115">
                                      <a:extLst>
                                        <a:ext uri="{28A0092B-C50C-407E-A947-70E740481C1C}">
                                          <a14:useLocalDpi xmlns:a14="http://schemas.microsoft.com/office/drawing/2010/main" val="0"/>
                                        </a:ext>
                                      </a:extLst>
                                    </a:blip>
                                    <a:stretch>
                                      <a:fillRect/>
                                    </a:stretch>
                                  </pic:blipFill>
                                  <pic:spPr>
                                    <a:xfrm>
                                      <a:off x="0" y="0"/>
                                      <a:ext cx="4638547" cy="1983990"/>
                                    </a:xfrm>
                                    <a:prstGeom prst="rect">
                                      <a:avLst/>
                                    </a:prstGeom>
                                  </pic:spPr>
                                </pic:pic>
                              </a:graphicData>
                            </a:graphic>
                          </wp:inline>
                        </w:drawing>
                      </w:r>
                    </w:p>
                    <w:p w14:paraId="64FDFB1A" w14:textId="0117B887" w:rsidR="00654CB9" w:rsidRPr="00D03824" w:rsidRDefault="00654CB9" w:rsidP="00DF51F5">
                      <w:pPr>
                        <w:pStyle w:val="Caption"/>
                        <w:rPr>
                          <w:rStyle w:val="Emphasis"/>
                          <w:rFonts w:cs="Times New Roman"/>
                          <w:i w:val="0"/>
                          <w:iCs w:val="0"/>
                          <w:color w:val="000000"/>
                          <w:szCs w:val="24"/>
                          <w:shd w:val="clear" w:color="auto" w:fill="FFFFFF"/>
                        </w:rPr>
                      </w:pPr>
                      <w:bookmarkStart w:id="163" w:name="_Toc97309252"/>
                      <w:bookmarkStart w:id="164" w:name="_Toc100748301"/>
                      <w:r w:rsidRPr="00D03824">
                        <w:t>Figure 2.</w:t>
                      </w:r>
                      <w:fldSimple w:instr=" SEQ Figure \* ARABIC ">
                        <w:r w:rsidR="00AA5AAC">
                          <w:rPr>
                            <w:noProof/>
                          </w:rPr>
                          <w:t>7</w:t>
                        </w:r>
                      </w:fldSimple>
                      <w:r w:rsidRPr="00D03824">
                        <w:t xml:space="preserve">. </w:t>
                      </w:r>
                      <w:r w:rsidRPr="00D03824">
                        <w:rPr>
                          <w:rStyle w:val="Emphasis"/>
                          <w:rFonts w:cs="Times New Roman"/>
                          <w:i w:val="0"/>
                          <w:iCs w:val="0"/>
                          <w:color w:val="000000"/>
                          <w:szCs w:val="24"/>
                          <w:shd w:val="clear" w:color="auto" w:fill="FFFFFF"/>
                        </w:rPr>
                        <w:t>Assessment of amine substitution and stereochemical requirements.</w:t>
                      </w:r>
                      <w:bookmarkEnd w:id="163"/>
                      <w:bookmarkEnd w:id="164"/>
                      <w:r w:rsidRPr="00D03824">
                        <w:rPr>
                          <w:rStyle w:val="Emphasis"/>
                          <w:rFonts w:cs="Times New Roman"/>
                          <w:i w:val="0"/>
                          <w:iCs w:val="0"/>
                          <w:color w:val="000000"/>
                          <w:szCs w:val="24"/>
                          <w:shd w:val="clear" w:color="auto" w:fill="FFFFFF"/>
                        </w:rPr>
                        <w:t xml:space="preserve"> </w:t>
                      </w:r>
                    </w:p>
                    <w:p w14:paraId="7E9707C2" w14:textId="77777777" w:rsidR="00654CB9" w:rsidRPr="00D03824" w:rsidRDefault="00654CB9" w:rsidP="00654CB9">
                      <w:pPr>
                        <w:spacing w:after="0" w:line="240" w:lineRule="auto"/>
                        <w:contextualSpacing/>
                        <w:rPr>
                          <w:rFonts w:cs="Times New Roman"/>
                          <w:color w:val="000000"/>
                          <w:szCs w:val="24"/>
                          <w:shd w:val="clear" w:color="auto" w:fill="FFFFFF"/>
                        </w:rPr>
                      </w:pPr>
                      <w:r w:rsidRPr="00D03824">
                        <w:rPr>
                          <w:rStyle w:val="Emphasis"/>
                          <w:rFonts w:cs="Times New Roman"/>
                          <w:i w:val="0"/>
                          <w:iCs w:val="0"/>
                          <w:color w:val="000000"/>
                          <w:szCs w:val="24"/>
                          <w:shd w:val="clear" w:color="auto" w:fill="FFFFFF"/>
                        </w:rPr>
                        <w:t>Results are provided as the mean ± SEM of at least three separate experiments performed in triplicate.</w:t>
                      </w:r>
                    </w:p>
                  </w:txbxContent>
                </v:textbox>
                <w10:anchorlock/>
              </v:shape>
            </w:pict>
          </mc:Fallback>
        </mc:AlternateContent>
      </w:r>
    </w:p>
    <w:p w14:paraId="1FA62449" w14:textId="77777777" w:rsidR="00654CB9" w:rsidRPr="00654CB9" w:rsidRDefault="00654CB9" w:rsidP="00654CB9">
      <w:pPr>
        <w:spacing w:after="0"/>
        <w:ind w:firstLine="720"/>
        <w:contextualSpacing/>
        <w:rPr>
          <w:rFonts w:cs="Times New Roman"/>
          <w:color w:val="000000"/>
          <w:szCs w:val="24"/>
          <w:shd w:val="clear" w:color="auto" w:fill="FFFFFF"/>
        </w:rPr>
      </w:pPr>
      <w:r w:rsidRPr="00654CB9">
        <w:rPr>
          <w:rFonts w:cs="Times New Roman"/>
          <w:color w:val="000000"/>
          <w:szCs w:val="24"/>
          <w:shd w:val="clear" w:color="auto" w:fill="FFFFFF"/>
        </w:rPr>
        <w:t xml:space="preserve">Additionally, replacement of the primary amine with a primary alcohol abolishes activity (compare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25</w:t>
      </w:r>
      <w:r w:rsidRPr="00654CB9">
        <w:rPr>
          <w:rFonts w:cs="Times New Roman"/>
          <w:color w:val="000000"/>
          <w:szCs w:val="24"/>
          <w:shd w:val="clear" w:color="auto" w:fill="FFFFFF"/>
        </w:rPr>
        <w:t xml:space="preserve"> and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w:t>
      </w:r>
      <w:r w:rsidRPr="00654CB9">
        <w:rPr>
          <w:rFonts w:cs="Times New Roman"/>
          <w:color w:val="000000"/>
          <w:szCs w:val="24"/>
          <w:shd w:val="clear" w:color="auto" w:fill="FFFFFF"/>
        </w:rPr>
        <w:t xml:space="preserve">, </w:t>
      </w:r>
      <w:r w:rsidRPr="00654CB9">
        <w:rPr>
          <w:rFonts w:cs="Times New Roman"/>
          <w:b/>
          <w:color w:val="000000"/>
          <w:szCs w:val="24"/>
          <w:shd w:val="clear" w:color="auto" w:fill="FFFFFF"/>
        </w:rPr>
        <w:t xml:space="preserve">Figure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w:t>
      </w:r>
      <w:r w:rsidRPr="00654CB9">
        <w:rPr>
          <w:rFonts w:cs="Times New Roman"/>
          <w:color w:val="000000"/>
          <w:szCs w:val="24"/>
          <w:shd w:val="clear" w:color="auto" w:fill="FFFFFF"/>
        </w:rPr>
        <w:t xml:space="preserve">). As demonstrated by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26</w:t>
      </w:r>
      <w:r w:rsidRPr="00654CB9">
        <w:rPr>
          <w:rFonts w:cs="Times New Roman"/>
          <w:color w:val="000000"/>
          <w:szCs w:val="24"/>
          <w:shd w:val="clear" w:color="auto" w:fill="FFFFFF"/>
        </w:rPr>
        <w:t xml:space="preserve">, incorporation of the 5,6-difluoroindole with the (R) stereocenter produces the same enhancement in activity as noted with the racemic series and provides the most active compound identified in this series to date.  </w:t>
      </w:r>
    </w:p>
    <w:p w14:paraId="43CACE8C" w14:textId="77777777" w:rsidR="00654CB9" w:rsidRPr="00654CB9" w:rsidRDefault="00654CB9" w:rsidP="00654CB9">
      <w:pPr>
        <w:spacing w:after="0"/>
        <w:ind w:firstLine="720"/>
        <w:contextualSpacing/>
        <w:rPr>
          <w:rFonts w:cs="Times New Roman"/>
          <w:color w:val="000000"/>
          <w:szCs w:val="24"/>
          <w:shd w:val="clear" w:color="auto" w:fill="FFFFFF"/>
        </w:rPr>
      </w:pPr>
      <w:r w:rsidRPr="00654CB9">
        <w:rPr>
          <w:rFonts w:cs="Times New Roman"/>
          <w:color w:val="000000"/>
          <w:szCs w:val="24"/>
          <w:shd w:val="clear" w:color="auto" w:fill="FFFFFF"/>
        </w:rPr>
        <w:t xml:space="preserve">Considering the seemingly dispensable C-ring, the requirement for a primary amine, and necessity of (R) stereochemistry, we were intrigued by the possibility of simplifying this scaffold even further through the deconstruction of the B-ring to arrive at more synthetically tractable N-arylated amino acids. As shown in </w:t>
      </w:r>
      <w:r w:rsidRPr="00654CB9">
        <w:rPr>
          <w:rFonts w:cs="Times New Roman"/>
          <w:b/>
          <w:color w:val="000000"/>
          <w:szCs w:val="24"/>
          <w:shd w:val="clear" w:color="auto" w:fill="FFFFFF"/>
        </w:rPr>
        <w:t xml:space="preserve">Figure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3</w:t>
      </w:r>
      <w:r w:rsidRPr="00654CB9">
        <w:rPr>
          <w:rFonts w:cs="Times New Roman"/>
          <w:color w:val="000000"/>
          <w:szCs w:val="24"/>
          <w:shd w:val="clear" w:color="auto" w:fill="FFFFFF"/>
        </w:rPr>
        <w:t xml:space="preserve"> this chemotype retains the requisite A-ring and the sp</w:t>
      </w:r>
      <w:r w:rsidRPr="00654CB9">
        <w:rPr>
          <w:rFonts w:cs="Times New Roman"/>
          <w:color w:val="000000"/>
          <w:szCs w:val="24"/>
          <w:shd w:val="clear" w:color="auto" w:fill="FFFFFF"/>
          <w:vertAlign w:val="superscript"/>
        </w:rPr>
        <w:t>2</w:t>
      </w:r>
      <w:r w:rsidRPr="00654CB9">
        <w:rPr>
          <w:rFonts w:cs="Times New Roman"/>
          <w:color w:val="000000"/>
          <w:szCs w:val="24"/>
          <w:shd w:val="clear" w:color="auto" w:fill="FFFFFF"/>
        </w:rPr>
        <w:t xml:space="preserve"> hybridization of the carbon alpha to the “indole” nitrogen. The resulting amide is expected to adopt the more energetically favored trans geometry,</w:t>
      </w:r>
      <w:r w:rsidRPr="00654CB9">
        <w:rPr>
          <w:rFonts w:cs="Times New Roman"/>
          <w:color w:val="000000"/>
          <w:szCs w:val="24"/>
          <w:shd w:val="clear" w:color="auto" w:fill="FFFFFF"/>
        </w:rPr>
        <w:fldChar w:fldCharType="begin"/>
      </w:r>
      <w:r w:rsidRPr="00654CB9">
        <w:rPr>
          <w:rFonts w:cs="Times New Roman"/>
          <w:color w:val="000000"/>
          <w:szCs w:val="24"/>
          <w:shd w:val="clear" w:color="auto" w:fill="FFFFFF"/>
        </w:rPr>
        <w:instrText xml:space="preserve"> ADDIN ZOTERO_ITEM CSL_CITATION {"citationID":"LlX07afG","properties":{"formattedCitation":"\\super 19\\nosupersub{}","plainCitation":"19","noteIndex":0},"citationItems":[{"id":156,"uris":["http://zotero.org/users/6503767/items/DKSBDJWS"],"itemData":{"id":156,"type":"article-journal","container-title":"Journal of the American Chemical Society","DOI":"10.1021/ja980181t","ISSN":"0002-7863, 1520-5126","issue":"22","journalAbbreviation":"J. Am. Chem. Soc.","language":"en","page":"5568-5574","source":"DOI.org (Crossref)","title":"Barriers to Rotation of Secondary Amide Peptide Bonds","volume":"120","author":[{"family":"Scherer","given":"Gerd"},{"family":"Kramer","given":"Michael L."},{"family":"Schutkowski","given":"Mike"},{"family":"Reimer","given":"Ulf"},{"family":"Fischer","given":"Gunter"}],"issued":{"date-parts":[["1998",6,1]]}}}],"schema":"https://github.com/citation-style-language/schema/raw/master/csl-citation.json"} </w:instrText>
      </w:r>
      <w:r w:rsidRPr="00654CB9">
        <w:rPr>
          <w:rFonts w:cs="Times New Roman"/>
          <w:color w:val="000000"/>
          <w:szCs w:val="24"/>
          <w:shd w:val="clear" w:color="auto" w:fill="FFFFFF"/>
        </w:rPr>
        <w:fldChar w:fldCharType="separate"/>
      </w:r>
      <w:r w:rsidRPr="00654CB9">
        <w:rPr>
          <w:rFonts w:cs="Times New Roman"/>
          <w:szCs w:val="24"/>
          <w:vertAlign w:val="superscript"/>
        </w:rPr>
        <w:t>19</w:t>
      </w:r>
      <w:r w:rsidRPr="00654CB9">
        <w:rPr>
          <w:rFonts w:cs="Times New Roman"/>
          <w:color w:val="000000"/>
          <w:szCs w:val="24"/>
          <w:shd w:val="clear" w:color="auto" w:fill="FFFFFF"/>
        </w:rPr>
        <w:fldChar w:fldCharType="end"/>
      </w:r>
      <w:r w:rsidRPr="00654CB9">
        <w:rPr>
          <w:rFonts w:cs="Times New Roman"/>
          <w:color w:val="000000"/>
          <w:szCs w:val="24"/>
          <w:shd w:val="clear" w:color="auto" w:fill="FFFFFF"/>
        </w:rPr>
        <w:t xml:space="preserve"> thus providing a reasonable isostere for the parent indole, while alleviating the rigidity of the parent heterocycle. Unfortunately, all analogs synthesized in this series (</w:t>
      </w:r>
      <w:r w:rsidRPr="00654CB9">
        <w:rPr>
          <w:rFonts w:cs="Times New Roman"/>
          <w:b/>
          <w:color w:val="000000"/>
          <w:szCs w:val="24"/>
          <w:shd w:val="clear" w:color="auto" w:fill="FFFFFF"/>
        </w:rPr>
        <w:t xml:space="preserve">Figure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8</w:t>
      </w:r>
      <w:r w:rsidRPr="00654CB9">
        <w:rPr>
          <w:rFonts w:cs="Times New Roman"/>
          <w:color w:val="000000"/>
          <w:szCs w:val="24"/>
          <w:shd w:val="clear" w:color="auto" w:fill="FFFFFF"/>
        </w:rPr>
        <w:t xml:space="preserve">) were inactive at concentrations up to 80 </w:t>
      </w:r>
      <w:r w:rsidRPr="00654CB9">
        <w:rPr>
          <w:rFonts w:asciiTheme="minorHAnsi" w:hAnsiTheme="minorHAnsi" w:cs="Times New Roman"/>
          <w:color w:val="000000"/>
          <w:szCs w:val="24"/>
          <w:shd w:val="clear" w:color="auto" w:fill="FFFFFF"/>
        </w:rPr>
        <w:t>µ</w:t>
      </w:r>
      <w:r w:rsidRPr="00654CB9">
        <w:rPr>
          <w:rFonts w:cs="Times New Roman"/>
          <w:color w:val="000000"/>
          <w:szCs w:val="24"/>
          <w:shd w:val="clear" w:color="auto" w:fill="FFFFFF"/>
        </w:rPr>
        <w:t>M.</w:t>
      </w:r>
    </w:p>
    <w:p w14:paraId="5662BC61" w14:textId="77777777" w:rsidR="00654CB9" w:rsidRPr="00654CB9" w:rsidRDefault="00654CB9" w:rsidP="00654CB9">
      <w:pPr>
        <w:spacing w:after="0"/>
        <w:contextualSpacing/>
        <w:rPr>
          <w:rFonts w:cs="Times New Roman"/>
          <w:iCs/>
          <w:color w:val="000000"/>
          <w:szCs w:val="24"/>
          <w:shd w:val="clear" w:color="auto" w:fill="FFFFFF"/>
        </w:rPr>
      </w:pPr>
      <w:r w:rsidRPr="00654CB9">
        <w:rPr>
          <w:rFonts w:asciiTheme="minorHAnsi" w:hAnsiTheme="minorHAnsi"/>
          <w:noProof/>
          <w:sz w:val="22"/>
        </w:rPr>
        <w:lastRenderedPageBreak/>
        <mc:AlternateContent>
          <mc:Choice Requires="wps">
            <w:drawing>
              <wp:inline distT="0" distB="0" distL="0" distR="0" wp14:anchorId="598518C0" wp14:editId="5783E103">
                <wp:extent cx="5943600" cy="2504661"/>
                <wp:effectExtent l="0" t="0" r="19050" b="1016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04661"/>
                        </a:xfrm>
                        <a:prstGeom prst="rect">
                          <a:avLst/>
                        </a:prstGeom>
                        <a:solidFill>
                          <a:srgbClr val="FFFFFF"/>
                        </a:solidFill>
                        <a:ln w="9525">
                          <a:solidFill>
                            <a:srgbClr val="000000"/>
                          </a:solidFill>
                          <a:miter lim="800000"/>
                          <a:headEnd/>
                          <a:tailEnd/>
                        </a:ln>
                      </wps:spPr>
                      <wps:txbx>
                        <w:txbxContent>
                          <w:p w14:paraId="168E1F7B" w14:textId="77777777" w:rsidR="00654CB9" w:rsidRDefault="00654CB9" w:rsidP="00654CB9">
                            <w:pPr>
                              <w:keepNext/>
                              <w:spacing w:after="0"/>
                              <w:jc w:val="center"/>
                            </w:pPr>
                            <w:r>
                              <w:rPr>
                                <w:noProof/>
                              </w:rPr>
                              <w:object w:dxaOrig="7877" w:dyaOrig="2925" w14:anchorId="23372B8A">
                                <v:shape id="_x0000_i1035" type="#_x0000_t75" style="width:394.6pt;height:146.35pt" o:ole="">
                                  <v:imagedata r:id="rId116" o:title=""/>
                                </v:shape>
                                <o:OLEObject Type="Embed" ProgID="ChemDraw.Document.6.0" ShapeID="_x0000_i1035" DrawAspect="Content" ObjectID="_1713353473" r:id="rId117"/>
                              </w:object>
                            </w:r>
                          </w:p>
                          <w:p w14:paraId="655A7D0F" w14:textId="138CBD54" w:rsidR="00654CB9" w:rsidRPr="00D03824" w:rsidRDefault="00654CB9" w:rsidP="00DF51F5">
                            <w:pPr>
                              <w:pStyle w:val="Caption"/>
                              <w:rPr>
                                <w:i/>
                                <w:shd w:val="clear" w:color="auto" w:fill="FFFFFF"/>
                              </w:rPr>
                            </w:pPr>
                            <w:bookmarkStart w:id="165" w:name="_Toc97309253"/>
                            <w:bookmarkStart w:id="166" w:name="_Toc100748302"/>
                            <w:r w:rsidRPr="009653EB">
                              <w:t>Figure</w:t>
                            </w:r>
                            <w:r w:rsidRPr="00D03824">
                              <w:rPr>
                                <w:i/>
                              </w:rPr>
                              <w:t xml:space="preserve"> </w:t>
                            </w:r>
                            <w:r w:rsidRPr="00D03824">
                              <w:rPr>
                                <w:rStyle w:val="Emphasis"/>
                                <w:rFonts w:cs="Times New Roman"/>
                                <w:i w:val="0"/>
                                <w:color w:val="000000"/>
                                <w:szCs w:val="24"/>
                                <w:shd w:val="clear" w:color="auto" w:fill="FFFFFF"/>
                              </w:rPr>
                              <w:t>2.</w:t>
                            </w:r>
                            <w:r w:rsidR="005352D9">
                              <w:rPr>
                                <w:rStyle w:val="Emphasis"/>
                                <w:rFonts w:cs="Times New Roman"/>
                                <w:i w:val="0"/>
                                <w:color w:val="000000"/>
                                <w:szCs w:val="24"/>
                                <w:shd w:val="clear" w:color="auto" w:fill="FFFFFF"/>
                              </w:rPr>
                              <w:fldChar w:fldCharType="begin"/>
                            </w:r>
                            <w:r w:rsidR="005352D9">
                              <w:rPr>
                                <w:rStyle w:val="Emphasis"/>
                                <w:rFonts w:cs="Times New Roman"/>
                                <w:i w:val="0"/>
                                <w:color w:val="000000"/>
                                <w:szCs w:val="24"/>
                                <w:shd w:val="clear" w:color="auto" w:fill="FFFFFF"/>
                              </w:rPr>
                              <w:instrText xml:space="preserve"> SEQ Figure \* ARABIC </w:instrText>
                            </w:r>
                            <w:r w:rsidR="005352D9">
                              <w:rPr>
                                <w:rStyle w:val="Emphasis"/>
                                <w:rFonts w:cs="Times New Roman"/>
                                <w:i w:val="0"/>
                                <w:color w:val="000000"/>
                                <w:szCs w:val="24"/>
                                <w:shd w:val="clear" w:color="auto" w:fill="FFFFFF"/>
                              </w:rPr>
                              <w:fldChar w:fldCharType="separate"/>
                            </w:r>
                            <w:r w:rsidR="00AA5AAC">
                              <w:rPr>
                                <w:rStyle w:val="Emphasis"/>
                                <w:rFonts w:cs="Times New Roman"/>
                                <w:i w:val="0"/>
                                <w:noProof/>
                                <w:color w:val="000000"/>
                                <w:szCs w:val="24"/>
                                <w:shd w:val="clear" w:color="auto" w:fill="FFFFFF"/>
                              </w:rPr>
                              <w:t>8</w:t>
                            </w:r>
                            <w:r w:rsidR="005352D9">
                              <w:rPr>
                                <w:rStyle w:val="Emphasis"/>
                                <w:rFonts w:cs="Times New Roman"/>
                                <w:i w:val="0"/>
                                <w:color w:val="000000"/>
                                <w:szCs w:val="24"/>
                                <w:shd w:val="clear" w:color="auto" w:fill="FFFFFF"/>
                              </w:rPr>
                              <w:fldChar w:fldCharType="end"/>
                            </w:r>
                            <w:r w:rsidRPr="00D03824">
                              <w:rPr>
                                <w:i/>
                              </w:rPr>
                              <w:t xml:space="preserve">. </w:t>
                            </w:r>
                            <w:r w:rsidRPr="00D03824">
                              <w:rPr>
                                <w:rStyle w:val="Emphasis"/>
                                <w:rFonts w:cs="Times New Roman"/>
                                <w:bCs/>
                                <w:i w:val="0"/>
                                <w:color w:val="000000"/>
                                <w:szCs w:val="24"/>
                                <w:shd w:val="clear" w:color="auto" w:fill="FFFFFF"/>
                              </w:rPr>
                              <w:t xml:space="preserve">Structure of </w:t>
                            </w:r>
                            <w:r w:rsidRPr="00D03824">
                              <w:rPr>
                                <w:rStyle w:val="Emphasis"/>
                                <w:rFonts w:cs="Times New Roman"/>
                                <w:i w:val="0"/>
                                <w:color w:val="000000"/>
                                <w:szCs w:val="24"/>
                                <w:shd w:val="clear" w:color="auto" w:fill="FFFFFF"/>
                              </w:rPr>
                              <w:t>seco-amide analogs synthesized and assessed for CpxRA modulation.</w:t>
                            </w:r>
                            <w:bookmarkEnd w:id="165"/>
                            <w:bookmarkEnd w:id="166"/>
                          </w:p>
                        </w:txbxContent>
                      </wps:txbx>
                      <wps:bodyPr rot="0" vert="horz" wrap="square" lIns="91440" tIns="45720" rIns="91440" bIns="45720" anchor="t" anchorCtr="0">
                        <a:noAutofit/>
                      </wps:bodyPr>
                    </wps:wsp>
                  </a:graphicData>
                </a:graphic>
              </wp:inline>
            </w:drawing>
          </mc:Choice>
          <mc:Fallback>
            <w:pict>
              <v:shape w14:anchorId="598518C0" id="_x0000_s1051" type="#_x0000_t202" style="width:468pt;height:19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">
                <v:textbox>
                  <w:txbxContent>
                    <w:p w14:paraId="168E1F7B" w14:textId="77777777" w:rsidR="00654CB9" w:rsidRDefault="00654CB9" w:rsidP="00654CB9">
                      <w:pPr>
                        <w:keepNext/>
                        <w:spacing w:after="0"/>
                        <w:jc w:val="center"/>
                      </w:pPr>
                      <w:r>
                        <w:rPr>
                          <w:noProof/>
                        </w:rPr>
                        <w:object w:dxaOrig="7877" w:dyaOrig="2925" w14:anchorId="23372B8A">
                          <v:shape id="_x0000_i1035" type="#_x0000_t75" style="width:394.6pt;height:146.35pt" o:ole="">
                            <v:imagedata r:id="rId116" o:title=""/>
                          </v:shape>
                          <o:OLEObject Type="Embed" ProgID="ChemDraw.Document.6.0" ShapeID="_x0000_i1035" DrawAspect="Content" ObjectID="_1713353473" r:id="rId118"/>
                        </w:object>
                      </w:r>
                    </w:p>
                    <w:p w14:paraId="655A7D0F" w14:textId="138CBD54" w:rsidR="00654CB9" w:rsidRPr="00D03824" w:rsidRDefault="00654CB9" w:rsidP="00DF51F5">
                      <w:pPr>
                        <w:pStyle w:val="Caption"/>
                        <w:rPr>
                          <w:i/>
                          <w:shd w:val="clear" w:color="auto" w:fill="FFFFFF"/>
                        </w:rPr>
                      </w:pPr>
                      <w:bookmarkStart w:id="167" w:name="_Toc97309253"/>
                      <w:bookmarkStart w:id="168" w:name="_Toc100748302"/>
                      <w:r w:rsidRPr="009653EB">
                        <w:t>Figure</w:t>
                      </w:r>
                      <w:r w:rsidRPr="00D03824">
                        <w:rPr>
                          <w:i/>
                        </w:rPr>
                        <w:t xml:space="preserve"> </w:t>
                      </w:r>
                      <w:r w:rsidRPr="00D03824">
                        <w:rPr>
                          <w:rStyle w:val="Emphasis"/>
                          <w:rFonts w:cs="Times New Roman"/>
                          <w:i w:val="0"/>
                          <w:color w:val="000000"/>
                          <w:szCs w:val="24"/>
                          <w:shd w:val="clear" w:color="auto" w:fill="FFFFFF"/>
                        </w:rPr>
                        <w:t>2.</w:t>
                      </w:r>
                      <w:r w:rsidR="005352D9">
                        <w:rPr>
                          <w:rStyle w:val="Emphasis"/>
                          <w:rFonts w:cs="Times New Roman"/>
                          <w:i w:val="0"/>
                          <w:color w:val="000000"/>
                          <w:szCs w:val="24"/>
                          <w:shd w:val="clear" w:color="auto" w:fill="FFFFFF"/>
                        </w:rPr>
                        <w:fldChar w:fldCharType="begin"/>
                      </w:r>
                      <w:r w:rsidR="005352D9">
                        <w:rPr>
                          <w:rStyle w:val="Emphasis"/>
                          <w:rFonts w:cs="Times New Roman"/>
                          <w:i w:val="0"/>
                          <w:color w:val="000000"/>
                          <w:szCs w:val="24"/>
                          <w:shd w:val="clear" w:color="auto" w:fill="FFFFFF"/>
                        </w:rPr>
                        <w:instrText xml:space="preserve"> SEQ Figure \* ARABIC </w:instrText>
                      </w:r>
                      <w:r w:rsidR="005352D9">
                        <w:rPr>
                          <w:rStyle w:val="Emphasis"/>
                          <w:rFonts w:cs="Times New Roman"/>
                          <w:i w:val="0"/>
                          <w:color w:val="000000"/>
                          <w:szCs w:val="24"/>
                          <w:shd w:val="clear" w:color="auto" w:fill="FFFFFF"/>
                        </w:rPr>
                        <w:fldChar w:fldCharType="separate"/>
                      </w:r>
                      <w:r w:rsidR="00AA5AAC">
                        <w:rPr>
                          <w:rStyle w:val="Emphasis"/>
                          <w:rFonts w:cs="Times New Roman"/>
                          <w:i w:val="0"/>
                          <w:noProof/>
                          <w:color w:val="000000"/>
                          <w:szCs w:val="24"/>
                          <w:shd w:val="clear" w:color="auto" w:fill="FFFFFF"/>
                        </w:rPr>
                        <w:t>8</w:t>
                      </w:r>
                      <w:r w:rsidR="005352D9">
                        <w:rPr>
                          <w:rStyle w:val="Emphasis"/>
                          <w:rFonts w:cs="Times New Roman"/>
                          <w:i w:val="0"/>
                          <w:color w:val="000000"/>
                          <w:szCs w:val="24"/>
                          <w:shd w:val="clear" w:color="auto" w:fill="FFFFFF"/>
                        </w:rPr>
                        <w:fldChar w:fldCharType="end"/>
                      </w:r>
                      <w:r w:rsidRPr="00D03824">
                        <w:rPr>
                          <w:i/>
                        </w:rPr>
                        <w:t xml:space="preserve">. </w:t>
                      </w:r>
                      <w:r w:rsidRPr="00D03824">
                        <w:rPr>
                          <w:rStyle w:val="Emphasis"/>
                          <w:rFonts w:cs="Times New Roman"/>
                          <w:bCs/>
                          <w:i w:val="0"/>
                          <w:color w:val="000000"/>
                          <w:szCs w:val="24"/>
                          <w:shd w:val="clear" w:color="auto" w:fill="FFFFFF"/>
                        </w:rPr>
                        <w:t xml:space="preserve">Structure of </w:t>
                      </w:r>
                      <w:r w:rsidRPr="00D03824">
                        <w:rPr>
                          <w:rStyle w:val="Emphasis"/>
                          <w:rFonts w:cs="Times New Roman"/>
                          <w:i w:val="0"/>
                          <w:color w:val="000000"/>
                          <w:szCs w:val="24"/>
                          <w:shd w:val="clear" w:color="auto" w:fill="FFFFFF"/>
                        </w:rPr>
                        <w:t>seco-amide analogs synthesized and assessed for CpxRA modulation.</w:t>
                      </w:r>
                      <w:bookmarkEnd w:id="167"/>
                      <w:bookmarkEnd w:id="168"/>
                    </w:p>
                  </w:txbxContent>
                </v:textbox>
                <w10:anchorlock/>
              </v:shape>
            </w:pict>
          </mc:Fallback>
        </mc:AlternateContent>
      </w:r>
    </w:p>
    <w:p w14:paraId="24E1C82E" w14:textId="77777777" w:rsidR="00654CB9" w:rsidRPr="00654CB9" w:rsidRDefault="00654CB9" w:rsidP="00654CB9">
      <w:pPr>
        <w:spacing w:after="0" w:line="240" w:lineRule="auto"/>
        <w:contextualSpacing/>
        <w:rPr>
          <w:rFonts w:cs="Times New Roman"/>
          <w:iCs/>
          <w:color w:val="000000"/>
          <w:sz w:val="22"/>
          <w:highlight w:val="yellow"/>
          <w:shd w:val="clear" w:color="auto" w:fill="FFFFFF"/>
        </w:rPr>
      </w:pPr>
    </w:p>
    <w:p w14:paraId="04C9589E" w14:textId="7E144AD5" w:rsidR="00654CB9" w:rsidRPr="00654CB9" w:rsidRDefault="00654CB9" w:rsidP="00085905">
      <w:pPr>
        <w:pStyle w:val="Subsection"/>
      </w:pPr>
      <w:bookmarkStart w:id="169" w:name="_Toc98429809"/>
      <w:bookmarkStart w:id="170" w:name="_Toc102586255"/>
      <w:r w:rsidRPr="00654CB9">
        <w:t xml:space="preserve">2.2.3 Significance of the </w:t>
      </w:r>
      <w:r w:rsidR="00143C5D">
        <w:t>p</w:t>
      </w:r>
      <w:r w:rsidRPr="00654CB9">
        <w:t xml:space="preserve">rimary </w:t>
      </w:r>
      <w:r w:rsidR="00143C5D">
        <w:t>a</w:t>
      </w:r>
      <w:r w:rsidRPr="00654CB9">
        <w:t>mine</w:t>
      </w:r>
      <w:bookmarkEnd w:id="169"/>
      <w:r w:rsidR="00143C5D">
        <w:t>.</w:t>
      </w:r>
      <w:bookmarkEnd w:id="170"/>
    </w:p>
    <w:p w14:paraId="3B5958F3" w14:textId="77777777" w:rsidR="00654CB9" w:rsidRPr="00654CB9" w:rsidRDefault="00654CB9" w:rsidP="00654CB9">
      <w:pPr>
        <w:spacing w:after="0"/>
        <w:ind w:firstLine="720"/>
        <w:contextualSpacing/>
        <w:rPr>
          <w:rFonts w:cs="Times New Roman"/>
          <w:iCs/>
          <w:color w:val="000000"/>
          <w:szCs w:val="24"/>
          <w:shd w:val="clear" w:color="auto" w:fill="FFFFFF"/>
        </w:rPr>
      </w:pPr>
      <w:r w:rsidRPr="00654CB9">
        <w:rPr>
          <w:rFonts w:asciiTheme="minorHAnsi" w:hAnsiTheme="minorHAnsi"/>
          <w:bCs/>
          <w:iCs/>
          <w:sz w:val="22"/>
        </w:rPr>
        <w:t xml:space="preserve"> </w:t>
      </w:r>
      <w:r w:rsidRPr="00654CB9">
        <w:rPr>
          <w:rFonts w:cs="Times New Roman"/>
          <w:iCs/>
          <w:color w:val="000000"/>
          <w:szCs w:val="24"/>
          <w:shd w:val="clear" w:color="auto" w:fill="FFFFFF"/>
        </w:rPr>
        <w:t xml:space="preserve">The dependence of compound activity on the stereochemistry of the primary amine is indicative of interaction with a 3-dimensional binding pocket within </w:t>
      </w:r>
      <w:proofErr w:type="spellStart"/>
      <w:r w:rsidRPr="00654CB9">
        <w:rPr>
          <w:rFonts w:cs="Times New Roman"/>
          <w:iCs/>
          <w:color w:val="000000"/>
          <w:szCs w:val="24"/>
          <w:shd w:val="clear" w:color="auto" w:fill="FFFFFF"/>
        </w:rPr>
        <w:t>CpxA</w:t>
      </w:r>
      <w:proofErr w:type="spellEnd"/>
      <w:r w:rsidRPr="00654CB9">
        <w:rPr>
          <w:rFonts w:cs="Times New Roman"/>
          <w:iCs/>
          <w:color w:val="000000"/>
          <w:szCs w:val="24"/>
          <w:shd w:val="clear" w:color="auto" w:fill="FFFFFF"/>
        </w:rPr>
        <w:t>. Additionally, our SAR indicates that the amine is essential for activity. In light of the recent work by the Hergenrother lab</w:t>
      </w:r>
      <w:r w:rsidRPr="00654CB9">
        <w:rPr>
          <w:rFonts w:cs="Times New Roman"/>
          <w:iCs/>
          <w:color w:val="000000"/>
          <w:szCs w:val="24"/>
          <w:shd w:val="clear" w:color="auto" w:fill="FFFFFF"/>
        </w:rPr>
        <w:fldChar w:fldCharType="begin"/>
      </w:r>
      <w:r w:rsidRPr="00654CB9">
        <w:rPr>
          <w:rFonts w:cs="Times New Roman"/>
          <w:iCs/>
          <w:color w:val="000000"/>
          <w:szCs w:val="24"/>
          <w:shd w:val="clear" w:color="auto" w:fill="FFFFFF"/>
        </w:rPr>
        <w:instrText xml:space="preserve"> ADDIN ZOTERO_ITEM CSL_CITATION {"citationID":"sKmCstV2","properties":{"formattedCitation":"\\super 20\\nosupersub{}","plainCitation":"20","noteIndex":0},"citationItems":[{"id":157,"uris":["http://zotero.org/users/6503767/items/JQBG8824"],"itemData":{"id":157,"type":"article-journal","container-title":"Nature","DOI":"10.1038/nature22308","ISSN":"0028-0836, 1476-4687","issue":"7654","journalAbbreviation":"Nature","language":"en","page":"299-304","source":"DOI.org (Crossref)","title":"Predictive compound accumulation rules yield a broad-spectrum antibiotic","volume":"545","author":[{"family":"Richter","given":"Michelle F."},{"family":"Drown","given":"Bryon S."},{"family":"Riley","given":"Andrew P."},{"family":"Garcia","given":"Alfredo"},{"family":"Shirai","given":"Tomohiro"},{"family":"Svec","given":"Riley L."},{"family":"Hergenrother","given":"Paul J."}],"issued":{"date-parts":[["2017",5,18]]}}}],"schema":"https://github.com/citation-style-language/schema/raw/master/csl-citation.json"} </w:instrText>
      </w:r>
      <w:r w:rsidRPr="00654CB9">
        <w:rPr>
          <w:rFonts w:cs="Times New Roman"/>
          <w:iCs/>
          <w:color w:val="000000"/>
          <w:szCs w:val="24"/>
          <w:shd w:val="clear" w:color="auto" w:fill="FFFFFF"/>
        </w:rPr>
        <w:fldChar w:fldCharType="separate"/>
      </w:r>
      <w:r w:rsidRPr="00654CB9">
        <w:rPr>
          <w:rFonts w:cs="Times New Roman"/>
          <w:iCs/>
          <w:szCs w:val="24"/>
          <w:vertAlign w:val="superscript"/>
        </w:rPr>
        <w:t>20</w:t>
      </w:r>
      <w:r w:rsidRPr="00654CB9">
        <w:rPr>
          <w:rFonts w:cs="Times New Roman"/>
          <w:iCs/>
          <w:color w:val="000000"/>
          <w:szCs w:val="24"/>
          <w:shd w:val="clear" w:color="auto" w:fill="FFFFFF"/>
        </w:rPr>
        <w:fldChar w:fldCharType="end"/>
      </w:r>
      <w:r w:rsidRPr="00654CB9">
        <w:rPr>
          <w:rFonts w:cs="Times New Roman"/>
          <w:iCs/>
          <w:color w:val="000000"/>
          <w:szCs w:val="24"/>
          <w:shd w:val="clear" w:color="auto" w:fill="FFFFFF"/>
        </w:rPr>
        <w:t xml:space="preserve"> that highlights the importance of primary amines in porin mediated transport, we were curious if the primary amine was also involved in permeation and/or accumulation of the </w:t>
      </w:r>
      <w:r w:rsidRPr="00654CB9">
        <w:rPr>
          <w:rFonts w:cs="Times New Roman"/>
          <w:iCs/>
          <w:szCs w:val="24"/>
        </w:rPr>
        <w:t>2,3,4,9-tetrahydro-1</w:t>
      </w:r>
      <w:r w:rsidRPr="00654CB9">
        <w:rPr>
          <w:rFonts w:cs="Times New Roman"/>
          <w:i/>
          <w:szCs w:val="24"/>
        </w:rPr>
        <w:t>H</w:t>
      </w:r>
      <w:r w:rsidRPr="00654CB9">
        <w:rPr>
          <w:rFonts w:cs="Times New Roman"/>
          <w:iCs/>
          <w:szCs w:val="24"/>
        </w:rPr>
        <w:t>-carbazol-1-amine</w:t>
      </w:r>
      <w:r w:rsidRPr="00654CB9">
        <w:rPr>
          <w:rFonts w:cs="Times New Roman"/>
          <w:iCs/>
          <w:color w:val="000000"/>
          <w:szCs w:val="24"/>
          <w:shd w:val="clear" w:color="auto" w:fill="FFFFFF"/>
        </w:rPr>
        <w:t xml:space="preserve"> chemotype in Gram-negative bacteria. To evaluate this, we utilized an established mass spectrometry method to determine the accumulation of compounds </w:t>
      </w:r>
      <w:r w:rsidRPr="00654CB9">
        <w:rPr>
          <w:rFonts w:cs="Times New Roman"/>
          <w:b/>
          <w:bCs/>
          <w:iCs/>
          <w:color w:val="000000"/>
          <w:szCs w:val="24"/>
          <w:shd w:val="clear" w:color="auto" w:fill="FFFFFF"/>
        </w:rPr>
        <w:t>2.</w:t>
      </w:r>
      <w:r w:rsidRPr="00654CB9">
        <w:rPr>
          <w:rFonts w:cs="Times New Roman"/>
          <w:b/>
          <w:iCs/>
          <w:color w:val="000000"/>
          <w:szCs w:val="24"/>
          <w:shd w:val="clear" w:color="auto" w:fill="FFFFFF"/>
        </w:rPr>
        <w:t>6</w:t>
      </w:r>
      <w:r w:rsidRPr="00654CB9">
        <w:rPr>
          <w:rFonts w:cs="Times New Roman"/>
          <w:iCs/>
          <w:color w:val="000000"/>
          <w:szCs w:val="24"/>
          <w:shd w:val="clear" w:color="auto" w:fill="FFFFFF"/>
        </w:rPr>
        <w:t xml:space="preserve"> and </w:t>
      </w:r>
      <w:r w:rsidRPr="00654CB9">
        <w:rPr>
          <w:rFonts w:cs="Times New Roman"/>
          <w:b/>
          <w:bCs/>
          <w:iCs/>
          <w:color w:val="000000"/>
          <w:szCs w:val="24"/>
          <w:shd w:val="clear" w:color="auto" w:fill="FFFFFF"/>
        </w:rPr>
        <w:t>2.</w:t>
      </w:r>
      <w:r w:rsidRPr="00654CB9">
        <w:rPr>
          <w:rFonts w:cs="Times New Roman"/>
          <w:b/>
          <w:iCs/>
          <w:color w:val="000000"/>
          <w:szCs w:val="24"/>
          <w:shd w:val="clear" w:color="auto" w:fill="FFFFFF"/>
        </w:rPr>
        <w:t>33</w:t>
      </w:r>
      <w:r w:rsidRPr="00654CB9">
        <w:rPr>
          <w:rFonts w:cs="Times New Roman"/>
          <w:iCs/>
          <w:color w:val="000000"/>
          <w:szCs w:val="24"/>
          <w:shd w:val="clear" w:color="auto" w:fill="FFFFFF"/>
        </w:rPr>
        <w:t xml:space="preserve"> in isogenic strains of </w:t>
      </w:r>
      <w:r w:rsidRPr="00654CB9">
        <w:rPr>
          <w:rFonts w:cs="Times New Roman"/>
          <w:i/>
          <w:color w:val="000000"/>
          <w:szCs w:val="24"/>
          <w:shd w:val="clear" w:color="auto" w:fill="FFFFFF"/>
        </w:rPr>
        <w:t>E. coli</w:t>
      </w:r>
      <w:r w:rsidRPr="00654CB9">
        <w:rPr>
          <w:rFonts w:cs="Times New Roman"/>
          <w:iCs/>
          <w:color w:val="000000"/>
          <w:szCs w:val="24"/>
          <w:shd w:val="clear" w:color="auto" w:fill="FFFFFF"/>
        </w:rPr>
        <w:t xml:space="preserve"> with different efflux efficiencies and controlled permeability of the outer membrane. WT-Pore cells contain the wild-type repertoire of efflux pumps and the arabinose-controlled large pore that when expressed, permeabilizes the outer membrane to antibiotics as large as vancomycin.</w:t>
      </w:r>
      <w:r w:rsidRPr="00654CB9">
        <w:rPr>
          <w:rFonts w:cs="Times New Roman"/>
          <w:iCs/>
          <w:color w:val="000000"/>
          <w:szCs w:val="24"/>
          <w:shd w:val="clear" w:color="auto" w:fill="FFFFFF"/>
        </w:rPr>
        <w:fldChar w:fldCharType="begin"/>
      </w:r>
      <w:r w:rsidRPr="00654CB9">
        <w:rPr>
          <w:rFonts w:cs="Times New Roman"/>
          <w:iCs/>
          <w:color w:val="000000"/>
          <w:szCs w:val="24"/>
          <w:shd w:val="clear" w:color="auto" w:fill="FFFFFF"/>
        </w:rPr>
        <w:instrText xml:space="preserve"> ADDIN ZOTERO_ITEM CSL_CITATION {"citationID":"w35lmORn","properties":{"formattedCitation":"\\super 21\\nosupersub{}","plainCitation":"21","noteIndex":0},"citationItems":[{"id":160,"uris":["http://zotero.org/users/6503767/items/XIB5IXX4"],"itemData":{"id":160,"type":"article-journal","abstract":"ABSTRACT\n            \n              In Gram-negative bacteria, a synergistic relationship between slow passive uptake of antibiotics across the outer membrane and active efflux transporters creates a permeability barrier, which efficiently reduces the effective concentrations of antibiotics in cells and, hence, their activities. To analyze the relative contributions of active efflux and the passive barrier to the activities of antibiotics, we constructed\n              Escherichia coli\n              strains with controllable permeability of the outer membrane. The strains expressed a large pore that does not discriminate between compounds on the basis of their hydrophilicity and sensitizes cells to a variety of antibacterial agents. We found that the efficacies of antibiotics in these strains were specifically affected by either active efflux or slow uptake, or both, and reflect differences in the properties of the outer membrane barrier, the repertoire of efflux pumps, and the inhibitory activities of antibiotics. Our results identify antibiotics which are the best candidates for the potentiation of activities through efflux inhibition and permeabilization of the outer membrane.","container-title":"Antimicrobial Agents and Chemotherapy","DOI":"10.1128/AAC.01882-16","ISSN":"0066-4804, 1098-6596","issue":"12","journalAbbreviation":"Antimicrob Agents Chemother","language":"en","page":"7372-7381","source":"DOI.org (Crossref)","title":"Breaking the Permeability Barrier of Escherichia coli by Controlled Hyperporination of the Outer Membrane","volume":"60","author":[{"family":"Krishnamoorthy","given":"Ganesh"},{"family":"Wolloscheck","given":"David"},{"family":"Weeks","given":"Jon W."},{"family":"Croft","given":"Cameron"},{"family":"Rybenkov","given":"Valentin V."},{"family":"Zgurskaya","given":"Helen I."}],"issued":{"date-parts":[["2016",12]]}}}],"schema":"https://github.com/citation-style-language/schema/raw/master/csl-citation.json"} </w:instrText>
      </w:r>
      <w:r w:rsidRPr="00654CB9">
        <w:rPr>
          <w:rFonts w:cs="Times New Roman"/>
          <w:iCs/>
          <w:color w:val="000000"/>
          <w:szCs w:val="24"/>
          <w:shd w:val="clear" w:color="auto" w:fill="FFFFFF"/>
        </w:rPr>
        <w:fldChar w:fldCharType="separate"/>
      </w:r>
      <w:r w:rsidRPr="00654CB9">
        <w:rPr>
          <w:rFonts w:cs="Times New Roman"/>
          <w:iCs/>
          <w:szCs w:val="24"/>
          <w:vertAlign w:val="superscript"/>
        </w:rPr>
        <w:t>21</w:t>
      </w:r>
      <w:r w:rsidRPr="00654CB9">
        <w:rPr>
          <w:rFonts w:cs="Times New Roman"/>
          <w:iCs/>
          <w:color w:val="000000"/>
          <w:szCs w:val="24"/>
          <w:shd w:val="clear" w:color="auto" w:fill="FFFFFF"/>
        </w:rPr>
        <w:fldChar w:fldCharType="end"/>
      </w:r>
      <w:r w:rsidRPr="00654CB9">
        <w:rPr>
          <w:rFonts w:cs="Times New Roman"/>
          <w:iCs/>
          <w:color w:val="000000"/>
          <w:szCs w:val="24"/>
          <w:shd w:val="clear" w:color="auto" w:fill="FFFFFF"/>
        </w:rPr>
        <w:t xml:space="preserve"> The </w:t>
      </w:r>
      <w:proofErr w:type="spellStart"/>
      <w:r w:rsidRPr="00654CB9">
        <w:rPr>
          <w:rFonts w:cs="Times New Roman"/>
          <w:iCs/>
          <w:color w:val="000000"/>
          <w:szCs w:val="24"/>
          <w:shd w:val="clear" w:color="auto" w:fill="FFFFFF"/>
        </w:rPr>
        <w:t>ΔTolC</w:t>
      </w:r>
      <w:proofErr w:type="spellEnd"/>
      <w:r w:rsidRPr="00654CB9">
        <w:rPr>
          <w:rFonts w:cs="Times New Roman"/>
          <w:iCs/>
          <w:color w:val="000000"/>
          <w:szCs w:val="24"/>
          <w:shd w:val="clear" w:color="auto" w:fill="FFFFFF"/>
        </w:rPr>
        <w:t xml:space="preserve"> cells are efflux-deficient derivatives</w:t>
      </w:r>
      <w:r w:rsidRPr="00654CB9">
        <w:rPr>
          <w:rFonts w:cs="Times New Roman"/>
          <w:iCs/>
          <w:color w:val="000000"/>
          <w:sz w:val="22"/>
          <w:shd w:val="clear" w:color="auto" w:fill="FFFFFF"/>
        </w:rPr>
        <w:t xml:space="preserve"> </w:t>
      </w:r>
      <w:r w:rsidRPr="00654CB9">
        <w:rPr>
          <w:rFonts w:cs="Times New Roman"/>
          <w:iCs/>
          <w:color w:val="000000"/>
          <w:szCs w:val="24"/>
          <w:shd w:val="clear" w:color="auto" w:fill="FFFFFF"/>
        </w:rPr>
        <w:t xml:space="preserve">lacking the outer membrane channel </w:t>
      </w:r>
      <w:proofErr w:type="spellStart"/>
      <w:r w:rsidRPr="00654CB9">
        <w:rPr>
          <w:rFonts w:cs="Times New Roman"/>
          <w:iCs/>
          <w:color w:val="000000"/>
          <w:szCs w:val="24"/>
          <w:shd w:val="clear" w:color="auto" w:fill="FFFFFF"/>
        </w:rPr>
        <w:t>TolC</w:t>
      </w:r>
      <w:proofErr w:type="spellEnd"/>
      <w:r w:rsidRPr="00654CB9">
        <w:rPr>
          <w:rFonts w:cs="Times New Roman"/>
          <w:iCs/>
          <w:color w:val="000000"/>
          <w:szCs w:val="24"/>
          <w:shd w:val="clear" w:color="auto" w:fill="FFFFFF"/>
        </w:rPr>
        <w:t xml:space="preserve"> required for the activity of various efflux pumps of E. coli. Cells with intact and </w:t>
      </w:r>
      <w:proofErr w:type="spellStart"/>
      <w:r w:rsidRPr="00654CB9">
        <w:rPr>
          <w:rFonts w:cs="Times New Roman"/>
          <w:iCs/>
          <w:color w:val="000000"/>
          <w:szCs w:val="24"/>
          <w:shd w:val="clear" w:color="auto" w:fill="FFFFFF"/>
        </w:rPr>
        <w:t>hyperporinated</w:t>
      </w:r>
      <w:proofErr w:type="spellEnd"/>
      <w:r w:rsidRPr="00654CB9">
        <w:rPr>
          <w:rFonts w:cs="Times New Roman"/>
          <w:iCs/>
          <w:color w:val="000000"/>
          <w:szCs w:val="24"/>
          <w:shd w:val="clear" w:color="auto" w:fill="FFFFFF"/>
        </w:rPr>
        <w:t xml:space="preserve"> (induced) outer membranes were incubated with increasing concentrations of compounds </w:t>
      </w:r>
      <w:r w:rsidRPr="00654CB9">
        <w:rPr>
          <w:rFonts w:cs="Times New Roman"/>
          <w:b/>
          <w:bCs/>
          <w:iCs/>
          <w:color w:val="000000"/>
          <w:szCs w:val="24"/>
          <w:shd w:val="clear" w:color="auto" w:fill="FFFFFF"/>
        </w:rPr>
        <w:t>2.</w:t>
      </w:r>
      <w:r w:rsidRPr="00654CB9">
        <w:rPr>
          <w:rFonts w:cs="Times New Roman"/>
          <w:b/>
          <w:iCs/>
          <w:color w:val="000000"/>
          <w:szCs w:val="24"/>
          <w:shd w:val="clear" w:color="auto" w:fill="FFFFFF"/>
        </w:rPr>
        <w:t>6</w:t>
      </w:r>
      <w:r w:rsidRPr="00654CB9">
        <w:rPr>
          <w:rFonts w:cs="Times New Roman"/>
          <w:iCs/>
          <w:color w:val="000000"/>
          <w:szCs w:val="24"/>
          <w:shd w:val="clear" w:color="auto" w:fill="FFFFFF"/>
        </w:rPr>
        <w:t xml:space="preserve"> and </w:t>
      </w:r>
      <w:r w:rsidRPr="00654CB9">
        <w:rPr>
          <w:rFonts w:cs="Times New Roman"/>
          <w:b/>
          <w:bCs/>
          <w:iCs/>
          <w:color w:val="000000"/>
          <w:szCs w:val="24"/>
          <w:shd w:val="clear" w:color="auto" w:fill="FFFFFF"/>
        </w:rPr>
        <w:t>2.</w:t>
      </w:r>
      <w:r w:rsidRPr="00654CB9">
        <w:rPr>
          <w:rFonts w:cs="Times New Roman"/>
          <w:b/>
          <w:iCs/>
          <w:color w:val="000000"/>
          <w:szCs w:val="24"/>
          <w:shd w:val="clear" w:color="auto" w:fill="FFFFFF"/>
        </w:rPr>
        <w:t>33</w:t>
      </w:r>
      <w:r w:rsidRPr="00654CB9">
        <w:rPr>
          <w:rFonts w:cs="Times New Roman"/>
          <w:iCs/>
          <w:color w:val="000000"/>
          <w:szCs w:val="24"/>
          <w:shd w:val="clear" w:color="auto" w:fill="FFFFFF"/>
        </w:rPr>
        <w:t xml:space="preserve"> and the intracellular accumulation was </w:t>
      </w:r>
      <w:r w:rsidRPr="00654CB9">
        <w:rPr>
          <w:rFonts w:cs="Times New Roman"/>
          <w:iCs/>
          <w:color w:val="000000"/>
          <w:szCs w:val="24"/>
          <w:shd w:val="clear" w:color="auto" w:fill="FFFFFF"/>
        </w:rPr>
        <w:lastRenderedPageBreak/>
        <w:t xml:space="preserve">analyzed after 1 and 40 minutes of incubation with compounds. As seen in </w:t>
      </w:r>
      <w:r w:rsidRPr="00654CB9">
        <w:rPr>
          <w:rFonts w:cs="Times New Roman"/>
          <w:b/>
          <w:iCs/>
          <w:color w:val="000000"/>
          <w:szCs w:val="24"/>
          <w:shd w:val="clear" w:color="auto" w:fill="FFFFFF"/>
        </w:rPr>
        <w:t xml:space="preserve">Figure </w:t>
      </w:r>
      <w:r w:rsidRPr="00654CB9">
        <w:rPr>
          <w:rFonts w:cs="Times New Roman"/>
          <w:b/>
          <w:bCs/>
          <w:iCs/>
          <w:color w:val="000000"/>
          <w:szCs w:val="24"/>
          <w:shd w:val="clear" w:color="auto" w:fill="FFFFFF"/>
        </w:rPr>
        <w:t>2.</w:t>
      </w:r>
      <w:r w:rsidRPr="00654CB9">
        <w:rPr>
          <w:rFonts w:cs="Times New Roman"/>
          <w:b/>
          <w:iCs/>
          <w:color w:val="000000"/>
          <w:szCs w:val="24"/>
          <w:shd w:val="clear" w:color="auto" w:fill="FFFFFF"/>
        </w:rPr>
        <w:t>10</w:t>
      </w:r>
      <w:r w:rsidRPr="00654CB9">
        <w:rPr>
          <w:rFonts w:cs="Times New Roman"/>
          <w:iCs/>
          <w:color w:val="000000"/>
          <w:szCs w:val="24"/>
          <w:shd w:val="clear" w:color="auto" w:fill="FFFFFF"/>
        </w:rPr>
        <w:t xml:space="preserve">, compound </w:t>
      </w:r>
      <w:r w:rsidRPr="00654CB9">
        <w:rPr>
          <w:rFonts w:cs="Times New Roman"/>
          <w:b/>
          <w:bCs/>
          <w:iCs/>
          <w:szCs w:val="24"/>
        </w:rPr>
        <w:t>2.</w:t>
      </w:r>
      <w:r w:rsidRPr="00654CB9">
        <w:rPr>
          <w:rFonts w:cs="Times New Roman"/>
          <w:b/>
          <w:iCs/>
          <w:color w:val="000000"/>
          <w:szCs w:val="24"/>
          <w:shd w:val="clear" w:color="auto" w:fill="FFFFFF"/>
        </w:rPr>
        <w:t>33</w:t>
      </w:r>
      <w:r w:rsidRPr="00654CB9">
        <w:rPr>
          <w:rFonts w:cs="Times New Roman"/>
          <w:iCs/>
          <w:color w:val="000000"/>
          <w:szCs w:val="24"/>
          <w:shd w:val="clear" w:color="auto" w:fill="FFFFFF"/>
        </w:rPr>
        <w:t xml:space="preserve">, which lacks the primary amine, is susceptible to efflux and suffers from poor permeability across the outer membrane. Compound </w:t>
      </w:r>
      <w:r w:rsidRPr="00654CB9">
        <w:rPr>
          <w:rFonts w:cs="Times New Roman"/>
          <w:b/>
          <w:bCs/>
          <w:iCs/>
          <w:color w:val="000000"/>
          <w:szCs w:val="24"/>
          <w:shd w:val="clear" w:color="auto" w:fill="FFFFFF"/>
        </w:rPr>
        <w:t>2.</w:t>
      </w:r>
      <w:r w:rsidRPr="00654CB9">
        <w:rPr>
          <w:rFonts w:cs="Times New Roman"/>
          <w:b/>
          <w:iCs/>
          <w:color w:val="000000"/>
          <w:szCs w:val="24"/>
          <w:shd w:val="clear" w:color="auto" w:fill="FFFFFF"/>
        </w:rPr>
        <w:t>6</w:t>
      </w:r>
      <w:r w:rsidRPr="00654CB9">
        <w:rPr>
          <w:rFonts w:cs="Times New Roman"/>
          <w:iCs/>
          <w:color w:val="000000"/>
          <w:szCs w:val="24"/>
          <w:shd w:val="clear" w:color="auto" w:fill="FFFFFF"/>
        </w:rPr>
        <w:t xml:space="preserve"> on the other hand contains the primary amine, accumulates at much higher intracellular levels overall, is still sensitive to efflux, albeit to a lesser extent, and accumulates less in </w:t>
      </w:r>
      <w:proofErr w:type="gramStart"/>
      <w:r w:rsidRPr="00654CB9">
        <w:rPr>
          <w:rFonts w:cs="Times New Roman"/>
          <w:iCs/>
          <w:color w:val="000000"/>
          <w:szCs w:val="24"/>
          <w:shd w:val="clear" w:color="auto" w:fill="FFFFFF"/>
        </w:rPr>
        <w:t>wild-type</w:t>
      </w:r>
      <w:proofErr w:type="gramEnd"/>
      <w:r w:rsidRPr="00654CB9">
        <w:rPr>
          <w:rFonts w:cs="Times New Roman"/>
          <w:iCs/>
          <w:color w:val="000000"/>
          <w:szCs w:val="24"/>
          <w:shd w:val="clear" w:color="auto" w:fill="FFFFFF"/>
        </w:rPr>
        <w:t xml:space="preserve"> than in efflux deficient E. coli. Additionally, </w:t>
      </w:r>
      <w:r w:rsidRPr="00654CB9">
        <w:rPr>
          <w:rFonts w:cs="Times New Roman"/>
          <w:b/>
          <w:bCs/>
          <w:iCs/>
          <w:color w:val="000000"/>
          <w:szCs w:val="24"/>
          <w:shd w:val="clear" w:color="auto" w:fill="FFFFFF"/>
        </w:rPr>
        <w:t>2.</w:t>
      </w:r>
      <w:r w:rsidRPr="00654CB9">
        <w:rPr>
          <w:rFonts w:cs="Times New Roman"/>
          <w:b/>
          <w:iCs/>
          <w:color w:val="000000"/>
          <w:szCs w:val="24"/>
          <w:shd w:val="clear" w:color="auto" w:fill="FFFFFF"/>
        </w:rPr>
        <w:t>6</w:t>
      </w:r>
      <w:r w:rsidRPr="00654CB9">
        <w:rPr>
          <w:rFonts w:cs="Times New Roman"/>
          <w:iCs/>
          <w:color w:val="000000"/>
          <w:szCs w:val="24"/>
          <w:shd w:val="clear" w:color="auto" w:fill="FFFFFF"/>
        </w:rPr>
        <w:t xml:space="preserve"> accumulates equally well in the cells with intact and </w:t>
      </w:r>
      <w:proofErr w:type="spellStart"/>
      <w:r w:rsidRPr="00654CB9">
        <w:rPr>
          <w:rFonts w:cs="Times New Roman"/>
          <w:iCs/>
          <w:color w:val="000000"/>
          <w:szCs w:val="24"/>
          <w:shd w:val="clear" w:color="auto" w:fill="FFFFFF"/>
        </w:rPr>
        <w:t>hyperporinated</w:t>
      </w:r>
      <w:proofErr w:type="spellEnd"/>
      <w:r w:rsidRPr="00654CB9">
        <w:rPr>
          <w:rFonts w:cs="Times New Roman"/>
          <w:iCs/>
          <w:color w:val="000000"/>
          <w:szCs w:val="24"/>
          <w:shd w:val="clear" w:color="auto" w:fill="FFFFFF"/>
        </w:rPr>
        <w:t xml:space="preserve"> outer membrane. These results clearly demonstrate that the primary amine is not only involved in target engagement but is also imperative to the permeation and accumulation in a Gram-negative organism. </w:t>
      </w:r>
    </w:p>
    <w:p w14:paraId="6DB63AEA" w14:textId="77777777" w:rsidR="00654CB9" w:rsidRPr="00654CB9" w:rsidRDefault="00654CB9" w:rsidP="00654CB9">
      <w:pPr>
        <w:spacing w:after="0"/>
        <w:contextualSpacing/>
        <w:rPr>
          <w:rFonts w:cs="Times New Roman"/>
          <w:iCs/>
          <w:color w:val="000000"/>
          <w:szCs w:val="24"/>
          <w:shd w:val="clear" w:color="auto" w:fill="FFFFFF"/>
        </w:rPr>
      </w:pPr>
      <w:r w:rsidRPr="00654CB9">
        <w:rPr>
          <w:rFonts w:cs="Times New Roman"/>
          <w:iCs/>
          <w:noProof/>
          <w:color w:val="000000"/>
          <w:szCs w:val="24"/>
          <w:shd w:val="clear" w:color="auto" w:fill="FFFFFF"/>
        </w:rPr>
        <mc:AlternateContent>
          <mc:Choice Requires="wps">
            <w:drawing>
              <wp:inline distT="0" distB="0" distL="0" distR="0" wp14:anchorId="1B420B76" wp14:editId="4DD58C1C">
                <wp:extent cx="5925185" cy="4675367"/>
                <wp:effectExtent l="0" t="0" r="18415"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4675367"/>
                        </a:xfrm>
                        <a:prstGeom prst="rect">
                          <a:avLst/>
                        </a:prstGeom>
                        <a:solidFill>
                          <a:srgbClr val="FFFFFF"/>
                        </a:solidFill>
                        <a:ln w="9525">
                          <a:solidFill>
                            <a:sysClr val="windowText" lastClr="000000"/>
                          </a:solidFill>
                          <a:miter lim="800000"/>
                          <a:headEnd/>
                          <a:tailEnd/>
                        </a:ln>
                      </wps:spPr>
                      <wps:txbx>
                        <w:txbxContent>
                          <w:p w14:paraId="56D23230" w14:textId="77777777" w:rsidR="00654CB9" w:rsidRDefault="00654CB9" w:rsidP="00654CB9">
                            <w:pPr>
                              <w:keepNext/>
                            </w:pPr>
                            <w:r>
                              <w:rPr>
                                <w:noProof/>
                              </w:rPr>
                              <w:drawing>
                                <wp:inline distT="0" distB="0" distL="0" distR="0" wp14:anchorId="1D00AA86" wp14:editId="77B49DF8">
                                  <wp:extent cx="5733067" cy="3103448"/>
                                  <wp:effectExtent l="0" t="0" r="1270" b="1905"/>
                                  <wp:docPr id="198" name="Picture 198" descr="Intracellular uptake of compounds 2.6 and 2.33 into isogenic E. coli strains that exhibit different efflux efficiencies and controlled permeability of the outer membr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Intracellular uptake of compounds 2.6 and 2.33 into isogenic E. coli strains that exhibit different efflux efficiencies and controlled permeability of the outer membrane."/>
                                          <pic:cNvPicPr/>
                                        </pic:nvPicPr>
                                        <pic:blipFill>
                                          <a:blip r:embed="rId119">
                                            <a:extLst>
                                              <a:ext uri="{28A0092B-C50C-407E-A947-70E740481C1C}">
                                                <a14:useLocalDpi xmlns:a14="http://schemas.microsoft.com/office/drawing/2010/main" val="0"/>
                                              </a:ext>
                                            </a:extLst>
                                          </a:blip>
                                          <a:stretch>
                                            <a:fillRect/>
                                          </a:stretch>
                                        </pic:blipFill>
                                        <pic:spPr>
                                          <a:xfrm>
                                            <a:off x="0" y="0"/>
                                            <a:ext cx="5733067" cy="3103448"/>
                                          </a:xfrm>
                                          <a:prstGeom prst="rect">
                                            <a:avLst/>
                                          </a:prstGeom>
                                        </pic:spPr>
                                      </pic:pic>
                                    </a:graphicData>
                                  </a:graphic>
                                </wp:inline>
                              </w:drawing>
                            </w:r>
                          </w:p>
                          <w:p w14:paraId="58DC2E15" w14:textId="0E8E9361" w:rsidR="00654CB9" w:rsidRDefault="00654CB9" w:rsidP="00DF51F5">
                            <w:pPr>
                              <w:pStyle w:val="Caption"/>
                            </w:pPr>
                            <w:bookmarkStart w:id="171" w:name="_Toc97309254"/>
                            <w:bookmarkStart w:id="172" w:name="_Toc100748303"/>
                            <w:r w:rsidRPr="009653EB">
                              <w:t>Figure</w:t>
                            </w:r>
                            <w:r w:rsidRPr="009653EB">
                              <w:rPr>
                                <w:i/>
                                <w:iCs/>
                              </w:rPr>
                              <w:t xml:space="preserve"> </w:t>
                            </w:r>
                            <w:r w:rsidRPr="009653EB">
                              <w:rPr>
                                <w:rStyle w:val="Emphasis"/>
                                <w:rFonts w:cs="Times New Roman"/>
                                <w:i w:val="0"/>
                                <w:iCs w:val="0"/>
                                <w:color w:val="000000"/>
                                <w:szCs w:val="24"/>
                                <w:shd w:val="clear" w:color="auto" w:fill="FFFFFF"/>
                              </w:rPr>
                              <w:t>2.</w:t>
                            </w:r>
                            <w:r w:rsidR="005352D9" w:rsidRPr="009653EB">
                              <w:rPr>
                                <w:rStyle w:val="Emphasis"/>
                                <w:rFonts w:cs="Times New Roman"/>
                                <w:i w:val="0"/>
                                <w:iCs w:val="0"/>
                                <w:color w:val="000000"/>
                                <w:szCs w:val="24"/>
                                <w:shd w:val="clear" w:color="auto" w:fill="FFFFFF"/>
                              </w:rPr>
                              <w:fldChar w:fldCharType="begin"/>
                            </w:r>
                            <w:r w:rsidR="005352D9" w:rsidRPr="009653EB">
                              <w:rPr>
                                <w:rStyle w:val="Emphasis"/>
                                <w:rFonts w:cs="Times New Roman"/>
                                <w:i w:val="0"/>
                                <w:iCs w:val="0"/>
                                <w:color w:val="000000"/>
                                <w:szCs w:val="24"/>
                                <w:shd w:val="clear" w:color="auto" w:fill="FFFFFF"/>
                              </w:rPr>
                              <w:instrText xml:space="preserve"> SEQ Figure \* ARABIC </w:instrText>
                            </w:r>
                            <w:r w:rsidR="005352D9" w:rsidRPr="009653EB">
                              <w:rPr>
                                <w:rStyle w:val="Emphasis"/>
                                <w:rFonts w:cs="Times New Roman"/>
                                <w:i w:val="0"/>
                                <w:iCs w:val="0"/>
                                <w:color w:val="000000"/>
                                <w:szCs w:val="24"/>
                                <w:shd w:val="clear" w:color="auto" w:fill="FFFFFF"/>
                              </w:rPr>
                              <w:fldChar w:fldCharType="separate"/>
                            </w:r>
                            <w:r w:rsidR="00AA5AAC">
                              <w:rPr>
                                <w:rStyle w:val="Emphasis"/>
                                <w:rFonts w:cs="Times New Roman"/>
                                <w:i w:val="0"/>
                                <w:iCs w:val="0"/>
                                <w:noProof/>
                                <w:color w:val="000000"/>
                                <w:szCs w:val="24"/>
                                <w:shd w:val="clear" w:color="auto" w:fill="FFFFFF"/>
                              </w:rPr>
                              <w:t>9</w:t>
                            </w:r>
                            <w:r w:rsidR="005352D9" w:rsidRPr="009653EB">
                              <w:rPr>
                                <w:rStyle w:val="Emphasis"/>
                                <w:rFonts w:cs="Times New Roman"/>
                                <w:i w:val="0"/>
                                <w:iCs w:val="0"/>
                                <w:color w:val="000000"/>
                                <w:szCs w:val="24"/>
                                <w:shd w:val="clear" w:color="auto" w:fill="FFFFFF"/>
                              </w:rPr>
                              <w:fldChar w:fldCharType="end"/>
                            </w:r>
                            <w:r>
                              <w:t xml:space="preserve">. </w:t>
                            </w:r>
                            <w:r w:rsidRPr="00611C56">
                              <w:t xml:space="preserve"> Intracellular uptake of compounds </w:t>
                            </w:r>
                            <w:r w:rsidRPr="009E28E4">
                              <w:rPr>
                                <w:color w:val="000000"/>
                                <w:shd w:val="clear" w:color="auto" w:fill="FFFFFF"/>
                              </w:rPr>
                              <w:t>2.</w:t>
                            </w:r>
                            <w:r w:rsidRPr="009E28E4">
                              <w:t xml:space="preserve">6 and </w:t>
                            </w:r>
                            <w:r w:rsidRPr="009E28E4">
                              <w:rPr>
                                <w:color w:val="000000"/>
                                <w:shd w:val="clear" w:color="auto" w:fill="FFFFFF"/>
                              </w:rPr>
                              <w:t>2.</w:t>
                            </w:r>
                            <w:r w:rsidRPr="00611C56">
                              <w:t xml:space="preserve">33 into isogenic </w:t>
                            </w:r>
                            <w:r w:rsidRPr="00611C56">
                              <w:rPr>
                                <w:i/>
                              </w:rPr>
                              <w:t>E. coli</w:t>
                            </w:r>
                            <w:r w:rsidRPr="00611C56">
                              <w:t xml:space="preserve"> strains that exhibit different efflux efficiencies and controlled permeability of the outer membrane.</w:t>
                            </w:r>
                            <w:bookmarkEnd w:id="171"/>
                            <w:bookmarkEnd w:id="172"/>
                          </w:p>
                          <w:p w14:paraId="11E0C2E2" w14:textId="77777777" w:rsidR="00654CB9" w:rsidRPr="00542DBC" w:rsidRDefault="00654CB9" w:rsidP="00D03824">
                            <w:pPr>
                              <w:spacing w:line="240" w:lineRule="auto"/>
                              <w:rPr>
                                <w:rFonts w:cs="Times New Roman"/>
                                <w:szCs w:val="24"/>
                              </w:rPr>
                            </w:pPr>
                            <w:r w:rsidRPr="00542DBC">
                              <w:rPr>
                                <w:rFonts w:cs="Times New Roman"/>
                                <w:szCs w:val="24"/>
                              </w:rPr>
                              <w:t xml:space="preserve">WT = </w:t>
                            </w:r>
                            <w:r w:rsidRPr="00542DBC">
                              <w:rPr>
                                <w:rFonts w:cs="Times New Roman"/>
                                <w:i/>
                                <w:iCs/>
                                <w:szCs w:val="24"/>
                              </w:rPr>
                              <w:t>E. coli</w:t>
                            </w:r>
                            <w:r w:rsidRPr="00542DBC">
                              <w:rPr>
                                <w:rFonts w:cs="Times New Roman"/>
                                <w:szCs w:val="24"/>
                              </w:rPr>
                              <w:t xml:space="preserve"> BW25113; WT-Pore = BW25113 </w:t>
                            </w:r>
                            <w:r w:rsidRPr="00542DBC">
                              <w:rPr>
                                <w:rFonts w:cs="Times New Roman"/>
                                <w:i/>
                                <w:iCs/>
                                <w:szCs w:val="24"/>
                              </w:rPr>
                              <w:t>att</w:t>
                            </w:r>
                            <w:r w:rsidRPr="00542DBC">
                              <w:rPr>
                                <w:rFonts w:cs="Times New Roman"/>
                                <w:szCs w:val="24"/>
                              </w:rPr>
                              <w:t>Tn</w:t>
                            </w:r>
                            <w:proofErr w:type="gramStart"/>
                            <w:r w:rsidRPr="00542DBC">
                              <w:rPr>
                                <w:rFonts w:cs="Times New Roman"/>
                                <w:szCs w:val="24"/>
                              </w:rPr>
                              <w:t>7::</w:t>
                            </w:r>
                            <w:proofErr w:type="gramEnd"/>
                            <w:r w:rsidRPr="00542DBC">
                              <w:rPr>
                                <w:rFonts w:cs="Times New Roman"/>
                                <w:szCs w:val="24"/>
                              </w:rPr>
                              <w:t>mini-Tn7T-Km-</w:t>
                            </w:r>
                            <w:r w:rsidRPr="00542DBC">
                              <w:rPr>
                                <w:rFonts w:cs="Times New Roman"/>
                                <w:i/>
                                <w:iCs/>
                                <w:szCs w:val="24"/>
                              </w:rPr>
                              <w:t>araC</w:t>
                            </w:r>
                            <w:r w:rsidRPr="00542DBC">
                              <w:rPr>
                                <w:rFonts w:cs="Times New Roman"/>
                                <w:szCs w:val="24"/>
                              </w:rPr>
                              <w:t>-P</w:t>
                            </w:r>
                            <w:r w:rsidRPr="00542DBC">
                              <w:rPr>
                                <w:rFonts w:cs="Times New Roman"/>
                                <w:szCs w:val="24"/>
                                <w:vertAlign w:val="subscript"/>
                              </w:rPr>
                              <w:t>araBAD</w:t>
                            </w:r>
                            <w:r w:rsidRPr="00542DBC">
                              <w:rPr>
                                <w:rFonts w:cs="Times New Roman"/>
                                <w:szCs w:val="24"/>
                              </w:rPr>
                              <w:t>-</w:t>
                            </w:r>
                            <w:r w:rsidRPr="00542DBC">
                              <w:rPr>
                                <w:rFonts w:cs="Times New Roman"/>
                                <w:i/>
                                <w:iCs/>
                                <w:szCs w:val="24"/>
                              </w:rPr>
                              <w:t>fhuAΔCΔ4L</w:t>
                            </w:r>
                            <w:r w:rsidRPr="00542DBC">
                              <w:rPr>
                                <w:rFonts w:cs="Times New Roman"/>
                                <w:szCs w:val="24"/>
                              </w:rPr>
                              <w:t xml:space="preserve">; </w:t>
                            </w:r>
                            <w:proofErr w:type="spellStart"/>
                            <w:r w:rsidRPr="00542DBC">
                              <w:rPr>
                                <w:rFonts w:cs="Times New Roman"/>
                                <w:szCs w:val="24"/>
                              </w:rPr>
                              <w:t>ΔTolC</w:t>
                            </w:r>
                            <w:proofErr w:type="spellEnd"/>
                            <w:r w:rsidRPr="00542DBC">
                              <w:rPr>
                                <w:rFonts w:cs="Times New Roman"/>
                                <w:szCs w:val="24"/>
                              </w:rPr>
                              <w:t xml:space="preserve"> = BW25113 </w:t>
                            </w:r>
                            <w:proofErr w:type="spellStart"/>
                            <w:r w:rsidRPr="00542DBC">
                              <w:rPr>
                                <w:rFonts w:cs="Times New Roman"/>
                                <w:i/>
                                <w:iCs/>
                                <w:szCs w:val="24"/>
                              </w:rPr>
                              <w:t>ΔtolC-ygiBC</w:t>
                            </w:r>
                            <w:proofErr w:type="spellEnd"/>
                            <w:r w:rsidRPr="00542DBC">
                              <w:rPr>
                                <w:rFonts w:cs="Times New Roman"/>
                                <w:szCs w:val="24"/>
                              </w:rPr>
                              <w:t xml:space="preserve">; </w:t>
                            </w:r>
                            <w:proofErr w:type="spellStart"/>
                            <w:r w:rsidRPr="00542DBC">
                              <w:rPr>
                                <w:rFonts w:cs="Times New Roman"/>
                                <w:szCs w:val="24"/>
                              </w:rPr>
                              <w:t>ΔTolC</w:t>
                            </w:r>
                            <w:proofErr w:type="spellEnd"/>
                            <w:r w:rsidRPr="00542DBC">
                              <w:rPr>
                                <w:rFonts w:cs="Times New Roman"/>
                                <w:szCs w:val="24"/>
                              </w:rPr>
                              <w:t xml:space="preserve">-Pore = </w:t>
                            </w:r>
                            <w:proofErr w:type="spellStart"/>
                            <w:r w:rsidRPr="00542DBC">
                              <w:rPr>
                                <w:rFonts w:cs="Times New Roman"/>
                                <w:szCs w:val="24"/>
                              </w:rPr>
                              <w:t>ΔtolC-ygiBC</w:t>
                            </w:r>
                            <w:proofErr w:type="spellEnd"/>
                            <w:r w:rsidRPr="00542DBC">
                              <w:rPr>
                                <w:rFonts w:cs="Times New Roman"/>
                                <w:szCs w:val="24"/>
                              </w:rPr>
                              <w:t xml:space="preserve"> </w:t>
                            </w:r>
                            <w:r w:rsidRPr="00542DBC">
                              <w:rPr>
                                <w:rFonts w:cs="Times New Roman"/>
                                <w:i/>
                                <w:iCs/>
                                <w:szCs w:val="24"/>
                              </w:rPr>
                              <w:t>att</w:t>
                            </w:r>
                            <w:r w:rsidRPr="00542DBC">
                              <w:rPr>
                                <w:rFonts w:cs="Times New Roman"/>
                                <w:szCs w:val="24"/>
                              </w:rPr>
                              <w:t>Tn7::mini-Tn7T-Km-</w:t>
                            </w:r>
                            <w:r w:rsidRPr="00542DBC">
                              <w:rPr>
                                <w:rFonts w:cs="Times New Roman"/>
                                <w:i/>
                                <w:iCs/>
                                <w:szCs w:val="24"/>
                              </w:rPr>
                              <w:t>araC</w:t>
                            </w:r>
                            <w:r w:rsidRPr="00542DBC">
                              <w:rPr>
                                <w:rFonts w:cs="Times New Roman"/>
                                <w:szCs w:val="24"/>
                              </w:rPr>
                              <w:t>-P</w:t>
                            </w:r>
                            <w:r w:rsidRPr="00542DBC">
                              <w:rPr>
                                <w:rFonts w:cs="Times New Roman"/>
                                <w:szCs w:val="24"/>
                                <w:vertAlign w:val="subscript"/>
                              </w:rPr>
                              <w:t>araBAD</w:t>
                            </w:r>
                            <w:r w:rsidRPr="00542DBC">
                              <w:rPr>
                                <w:rFonts w:cs="Times New Roman"/>
                                <w:szCs w:val="24"/>
                              </w:rPr>
                              <w:t>-</w:t>
                            </w:r>
                            <w:r w:rsidRPr="00542DBC">
                              <w:rPr>
                                <w:rFonts w:cs="Times New Roman"/>
                                <w:i/>
                                <w:iCs/>
                                <w:szCs w:val="24"/>
                              </w:rPr>
                              <w:t>fhuAΔCΔ4L.</w:t>
                            </w:r>
                          </w:p>
                        </w:txbxContent>
                      </wps:txbx>
                      <wps:bodyPr rot="0" vert="horz" wrap="square" lIns="91440" tIns="45720" rIns="91440" bIns="45720" anchor="t" anchorCtr="0">
                        <a:noAutofit/>
                      </wps:bodyPr>
                    </wps:wsp>
                  </a:graphicData>
                </a:graphic>
              </wp:inline>
            </w:drawing>
          </mc:Choice>
          <mc:Fallback>
            <w:pict>
              <v:shape w14:anchorId="1B420B76" id="_x0000_s1052" type="#_x0000_t202" style="width:466.55pt;height:36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" strokecolor="windowText">
                <v:textbox>
                  <w:txbxContent>
                    <w:p w14:paraId="56D23230" w14:textId="77777777" w:rsidR="00654CB9" w:rsidRDefault="00654CB9" w:rsidP="00654CB9">
                      <w:pPr>
                        <w:keepNext/>
                      </w:pPr>
                      <w:r>
                        <w:rPr>
                          <w:noProof/>
                        </w:rPr>
                        <w:drawing>
                          <wp:inline distT="0" distB="0" distL="0" distR="0" wp14:anchorId="1D00AA86" wp14:editId="77B49DF8">
                            <wp:extent cx="5733067" cy="3103448"/>
                            <wp:effectExtent l="0" t="0" r="1270" b="1905"/>
                            <wp:docPr id="198" name="Picture 198" descr="Intracellular uptake of compounds 2.6 and 2.33 into isogenic E. coli strains that exhibit different efflux efficiencies and controlled permeability of the outer membr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Intracellular uptake of compounds 2.6 and 2.33 into isogenic E. coli strains that exhibit different efflux efficiencies and controlled permeability of the outer membrane."/>
                                    <pic:cNvPicPr/>
                                  </pic:nvPicPr>
                                  <pic:blipFill>
                                    <a:blip r:embed="rId119">
                                      <a:extLst>
                                        <a:ext uri="{28A0092B-C50C-407E-A947-70E740481C1C}">
                                          <a14:useLocalDpi xmlns:a14="http://schemas.microsoft.com/office/drawing/2010/main" val="0"/>
                                        </a:ext>
                                      </a:extLst>
                                    </a:blip>
                                    <a:stretch>
                                      <a:fillRect/>
                                    </a:stretch>
                                  </pic:blipFill>
                                  <pic:spPr>
                                    <a:xfrm>
                                      <a:off x="0" y="0"/>
                                      <a:ext cx="5733067" cy="3103448"/>
                                    </a:xfrm>
                                    <a:prstGeom prst="rect">
                                      <a:avLst/>
                                    </a:prstGeom>
                                  </pic:spPr>
                                </pic:pic>
                              </a:graphicData>
                            </a:graphic>
                          </wp:inline>
                        </w:drawing>
                      </w:r>
                    </w:p>
                    <w:p w14:paraId="58DC2E15" w14:textId="0E8E9361" w:rsidR="00654CB9" w:rsidRDefault="00654CB9" w:rsidP="00DF51F5">
                      <w:pPr>
                        <w:pStyle w:val="Caption"/>
                      </w:pPr>
                      <w:bookmarkStart w:id="173" w:name="_Toc97309254"/>
                      <w:bookmarkStart w:id="174" w:name="_Toc100748303"/>
                      <w:r w:rsidRPr="009653EB">
                        <w:t>Figure</w:t>
                      </w:r>
                      <w:r w:rsidRPr="009653EB">
                        <w:rPr>
                          <w:i/>
                          <w:iCs/>
                        </w:rPr>
                        <w:t xml:space="preserve"> </w:t>
                      </w:r>
                      <w:r w:rsidRPr="009653EB">
                        <w:rPr>
                          <w:rStyle w:val="Emphasis"/>
                          <w:rFonts w:cs="Times New Roman"/>
                          <w:i w:val="0"/>
                          <w:iCs w:val="0"/>
                          <w:color w:val="000000"/>
                          <w:szCs w:val="24"/>
                          <w:shd w:val="clear" w:color="auto" w:fill="FFFFFF"/>
                        </w:rPr>
                        <w:t>2.</w:t>
                      </w:r>
                      <w:r w:rsidR="005352D9" w:rsidRPr="009653EB">
                        <w:rPr>
                          <w:rStyle w:val="Emphasis"/>
                          <w:rFonts w:cs="Times New Roman"/>
                          <w:i w:val="0"/>
                          <w:iCs w:val="0"/>
                          <w:color w:val="000000"/>
                          <w:szCs w:val="24"/>
                          <w:shd w:val="clear" w:color="auto" w:fill="FFFFFF"/>
                        </w:rPr>
                        <w:fldChar w:fldCharType="begin"/>
                      </w:r>
                      <w:r w:rsidR="005352D9" w:rsidRPr="009653EB">
                        <w:rPr>
                          <w:rStyle w:val="Emphasis"/>
                          <w:rFonts w:cs="Times New Roman"/>
                          <w:i w:val="0"/>
                          <w:iCs w:val="0"/>
                          <w:color w:val="000000"/>
                          <w:szCs w:val="24"/>
                          <w:shd w:val="clear" w:color="auto" w:fill="FFFFFF"/>
                        </w:rPr>
                        <w:instrText xml:space="preserve"> SEQ Figure \* ARABIC </w:instrText>
                      </w:r>
                      <w:r w:rsidR="005352D9" w:rsidRPr="009653EB">
                        <w:rPr>
                          <w:rStyle w:val="Emphasis"/>
                          <w:rFonts w:cs="Times New Roman"/>
                          <w:i w:val="0"/>
                          <w:iCs w:val="0"/>
                          <w:color w:val="000000"/>
                          <w:szCs w:val="24"/>
                          <w:shd w:val="clear" w:color="auto" w:fill="FFFFFF"/>
                        </w:rPr>
                        <w:fldChar w:fldCharType="separate"/>
                      </w:r>
                      <w:r w:rsidR="00AA5AAC">
                        <w:rPr>
                          <w:rStyle w:val="Emphasis"/>
                          <w:rFonts w:cs="Times New Roman"/>
                          <w:i w:val="0"/>
                          <w:iCs w:val="0"/>
                          <w:noProof/>
                          <w:color w:val="000000"/>
                          <w:szCs w:val="24"/>
                          <w:shd w:val="clear" w:color="auto" w:fill="FFFFFF"/>
                        </w:rPr>
                        <w:t>9</w:t>
                      </w:r>
                      <w:r w:rsidR="005352D9" w:rsidRPr="009653EB">
                        <w:rPr>
                          <w:rStyle w:val="Emphasis"/>
                          <w:rFonts w:cs="Times New Roman"/>
                          <w:i w:val="0"/>
                          <w:iCs w:val="0"/>
                          <w:color w:val="000000"/>
                          <w:szCs w:val="24"/>
                          <w:shd w:val="clear" w:color="auto" w:fill="FFFFFF"/>
                        </w:rPr>
                        <w:fldChar w:fldCharType="end"/>
                      </w:r>
                      <w:r>
                        <w:t xml:space="preserve">. </w:t>
                      </w:r>
                      <w:r w:rsidRPr="00611C56">
                        <w:t xml:space="preserve"> Intracellular uptake of compounds </w:t>
                      </w:r>
                      <w:r w:rsidRPr="009E28E4">
                        <w:rPr>
                          <w:color w:val="000000"/>
                          <w:shd w:val="clear" w:color="auto" w:fill="FFFFFF"/>
                        </w:rPr>
                        <w:t>2.</w:t>
                      </w:r>
                      <w:r w:rsidRPr="009E28E4">
                        <w:t xml:space="preserve">6 and </w:t>
                      </w:r>
                      <w:r w:rsidRPr="009E28E4">
                        <w:rPr>
                          <w:color w:val="000000"/>
                          <w:shd w:val="clear" w:color="auto" w:fill="FFFFFF"/>
                        </w:rPr>
                        <w:t>2.</w:t>
                      </w:r>
                      <w:r w:rsidRPr="00611C56">
                        <w:t xml:space="preserve">33 into isogenic </w:t>
                      </w:r>
                      <w:r w:rsidRPr="00611C56">
                        <w:rPr>
                          <w:i/>
                        </w:rPr>
                        <w:t>E. coli</w:t>
                      </w:r>
                      <w:r w:rsidRPr="00611C56">
                        <w:t xml:space="preserve"> strains that exhibit different efflux efficiencies and controlled permeability of the outer membrane.</w:t>
                      </w:r>
                      <w:bookmarkEnd w:id="173"/>
                      <w:bookmarkEnd w:id="174"/>
                    </w:p>
                    <w:p w14:paraId="11E0C2E2" w14:textId="77777777" w:rsidR="00654CB9" w:rsidRPr="00542DBC" w:rsidRDefault="00654CB9" w:rsidP="00D03824">
                      <w:pPr>
                        <w:spacing w:line="240" w:lineRule="auto"/>
                        <w:rPr>
                          <w:rFonts w:cs="Times New Roman"/>
                          <w:szCs w:val="24"/>
                        </w:rPr>
                      </w:pPr>
                      <w:r w:rsidRPr="00542DBC">
                        <w:rPr>
                          <w:rFonts w:cs="Times New Roman"/>
                          <w:szCs w:val="24"/>
                        </w:rPr>
                        <w:t xml:space="preserve">WT = </w:t>
                      </w:r>
                      <w:r w:rsidRPr="00542DBC">
                        <w:rPr>
                          <w:rFonts w:cs="Times New Roman"/>
                          <w:i/>
                          <w:iCs/>
                          <w:szCs w:val="24"/>
                        </w:rPr>
                        <w:t>E. coli</w:t>
                      </w:r>
                      <w:r w:rsidRPr="00542DBC">
                        <w:rPr>
                          <w:rFonts w:cs="Times New Roman"/>
                          <w:szCs w:val="24"/>
                        </w:rPr>
                        <w:t xml:space="preserve"> BW25113; WT-Pore = BW25113 </w:t>
                      </w:r>
                      <w:r w:rsidRPr="00542DBC">
                        <w:rPr>
                          <w:rFonts w:cs="Times New Roman"/>
                          <w:i/>
                          <w:iCs/>
                          <w:szCs w:val="24"/>
                        </w:rPr>
                        <w:t>att</w:t>
                      </w:r>
                      <w:r w:rsidRPr="00542DBC">
                        <w:rPr>
                          <w:rFonts w:cs="Times New Roman"/>
                          <w:szCs w:val="24"/>
                        </w:rPr>
                        <w:t>Tn</w:t>
                      </w:r>
                      <w:proofErr w:type="gramStart"/>
                      <w:r w:rsidRPr="00542DBC">
                        <w:rPr>
                          <w:rFonts w:cs="Times New Roman"/>
                          <w:szCs w:val="24"/>
                        </w:rPr>
                        <w:t>7::</w:t>
                      </w:r>
                      <w:proofErr w:type="gramEnd"/>
                      <w:r w:rsidRPr="00542DBC">
                        <w:rPr>
                          <w:rFonts w:cs="Times New Roman"/>
                          <w:szCs w:val="24"/>
                        </w:rPr>
                        <w:t>mini-Tn7T-Km-</w:t>
                      </w:r>
                      <w:r w:rsidRPr="00542DBC">
                        <w:rPr>
                          <w:rFonts w:cs="Times New Roman"/>
                          <w:i/>
                          <w:iCs/>
                          <w:szCs w:val="24"/>
                        </w:rPr>
                        <w:t>araC</w:t>
                      </w:r>
                      <w:r w:rsidRPr="00542DBC">
                        <w:rPr>
                          <w:rFonts w:cs="Times New Roman"/>
                          <w:szCs w:val="24"/>
                        </w:rPr>
                        <w:t>-P</w:t>
                      </w:r>
                      <w:r w:rsidRPr="00542DBC">
                        <w:rPr>
                          <w:rFonts w:cs="Times New Roman"/>
                          <w:szCs w:val="24"/>
                          <w:vertAlign w:val="subscript"/>
                        </w:rPr>
                        <w:t>araBAD</w:t>
                      </w:r>
                      <w:r w:rsidRPr="00542DBC">
                        <w:rPr>
                          <w:rFonts w:cs="Times New Roman"/>
                          <w:szCs w:val="24"/>
                        </w:rPr>
                        <w:t>-</w:t>
                      </w:r>
                      <w:r w:rsidRPr="00542DBC">
                        <w:rPr>
                          <w:rFonts w:cs="Times New Roman"/>
                          <w:i/>
                          <w:iCs/>
                          <w:szCs w:val="24"/>
                        </w:rPr>
                        <w:t>fhuAΔCΔ4L</w:t>
                      </w:r>
                      <w:r w:rsidRPr="00542DBC">
                        <w:rPr>
                          <w:rFonts w:cs="Times New Roman"/>
                          <w:szCs w:val="24"/>
                        </w:rPr>
                        <w:t xml:space="preserve">; </w:t>
                      </w:r>
                      <w:proofErr w:type="spellStart"/>
                      <w:r w:rsidRPr="00542DBC">
                        <w:rPr>
                          <w:rFonts w:cs="Times New Roman"/>
                          <w:szCs w:val="24"/>
                        </w:rPr>
                        <w:t>ΔTolC</w:t>
                      </w:r>
                      <w:proofErr w:type="spellEnd"/>
                      <w:r w:rsidRPr="00542DBC">
                        <w:rPr>
                          <w:rFonts w:cs="Times New Roman"/>
                          <w:szCs w:val="24"/>
                        </w:rPr>
                        <w:t xml:space="preserve"> = BW25113 </w:t>
                      </w:r>
                      <w:proofErr w:type="spellStart"/>
                      <w:r w:rsidRPr="00542DBC">
                        <w:rPr>
                          <w:rFonts w:cs="Times New Roman"/>
                          <w:i/>
                          <w:iCs/>
                          <w:szCs w:val="24"/>
                        </w:rPr>
                        <w:t>ΔtolC-ygiBC</w:t>
                      </w:r>
                      <w:proofErr w:type="spellEnd"/>
                      <w:r w:rsidRPr="00542DBC">
                        <w:rPr>
                          <w:rFonts w:cs="Times New Roman"/>
                          <w:szCs w:val="24"/>
                        </w:rPr>
                        <w:t xml:space="preserve">; </w:t>
                      </w:r>
                      <w:proofErr w:type="spellStart"/>
                      <w:r w:rsidRPr="00542DBC">
                        <w:rPr>
                          <w:rFonts w:cs="Times New Roman"/>
                          <w:szCs w:val="24"/>
                        </w:rPr>
                        <w:t>ΔTolC</w:t>
                      </w:r>
                      <w:proofErr w:type="spellEnd"/>
                      <w:r w:rsidRPr="00542DBC">
                        <w:rPr>
                          <w:rFonts w:cs="Times New Roman"/>
                          <w:szCs w:val="24"/>
                        </w:rPr>
                        <w:t xml:space="preserve">-Pore = </w:t>
                      </w:r>
                      <w:proofErr w:type="spellStart"/>
                      <w:r w:rsidRPr="00542DBC">
                        <w:rPr>
                          <w:rFonts w:cs="Times New Roman"/>
                          <w:szCs w:val="24"/>
                        </w:rPr>
                        <w:t>ΔtolC-ygiBC</w:t>
                      </w:r>
                      <w:proofErr w:type="spellEnd"/>
                      <w:r w:rsidRPr="00542DBC">
                        <w:rPr>
                          <w:rFonts w:cs="Times New Roman"/>
                          <w:szCs w:val="24"/>
                        </w:rPr>
                        <w:t xml:space="preserve"> </w:t>
                      </w:r>
                      <w:r w:rsidRPr="00542DBC">
                        <w:rPr>
                          <w:rFonts w:cs="Times New Roman"/>
                          <w:i/>
                          <w:iCs/>
                          <w:szCs w:val="24"/>
                        </w:rPr>
                        <w:t>att</w:t>
                      </w:r>
                      <w:r w:rsidRPr="00542DBC">
                        <w:rPr>
                          <w:rFonts w:cs="Times New Roman"/>
                          <w:szCs w:val="24"/>
                        </w:rPr>
                        <w:t>Tn7::mini-Tn7T-Km-</w:t>
                      </w:r>
                      <w:r w:rsidRPr="00542DBC">
                        <w:rPr>
                          <w:rFonts w:cs="Times New Roman"/>
                          <w:i/>
                          <w:iCs/>
                          <w:szCs w:val="24"/>
                        </w:rPr>
                        <w:t>araC</w:t>
                      </w:r>
                      <w:r w:rsidRPr="00542DBC">
                        <w:rPr>
                          <w:rFonts w:cs="Times New Roman"/>
                          <w:szCs w:val="24"/>
                        </w:rPr>
                        <w:t>-P</w:t>
                      </w:r>
                      <w:r w:rsidRPr="00542DBC">
                        <w:rPr>
                          <w:rFonts w:cs="Times New Roman"/>
                          <w:szCs w:val="24"/>
                          <w:vertAlign w:val="subscript"/>
                        </w:rPr>
                        <w:t>araBAD</w:t>
                      </w:r>
                      <w:r w:rsidRPr="00542DBC">
                        <w:rPr>
                          <w:rFonts w:cs="Times New Roman"/>
                          <w:szCs w:val="24"/>
                        </w:rPr>
                        <w:t>-</w:t>
                      </w:r>
                      <w:r w:rsidRPr="00542DBC">
                        <w:rPr>
                          <w:rFonts w:cs="Times New Roman"/>
                          <w:i/>
                          <w:iCs/>
                          <w:szCs w:val="24"/>
                        </w:rPr>
                        <w:t>fhuAΔCΔ4L.</w:t>
                      </w:r>
                    </w:p>
                  </w:txbxContent>
                </v:textbox>
                <w10:anchorlock/>
              </v:shape>
            </w:pict>
          </mc:Fallback>
        </mc:AlternateContent>
      </w:r>
    </w:p>
    <w:p w14:paraId="74DC7E0E" w14:textId="77777777" w:rsidR="00D86FFB" w:rsidRDefault="00D86FFB" w:rsidP="00085905">
      <w:pPr>
        <w:pStyle w:val="Subsection"/>
      </w:pPr>
      <w:bookmarkStart w:id="175" w:name="_Toc98429810"/>
    </w:p>
    <w:p w14:paraId="38A894A1" w14:textId="77777777" w:rsidR="00D86FFB" w:rsidRDefault="00D86FFB" w:rsidP="00085905">
      <w:pPr>
        <w:pStyle w:val="Subsection"/>
      </w:pPr>
    </w:p>
    <w:p w14:paraId="02FF1EA5" w14:textId="49DCDA1E" w:rsidR="00654CB9" w:rsidRPr="00654CB9" w:rsidRDefault="00654CB9" w:rsidP="00085905">
      <w:pPr>
        <w:pStyle w:val="Subsection"/>
      </w:pPr>
      <w:bookmarkStart w:id="176" w:name="_Toc102586256"/>
      <w:r w:rsidRPr="00654CB9">
        <w:lastRenderedPageBreak/>
        <w:t xml:space="preserve">2.2.4 Probing the </w:t>
      </w:r>
      <w:r w:rsidR="00D03824">
        <w:t>m</w:t>
      </w:r>
      <w:r w:rsidRPr="00654CB9">
        <w:t xml:space="preserve">echanisms of CpxRA </w:t>
      </w:r>
      <w:r w:rsidR="00D03824">
        <w:t>m</w:t>
      </w:r>
      <w:r w:rsidRPr="00654CB9">
        <w:t>odulation</w:t>
      </w:r>
      <w:bookmarkEnd w:id="175"/>
      <w:r w:rsidR="00D03824">
        <w:t>.</w:t>
      </w:r>
      <w:bookmarkEnd w:id="176"/>
    </w:p>
    <w:p w14:paraId="10474855" w14:textId="6894E75D" w:rsidR="00654CB9" w:rsidRPr="00654CB9" w:rsidRDefault="00654CB9" w:rsidP="00654CB9">
      <w:pPr>
        <w:spacing w:after="0"/>
        <w:ind w:firstLine="720"/>
        <w:contextualSpacing/>
        <w:rPr>
          <w:rFonts w:cs="Times New Roman"/>
          <w:color w:val="000000"/>
          <w:szCs w:val="24"/>
          <w:shd w:val="clear" w:color="auto" w:fill="FFFFFF"/>
        </w:rPr>
      </w:pPr>
      <w:r w:rsidRPr="00654CB9">
        <w:rPr>
          <w:rFonts w:cs="Times New Roman"/>
          <w:b/>
          <w:bCs/>
          <w:color w:val="000000"/>
          <w:szCs w:val="24"/>
          <w:shd w:val="clear" w:color="auto" w:fill="FFFFFF"/>
        </w:rPr>
        <w:t xml:space="preserve">Compound 2.23 causes </w:t>
      </w:r>
      <w:proofErr w:type="spellStart"/>
      <w:r w:rsidRPr="00654CB9">
        <w:rPr>
          <w:rFonts w:cs="Times New Roman"/>
          <w:b/>
          <w:bCs/>
          <w:color w:val="000000"/>
          <w:szCs w:val="24"/>
          <w:shd w:val="clear" w:color="auto" w:fill="FFFFFF"/>
        </w:rPr>
        <w:t>CpxR</w:t>
      </w:r>
      <w:proofErr w:type="spellEnd"/>
      <w:r w:rsidRPr="00654CB9">
        <w:rPr>
          <w:rFonts w:cs="Times New Roman"/>
          <w:b/>
          <w:bCs/>
          <w:color w:val="000000"/>
          <w:szCs w:val="24"/>
          <w:shd w:val="clear" w:color="auto" w:fill="FFFFFF"/>
        </w:rPr>
        <w:t xml:space="preserve">-P accumulation in CFT073. </w:t>
      </w:r>
      <w:r w:rsidRPr="00654CB9">
        <w:rPr>
          <w:rFonts w:cs="Times New Roman"/>
          <w:color w:val="000000"/>
          <w:szCs w:val="24"/>
          <w:shd w:val="clear" w:color="auto" w:fill="FFFFFF"/>
        </w:rPr>
        <w:t xml:space="preserve">As mentioned previously,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1</w:t>
      </w:r>
      <w:r w:rsidRPr="00654CB9">
        <w:rPr>
          <w:rFonts w:cs="Times New Roman"/>
          <w:color w:val="000000"/>
          <w:szCs w:val="24"/>
          <w:shd w:val="clear" w:color="auto" w:fill="FFFFFF"/>
        </w:rPr>
        <w:t xml:space="preserve"> is believed to indirectly activate the CpxRA 2CSTS through the inhibition of </w:t>
      </w:r>
      <w:proofErr w:type="spellStart"/>
      <w:r w:rsidRPr="00654CB9">
        <w:rPr>
          <w:rFonts w:cs="Times New Roman"/>
          <w:color w:val="000000"/>
          <w:szCs w:val="24"/>
          <w:shd w:val="clear" w:color="auto" w:fill="FFFFFF"/>
        </w:rPr>
        <w:t>CpxA</w:t>
      </w:r>
      <w:proofErr w:type="spellEnd"/>
      <w:r w:rsidRPr="00654CB9">
        <w:rPr>
          <w:rFonts w:cs="Times New Roman"/>
          <w:color w:val="000000"/>
          <w:szCs w:val="24"/>
          <w:shd w:val="clear" w:color="auto" w:fill="FFFFFF"/>
        </w:rPr>
        <w:t xml:space="preserve"> phosphatase activity, thus rendering </w:t>
      </w:r>
      <w:proofErr w:type="spellStart"/>
      <w:r w:rsidRPr="00654CB9">
        <w:rPr>
          <w:rFonts w:cs="Times New Roman"/>
          <w:color w:val="000000"/>
          <w:szCs w:val="24"/>
          <w:shd w:val="clear" w:color="auto" w:fill="FFFFFF"/>
        </w:rPr>
        <w:t>CpxR</w:t>
      </w:r>
      <w:proofErr w:type="spellEnd"/>
      <w:r w:rsidRPr="00654CB9">
        <w:rPr>
          <w:rFonts w:cs="Times New Roman"/>
          <w:color w:val="000000"/>
          <w:szCs w:val="24"/>
          <w:shd w:val="clear" w:color="auto" w:fill="FFFFFF"/>
        </w:rPr>
        <w:t xml:space="preserve"> phosphorylated for an indefinite period of time. To confirm whether the results of the lacZ reporter assay observed for the more potent derivatives of compound </w:t>
      </w:r>
      <w:r w:rsidRPr="00654CB9">
        <w:rPr>
          <w:rFonts w:cs="Times New Roman"/>
          <w:b/>
          <w:bCs/>
          <w:color w:val="000000"/>
          <w:szCs w:val="24"/>
          <w:shd w:val="clear" w:color="auto" w:fill="FFFFFF"/>
        </w:rPr>
        <w:t>2.1</w:t>
      </w:r>
      <w:r w:rsidRPr="00654CB9">
        <w:rPr>
          <w:rFonts w:cs="Times New Roman"/>
          <w:color w:val="000000"/>
          <w:szCs w:val="24"/>
          <w:shd w:val="clear" w:color="auto" w:fill="FFFFFF"/>
        </w:rPr>
        <w:t xml:space="preserve"> were consistent with mechanisms reported for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1</w:t>
      </w:r>
      <w:r w:rsidRPr="00654CB9">
        <w:rPr>
          <w:rFonts w:cs="Times New Roman"/>
          <w:color w:val="000000"/>
          <w:szCs w:val="24"/>
          <w:shd w:val="clear" w:color="auto" w:fill="FFFFFF"/>
        </w:rPr>
        <w:t xml:space="preserve">, we evaluated the ability of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23</w:t>
      </w:r>
      <w:r w:rsidRPr="00654CB9">
        <w:rPr>
          <w:rFonts w:cs="Times New Roman"/>
          <w:color w:val="000000"/>
          <w:szCs w:val="24"/>
          <w:shd w:val="clear" w:color="auto" w:fill="FFFFFF"/>
        </w:rPr>
        <w:t xml:space="preserve"> to inhibit </w:t>
      </w:r>
      <w:proofErr w:type="spellStart"/>
      <w:r w:rsidRPr="00654CB9">
        <w:rPr>
          <w:rFonts w:cs="Times New Roman"/>
          <w:color w:val="000000"/>
          <w:szCs w:val="24"/>
          <w:shd w:val="clear" w:color="auto" w:fill="FFFFFF"/>
        </w:rPr>
        <w:t>CpxA</w:t>
      </w:r>
      <w:proofErr w:type="spellEnd"/>
      <w:r w:rsidRPr="00654CB9">
        <w:rPr>
          <w:rFonts w:cs="Times New Roman"/>
          <w:color w:val="000000"/>
          <w:szCs w:val="24"/>
          <w:shd w:val="clear" w:color="auto" w:fill="FFFFFF"/>
        </w:rPr>
        <w:t xml:space="preserve"> phosphatase activity through Phos-Tag methodology, gel visualization, and densitometry quantification of </w:t>
      </w:r>
      <w:proofErr w:type="spellStart"/>
      <w:r w:rsidRPr="00654CB9">
        <w:rPr>
          <w:rFonts w:cs="Times New Roman"/>
          <w:color w:val="000000"/>
          <w:szCs w:val="24"/>
          <w:shd w:val="clear" w:color="auto" w:fill="FFFFFF"/>
        </w:rPr>
        <w:t>CpxR</w:t>
      </w:r>
      <w:proofErr w:type="spellEnd"/>
      <w:r w:rsidRPr="00654CB9">
        <w:rPr>
          <w:rFonts w:cs="Times New Roman"/>
          <w:color w:val="000000"/>
          <w:szCs w:val="24"/>
          <w:shd w:val="clear" w:color="auto" w:fill="FFFFFF"/>
        </w:rPr>
        <w:t xml:space="preserve"> phosphorylation levels, exactly as described.</w:t>
      </w:r>
      <w:r w:rsidRPr="00654CB9">
        <w:rPr>
          <w:rFonts w:cs="Times New Roman"/>
          <w:color w:val="000000"/>
          <w:szCs w:val="24"/>
          <w:shd w:val="clear" w:color="auto" w:fill="FFFFFF"/>
        </w:rPr>
        <w:fldChar w:fldCharType="begin"/>
      </w:r>
      <w:r w:rsidRPr="00654CB9">
        <w:rPr>
          <w:rFonts w:cs="Times New Roman"/>
          <w:color w:val="000000"/>
          <w:szCs w:val="24"/>
          <w:shd w:val="clear" w:color="auto" w:fill="FFFFFF"/>
        </w:rPr>
        <w:instrText xml:space="preserve"> ADDIN ZOTERO_ITEM CSL_CITATION {"citationID":"j4wC9kUz","properties":{"formattedCitation":"\\super 17\\nosupersub{}","plainCitation":"17","noteIndex":0},"citationItems":[{"id":125,"uris":["http://zotero.org/users/6503767/items/FDSR4HNB"],"itemData":{"id":125,"type":"article-journal","abstract":"ABSTRACT\n            \n              CpxRA is a two-component signal transduction system (2CSTS) found in many drug-resistant Gram-negative bacteria. In response to periplasmic stress, CpxA autophosphorylates and donates a phosphoryl group to its cognate response regulator, CpxR. Phosphorylated CpxR (CpxR-P) upregulates genes involved in membrane repair and downregulates multiple genes that encode virulence factors, which are trafficked across the cell membrane. Mutants that constitutively activate CpxRA in\n              Salmonella enterica\n              serovar Typhimurium and\n              Haemophilus ducreyi\n              are avirulent in mice and humans, respectively. Thus, the activation of CpxRA has high potential as a novel antimicrobial/antivirulence strategy. Using a series of\n              Escherichia coli\n              strains containing a CpxR-P-responsive\n              lacZ\n              reporter and deletions in genes encoding CpxRA system components, we developed and validated a novel cell-based high-throughput screen (HTS) for CpxRA activators. A screen of 36,000 compounds yielded one hit compound that increased reporter activity in wild-type cells. This is the first report of a compound that activates, rather than inhibits, a 2CSTS. The activity profile of the compound against CpxRA pathway mutants in the presence of glucose suggested that the compound inhibits CpxA phosphatase activity. We confirmed that the compound induced the accumulation of CpxR-P in treated cells. Although the hit compound contained a nitro group, a derivative lacking this group retained activity in serum and had lower cytotoxicity than that of the initial hit. This HTS is amenable for the screening of larger libraries to find compounds that activate CpxRA by other mechanisms, and it could be adapted to find activators of other two-component systems.","container-title":"Antimicrobial Agents and Chemotherapy","DOI":"10.1128/AAC.00236-15","ISSN":"0066-4804, 1098-6596","issue":"7","journalAbbreviation":"Antimicrob. Agents Chemother.","language":"en","page":"3789-3799","source":"DOI.org (Crossref)","title":"Development and Validation of a High-Throughput Cell-Based Screen To Identify Activators of a Bacterial Two-Component Signal Transduction System","volume":"59","author":[{"family":"Rensburg","given":"Julia J.","non-dropping-particle":"van"},{"family":"Fortney","given":"Kate R."},{"family":"Chen","given":"Lan"},{"family":"Krieger","given":"Andrew J."},{"family":"Lima","given":"Bruno P."},{"family":"Wolfe","given":"Alan J."},{"family":"Katz","given":"Barry P."},{"family":"Zhang","given":"Zhong-yin"},{"family":"Spinola","given":"Stanley M."}],"issued":{"date-parts":[["2015",7]]}}}],"schema":"https://github.com/citation-style-language/schema/raw/master/csl-citation.json"} </w:instrText>
      </w:r>
      <w:r w:rsidRPr="00654CB9">
        <w:rPr>
          <w:rFonts w:cs="Times New Roman"/>
          <w:color w:val="000000"/>
          <w:szCs w:val="24"/>
          <w:shd w:val="clear" w:color="auto" w:fill="FFFFFF"/>
        </w:rPr>
        <w:fldChar w:fldCharType="separate"/>
      </w:r>
      <w:r w:rsidRPr="00654CB9">
        <w:rPr>
          <w:rFonts w:cs="Times New Roman"/>
          <w:szCs w:val="24"/>
          <w:vertAlign w:val="superscript"/>
        </w:rPr>
        <w:t>17</w:t>
      </w:r>
      <w:r w:rsidRPr="00654CB9">
        <w:rPr>
          <w:rFonts w:cs="Times New Roman"/>
          <w:color w:val="000000"/>
          <w:szCs w:val="24"/>
          <w:shd w:val="clear" w:color="auto" w:fill="FFFFFF"/>
        </w:rPr>
        <w:fldChar w:fldCharType="end"/>
      </w:r>
      <w:r w:rsidRPr="00654CB9">
        <w:rPr>
          <w:rFonts w:cs="Times New Roman"/>
          <w:color w:val="000000"/>
          <w:szCs w:val="24"/>
          <w:shd w:val="clear" w:color="auto" w:fill="FFFFFF"/>
        </w:rPr>
        <w:t xml:space="preserve"> As is seen </w:t>
      </w:r>
      <w:r w:rsidRPr="00654CB9">
        <w:rPr>
          <w:rFonts w:cs="Times New Roman"/>
          <w:b/>
          <w:bCs/>
          <w:color w:val="000000"/>
          <w:szCs w:val="24"/>
          <w:shd w:val="clear" w:color="auto" w:fill="FFFFFF"/>
        </w:rPr>
        <w:fldChar w:fldCharType="begin"/>
      </w:r>
      <w:r w:rsidRPr="00654CB9">
        <w:rPr>
          <w:rFonts w:cs="Times New Roman"/>
          <w:b/>
          <w:bCs/>
          <w:color w:val="000000"/>
          <w:szCs w:val="24"/>
          <w:shd w:val="clear" w:color="auto" w:fill="FFFFFF"/>
        </w:rPr>
        <w:instrText xml:space="preserve"> REF _Ref88237485 \h  \* MERGEFORMAT </w:instrText>
      </w:r>
      <w:r w:rsidRPr="00654CB9">
        <w:rPr>
          <w:rFonts w:cs="Times New Roman"/>
          <w:b/>
          <w:bCs/>
          <w:color w:val="000000"/>
          <w:szCs w:val="24"/>
          <w:shd w:val="clear" w:color="auto" w:fill="FFFFFF"/>
        </w:rPr>
      </w:r>
      <w:r w:rsidRPr="00654CB9">
        <w:rPr>
          <w:rFonts w:cs="Times New Roman"/>
          <w:b/>
          <w:bCs/>
          <w:color w:val="000000"/>
          <w:szCs w:val="24"/>
          <w:shd w:val="clear" w:color="auto" w:fill="FFFFFF"/>
        </w:rPr>
        <w:fldChar w:fldCharType="separate"/>
      </w:r>
      <w:r w:rsidR="00AA5AAC" w:rsidRPr="00AA5AAC">
        <w:rPr>
          <w:rFonts w:cs="Times New Roman"/>
          <w:b/>
          <w:bCs/>
          <w:szCs w:val="24"/>
        </w:rPr>
        <w:t xml:space="preserve">Figure </w:t>
      </w:r>
      <w:r w:rsidR="00AA5AAC" w:rsidRPr="00AA5AAC">
        <w:rPr>
          <w:rFonts w:cs="Times New Roman"/>
          <w:b/>
          <w:bCs/>
          <w:color w:val="000000"/>
          <w:szCs w:val="24"/>
          <w:shd w:val="clear" w:color="auto" w:fill="FFFFFF"/>
        </w:rPr>
        <w:t>2.10</w:t>
      </w:r>
      <w:r w:rsidRPr="00654CB9">
        <w:rPr>
          <w:rFonts w:cs="Times New Roman"/>
          <w:b/>
          <w:bCs/>
          <w:color w:val="000000"/>
          <w:szCs w:val="24"/>
          <w:shd w:val="clear" w:color="auto" w:fill="FFFFFF"/>
        </w:rPr>
        <w:fldChar w:fldCharType="end"/>
      </w:r>
      <w:r w:rsidRPr="00654CB9">
        <w:rPr>
          <w:rFonts w:cs="Times New Roman"/>
          <w:b/>
          <w:bCs/>
          <w:color w:val="000000"/>
          <w:szCs w:val="24"/>
          <w:shd w:val="clear" w:color="auto" w:fill="FFFFFF"/>
        </w:rPr>
        <w:t>A</w:t>
      </w:r>
      <w:r w:rsidRPr="00654CB9">
        <w:rPr>
          <w:rFonts w:cs="Times New Roman"/>
          <w:b/>
          <w:color w:val="000000"/>
          <w:szCs w:val="24"/>
          <w:shd w:val="clear" w:color="auto" w:fill="FFFFFF"/>
        </w:rPr>
        <w:t xml:space="preserve"> </w:t>
      </w:r>
      <w:r w:rsidRPr="00654CB9">
        <w:rPr>
          <w:rFonts w:cs="Times New Roman"/>
          <w:color w:val="000000"/>
          <w:szCs w:val="24"/>
          <w:shd w:val="clear" w:color="auto" w:fill="FFFFFF"/>
        </w:rPr>
        <w:t>and as  reported previously,</w:t>
      </w:r>
      <w:r w:rsidRPr="00654CB9">
        <w:rPr>
          <w:rFonts w:cs="Times New Roman"/>
          <w:color w:val="000000"/>
          <w:szCs w:val="24"/>
          <w:shd w:val="clear" w:color="auto" w:fill="FFFFFF"/>
        </w:rPr>
        <w:fldChar w:fldCharType="begin"/>
      </w:r>
      <w:r w:rsidRPr="00654CB9">
        <w:rPr>
          <w:rFonts w:cs="Times New Roman"/>
          <w:color w:val="000000"/>
          <w:szCs w:val="24"/>
          <w:shd w:val="clear" w:color="auto" w:fill="FFFFFF"/>
        </w:rPr>
        <w:instrText xml:space="preserve"> ADDIN ZOTERO_ITEM CSL_CITATION {"citationID":"4rMUNhvl","properties":{"formattedCitation":"\\super 17\\nosupersub{}","plainCitation":"17","noteIndex":0},"citationItems":[{"id":125,"uris":["http://zotero.org/users/6503767/items/FDSR4HNB"],"itemData":{"id":125,"type":"article-journal","abstract":"ABSTRACT\n            \n              CpxRA is a two-component signal transduction system (2CSTS) found in many drug-resistant Gram-negative bacteria. In response to periplasmic stress, CpxA autophosphorylates and donates a phosphoryl group to its cognate response regulator, CpxR. Phosphorylated CpxR (CpxR-P) upregulates genes involved in membrane repair and downregulates multiple genes that encode virulence factors, which are trafficked across the cell membrane. Mutants that constitutively activate CpxRA in\n              Salmonella enterica\n              serovar Typhimurium and\n              Haemophilus ducreyi\n              are avirulent in mice and humans, respectively. Thus, the activation of CpxRA has high potential as a novel antimicrobial/antivirulence strategy. Using a series of\n              Escherichia coli\n              strains containing a CpxR-P-responsive\n              lacZ\n              reporter and deletions in genes encoding CpxRA system components, we developed and validated a novel cell-based high-throughput screen (HTS) for CpxRA activators. A screen of 36,000 compounds yielded one hit compound that increased reporter activity in wild-type cells. This is the first report of a compound that activates, rather than inhibits, a 2CSTS. The activity profile of the compound against CpxRA pathway mutants in the presence of glucose suggested that the compound inhibits CpxA phosphatase activity. We confirmed that the compound induced the accumulation of CpxR-P in treated cells. Although the hit compound contained a nitro group, a derivative lacking this group retained activity in serum and had lower cytotoxicity than that of the initial hit. This HTS is amenable for the screening of larger libraries to find compounds that activate CpxRA by other mechanisms, and it could be adapted to find activators of other two-component systems.","container-title":"Antimicrobial Agents and Chemotherapy","DOI":"10.1128/AAC.00236-15","ISSN":"0066-4804, 1098-6596","issue":"7","journalAbbreviation":"Antimicrob. Agents Chemother.","language":"en","page":"3789-3799","source":"DOI.org (Crossref)","title":"Development and Validation of a High-Throughput Cell-Based Screen To Identify Activators of a Bacterial Two-Component Signal Transduction System","volume":"59","author":[{"family":"Rensburg","given":"Julia J.","non-dropping-particle":"van"},{"family":"Fortney","given":"Kate R."},{"family":"Chen","given":"Lan"},{"family":"Krieger","given":"Andrew J."},{"family":"Lima","given":"Bruno P."},{"family":"Wolfe","given":"Alan J."},{"family":"Katz","given":"Barry P."},{"family":"Zhang","given":"Zhong-yin"},{"family":"Spinola","given":"Stanley M."}],"issued":{"date-parts":[["2015",7]]}}}],"schema":"https://github.com/citation-style-language/schema/raw/master/csl-citation.json"} </w:instrText>
      </w:r>
      <w:r w:rsidRPr="00654CB9">
        <w:rPr>
          <w:rFonts w:cs="Times New Roman"/>
          <w:color w:val="000000"/>
          <w:szCs w:val="24"/>
          <w:shd w:val="clear" w:color="auto" w:fill="FFFFFF"/>
        </w:rPr>
        <w:fldChar w:fldCharType="separate"/>
      </w:r>
      <w:r w:rsidRPr="00654CB9">
        <w:rPr>
          <w:rFonts w:cs="Times New Roman"/>
          <w:szCs w:val="24"/>
          <w:vertAlign w:val="superscript"/>
        </w:rPr>
        <w:t>17</w:t>
      </w:r>
      <w:r w:rsidRPr="00654CB9">
        <w:rPr>
          <w:rFonts w:cs="Times New Roman"/>
          <w:color w:val="000000"/>
          <w:szCs w:val="24"/>
          <w:shd w:val="clear" w:color="auto" w:fill="FFFFFF"/>
        </w:rPr>
        <w:fldChar w:fldCharType="end"/>
      </w:r>
      <w:r w:rsidRPr="00654CB9">
        <w:rPr>
          <w:rFonts w:cs="Times New Roman"/>
          <w:color w:val="000000"/>
          <w:szCs w:val="24"/>
          <w:shd w:val="clear" w:color="auto" w:fill="FFFFFF"/>
        </w:rPr>
        <w:t xml:space="preserve">  both the </w:t>
      </w:r>
      <w:proofErr w:type="spellStart"/>
      <w:r w:rsidRPr="00654CB9">
        <w:rPr>
          <w:rFonts w:cs="Times New Roman"/>
          <w:color w:val="000000"/>
          <w:szCs w:val="24"/>
          <w:shd w:val="clear" w:color="auto" w:fill="FFFFFF"/>
        </w:rPr>
        <w:t>ΔcpxA</w:t>
      </w:r>
      <w:proofErr w:type="spellEnd"/>
      <w:r w:rsidRPr="00654CB9">
        <w:rPr>
          <w:rFonts w:cs="Times New Roman"/>
          <w:color w:val="000000"/>
          <w:szCs w:val="24"/>
          <w:shd w:val="clear" w:color="auto" w:fill="FFFFFF"/>
        </w:rPr>
        <w:t xml:space="preserve"> mutant and the compound-treated wild type (WT) expressed more </w:t>
      </w:r>
      <w:proofErr w:type="spellStart"/>
      <w:r w:rsidRPr="00654CB9">
        <w:rPr>
          <w:rFonts w:cs="Times New Roman"/>
          <w:color w:val="000000"/>
          <w:szCs w:val="24"/>
          <w:shd w:val="clear" w:color="auto" w:fill="FFFFFF"/>
        </w:rPr>
        <w:t>CpxR</w:t>
      </w:r>
      <w:proofErr w:type="spellEnd"/>
      <w:r w:rsidRPr="00654CB9">
        <w:rPr>
          <w:rFonts w:cs="Times New Roman"/>
          <w:color w:val="000000"/>
          <w:szCs w:val="24"/>
          <w:shd w:val="clear" w:color="auto" w:fill="FFFFFF"/>
        </w:rPr>
        <w:t xml:space="preserve"> than the untreated wild type, likely because </w:t>
      </w:r>
      <w:proofErr w:type="spellStart"/>
      <w:r w:rsidRPr="00654CB9">
        <w:rPr>
          <w:rFonts w:cs="Times New Roman"/>
          <w:color w:val="000000"/>
          <w:szCs w:val="24"/>
          <w:shd w:val="clear" w:color="auto" w:fill="FFFFFF"/>
        </w:rPr>
        <w:t>CpxR</w:t>
      </w:r>
      <w:proofErr w:type="spellEnd"/>
      <w:r w:rsidRPr="00654CB9">
        <w:rPr>
          <w:rFonts w:cs="Times New Roman"/>
          <w:color w:val="000000"/>
          <w:szCs w:val="24"/>
          <w:shd w:val="clear" w:color="auto" w:fill="FFFFFF"/>
        </w:rPr>
        <w:t xml:space="preserve">-P positively autoregulates its transcription.  Similar to compound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1</w:t>
      </w:r>
      <w:r w:rsidRPr="00654CB9">
        <w:rPr>
          <w:rFonts w:cs="Times New Roman"/>
          <w:color w:val="000000"/>
          <w:szCs w:val="24"/>
          <w:shd w:val="clear" w:color="auto" w:fill="FFFFFF"/>
        </w:rPr>
        <w:t>,</w:t>
      </w:r>
      <w:r w:rsidRPr="00654CB9">
        <w:rPr>
          <w:rFonts w:cs="Times New Roman"/>
          <w:b/>
          <w:color w:val="000000"/>
          <w:szCs w:val="24"/>
          <w:shd w:val="clear" w:color="auto" w:fill="FFFFFF"/>
        </w:rPr>
        <w:t xml:space="preserve"> </w:t>
      </w:r>
      <w:r w:rsidRPr="00654CB9">
        <w:rPr>
          <w:rFonts w:cs="Times New Roman"/>
          <w:color w:val="000000"/>
          <w:szCs w:val="24"/>
          <w:shd w:val="clear" w:color="auto" w:fill="FFFFFF"/>
        </w:rPr>
        <w:t xml:space="preserve">treatment with compound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 xml:space="preserve">23 </w:t>
      </w:r>
      <w:r w:rsidRPr="00654CB9">
        <w:rPr>
          <w:rFonts w:cs="Times New Roman"/>
          <w:color w:val="000000"/>
          <w:szCs w:val="24"/>
          <w:shd w:val="clear" w:color="auto" w:fill="FFFFFF"/>
        </w:rPr>
        <w:t xml:space="preserve">(10 </w:t>
      </w:r>
      <w:proofErr w:type="spellStart"/>
      <w:r w:rsidRPr="00654CB9">
        <w:rPr>
          <w:rFonts w:asciiTheme="minorHAnsi" w:hAnsiTheme="minorHAnsi"/>
          <w:color w:val="000000"/>
          <w:szCs w:val="24"/>
          <w:shd w:val="clear" w:color="auto" w:fill="FFFFFF"/>
        </w:rPr>
        <w:t>μ</w:t>
      </w:r>
      <w:r w:rsidRPr="00654CB9">
        <w:rPr>
          <w:rFonts w:cs="Times New Roman"/>
          <w:color w:val="000000"/>
          <w:szCs w:val="24"/>
          <w:shd w:val="clear" w:color="auto" w:fill="FFFFFF"/>
        </w:rPr>
        <w:t>M</w:t>
      </w:r>
      <w:proofErr w:type="spellEnd"/>
      <w:r w:rsidRPr="00654CB9">
        <w:rPr>
          <w:rFonts w:cs="Times New Roman"/>
          <w:color w:val="000000"/>
          <w:szCs w:val="24"/>
          <w:shd w:val="clear" w:color="auto" w:fill="FFFFFF"/>
        </w:rPr>
        <w:t>) caused a statistically significant increase in</w:t>
      </w:r>
      <w:r w:rsidRPr="00654CB9">
        <w:rPr>
          <w:rFonts w:cs="Times New Roman"/>
          <w:b/>
          <w:color w:val="000000"/>
          <w:szCs w:val="24"/>
          <w:shd w:val="clear" w:color="auto" w:fill="FFFFFF"/>
        </w:rPr>
        <w:t xml:space="preserve"> </w:t>
      </w:r>
      <w:r w:rsidRPr="00654CB9">
        <w:rPr>
          <w:rFonts w:cs="Times New Roman"/>
          <w:color w:val="000000"/>
          <w:szCs w:val="24"/>
          <w:shd w:val="clear" w:color="auto" w:fill="FFFFFF"/>
        </w:rPr>
        <w:t xml:space="preserve">the ratio of </w:t>
      </w:r>
      <w:proofErr w:type="spellStart"/>
      <w:r w:rsidRPr="00654CB9">
        <w:rPr>
          <w:rFonts w:cs="Times New Roman"/>
          <w:color w:val="000000"/>
          <w:szCs w:val="24"/>
          <w:shd w:val="clear" w:color="auto" w:fill="FFFFFF"/>
        </w:rPr>
        <w:t>CpxR</w:t>
      </w:r>
      <w:proofErr w:type="spellEnd"/>
      <w:r w:rsidRPr="00654CB9">
        <w:rPr>
          <w:rFonts w:cs="Times New Roman"/>
          <w:color w:val="000000"/>
          <w:szCs w:val="24"/>
          <w:shd w:val="clear" w:color="auto" w:fill="FFFFFF"/>
        </w:rPr>
        <w:t xml:space="preserve">-P to </w:t>
      </w:r>
      <w:proofErr w:type="spellStart"/>
      <w:r w:rsidRPr="00654CB9">
        <w:rPr>
          <w:rFonts w:cs="Times New Roman"/>
          <w:color w:val="000000"/>
          <w:szCs w:val="24"/>
          <w:shd w:val="clear" w:color="auto" w:fill="FFFFFF"/>
        </w:rPr>
        <w:t>CpxR</w:t>
      </w:r>
      <w:proofErr w:type="spellEnd"/>
      <w:r w:rsidRPr="00654CB9">
        <w:rPr>
          <w:rFonts w:cs="Times New Roman"/>
          <w:color w:val="000000"/>
          <w:szCs w:val="24"/>
          <w:shd w:val="clear" w:color="auto" w:fill="FFFFFF"/>
        </w:rPr>
        <w:t xml:space="preserve"> relative to the untreated wild type and the </w:t>
      </w:r>
      <w:proofErr w:type="spellStart"/>
      <w:r w:rsidRPr="00654CB9">
        <w:rPr>
          <w:rFonts w:cs="Times New Roman"/>
          <w:color w:val="000000"/>
          <w:szCs w:val="24"/>
          <w:shd w:val="clear" w:color="auto" w:fill="FFFFFF"/>
        </w:rPr>
        <w:t>ΔcpxA</w:t>
      </w:r>
      <w:proofErr w:type="spellEnd"/>
      <w:r w:rsidRPr="00654CB9">
        <w:rPr>
          <w:rFonts w:cs="Times New Roman"/>
          <w:color w:val="000000"/>
          <w:szCs w:val="24"/>
          <w:shd w:val="clear" w:color="auto" w:fill="FFFFFF"/>
        </w:rPr>
        <w:t xml:space="preserve"> mutant. In contrast, activation in the </w:t>
      </w:r>
      <w:proofErr w:type="spellStart"/>
      <w:r w:rsidRPr="00654CB9">
        <w:rPr>
          <w:rFonts w:cs="Times New Roman"/>
          <w:color w:val="000000"/>
          <w:szCs w:val="24"/>
          <w:shd w:val="clear" w:color="auto" w:fill="FFFFFF"/>
        </w:rPr>
        <w:t>ΔcpxA</w:t>
      </w:r>
      <w:proofErr w:type="spellEnd"/>
      <w:r w:rsidRPr="00654CB9">
        <w:rPr>
          <w:rFonts w:cs="Times New Roman"/>
          <w:color w:val="000000"/>
          <w:szCs w:val="24"/>
          <w:shd w:val="clear" w:color="auto" w:fill="FFFFFF"/>
        </w:rPr>
        <w:t xml:space="preserve"> mutant increased the accumulation of </w:t>
      </w:r>
      <w:proofErr w:type="spellStart"/>
      <w:r w:rsidRPr="00654CB9">
        <w:rPr>
          <w:rFonts w:cs="Times New Roman"/>
          <w:color w:val="000000"/>
          <w:szCs w:val="24"/>
          <w:shd w:val="clear" w:color="auto" w:fill="FFFFFF"/>
        </w:rPr>
        <w:t>CpxR</w:t>
      </w:r>
      <w:proofErr w:type="spellEnd"/>
      <w:r w:rsidRPr="00654CB9">
        <w:rPr>
          <w:rFonts w:cs="Times New Roman"/>
          <w:color w:val="000000"/>
          <w:szCs w:val="24"/>
          <w:shd w:val="clear" w:color="auto" w:fill="FFFFFF"/>
        </w:rPr>
        <w:t xml:space="preserve">-P but did not cause a statistically significant increase in the ratio of </w:t>
      </w:r>
      <w:proofErr w:type="spellStart"/>
      <w:r w:rsidRPr="00654CB9">
        <w:rPr>
          <w:rFonts w:cs="Times New Roman"/>
          <w:color w:val="000000"/>
          <w:szCs w:val="24"/>
          <w:shd w:val="clear" w:color="auto" w:fill="FFFFFF"/>
        </w:rPr>
        <w:t>CpxR</w:t>
      </w:r>
      <w:proofErr w:type="spellEnd"/>
      <w:r w:rsidRPr="00654CB9">
        <w:rPr>
          <w:rFonts w:cs="Times New Roman"/>
          <w:color w:val="000000"/>
          <w:szCs w:val="24"/>
          <w:shd w:val="clear" w:color="auto" w:fill="FFFFFF"/>
        </w:rPr>
        <w:t xml:space="preserve">-P to </w:t>
      </w:r>
      <w:proofErr w:type="spellStart"/>
      <w:r w:rsidRPr="00654CB9">
        <w:rPr>
          <w:rFonts w:cs="Times New Roman"/>
          <w:color w:val="000000"/>
          <w:szCs w:val="24"/>
          <w:shd w:val="clear" w:color="auto" w:fill="FFFFFF"/>
        </w:rPr>
        <w:t>CpxR</w:t>
      </w:r>
      <w:proofErr w:type="spellEnd"/>
      <w:r w:rsidRPr="00654CB9">
        <w:rPr>
          <w:rFonts w:cs="Times New Roman"/>
          <w:color w:val="000000"/>
          <w:szCs w:val="24"/>
          <w:shd w:val="clear" w:color="auto" w:fill="FFFFFF"/>
        </w:rPr>
        <w:t xml:space="preserve"> compared to the wild type. Taken together, the data suggest that pharmacological activation of CpxRA by inhibition of </w:t>
      </w:r>
      <w:proofErr w:type="spellStart"/>
      <w:r w:rsidRPr="00654CB9">
        <w:rPr>
          <w:rFonts w:cs="Times New Roman"/>
          <w:color w:val="000000"/>
          <w:szCs w:val="24"/>
          <w:shd w:val="clear" w:color="auto" w:fill="FFFFFF"/>
        </w:rPr>
        <w:t>CpxA</w:t>
      </w:r>
      <w:proofErr w:type="spellEnd"/>
      <w:r w:rsidRPr="00654CB9">
        <w:rPr>
          <w:rFonts w:cs="Times New Roman"/>
          <w:color w:val="000000"/>
          <w:szCs w:val="24"/>
          <w:shd w:val="clear" w:color="auto" w:fill="FFFFFF"/>
        </w:rPr>
        <w:t xml:space="preserve"> phosphatase activity yields different results than activation via deletion of </w:t>
      </w:r>
      <w:proofErr w:type="spellStart"/>
      <w:r w:rsidRPr="00654CB9">
        <w:rPr>
          <w:rFonts w:cs="Times New Roman"/>
          <w:color w:val="000000"/>
          <w:szCs w:val="24"/>
          <w:shd w:val="clear" w:color="auto" w:fill="FFFFFF"/>
        </w:rPr>
        <w:t>cpxA</w:t>
      </w:r>
      <w:proofErr w:type="spellEnd"/>
      <w:r w:rsidRPr="00654CB9">
        <w:rPr>
          <w:rFonts w:cs="Times New Roman"/>
          <w:color w:val="000000"/>
          <w:szCs w:val="24"/>
          <w:shd w:val="clear" w:color="auto" w:fill="FFFFFF"/>
        </w:rPr>
        <w:t xml:space="preserve">, perhaps because </w:t>
      </w:r>
      <w:proofErr w:type="spellStart"/>
      <w:r w:rsidRPr="00654CB9">
        <w:rPr>
          <w:rFonts w:cs="Times New Roman"/>
          <w:color w:val="000000"/>
          <w:szCs w:val="24"/>
          <w:shd w:val="clear" w:color="auto" w:fill="FFFFFF"/>
        </w:rPr>
        <w:t>CpxA</w:t>
      </w:r>
      <w:proofErr w:type="spellEnd"/>
      <w:r w:rsidRPr="00654CB9">
        <w:rPr>
          <w:rFonts w:cs="Times New Roman"/>
          <w:color w:val="000000"/>
          <w:szCs w:val="24"/>
          <w:shd w:val="clear" w:color="auto" w:fill="FFFFFF"/>
        </w:rPr>
        <w:t xml:space="preserve"> kinase activity is retained in the pharmacological approach. </w:t>
      </w:r>
    </w:p>
    <w:p w14:paraId="19AE94B0" w14:textId="618A66E2" w:rsidR="00654CB9" w:rsidRDefault="00654CB9" w:rsidP="00654CB9">
      <w:pPr>
        <w:ind w:firstLine="720"/>
        <w:rPr>
          <w:rFonts w:cs="Times New Roman"/>
          <w:szCs w:val="24"/>
        </w:rPr>
      </w:pPr>
      <w:r w:rsidRPr="00654CB9">
        <w:rPr>
          <w:rFonts w:cs="Times New Roman"/>
          <w:b/>
          <w:szCs w:val="24"/>
        </w:rPr>
        <w:t xml:space="preserve">Compound </w:t>
      </w:r>
      <w:r w:rsidRPr="00654CB9">
        <w:rPr>
          <w:rFonts w:cs="Times New Roman"/>
          <w:b/>
          <w:bCs/>
          <w:i/>
          <w:iCs/>
          <w:color w:val="000000"/>
          <w:szCs w:val="24"/>
          <w:shd w:val="clear" w:color="auto" w:fill="FFFFFF"/>
        </w:rPr>
        <w:t>2.</w:t>
      </w:r>
      <w:r w:rsidRPr="00654CB9">
        <w:rPr>
          <w:rFonts w:cs="Times New Roman"/>
          <w:b/>
          <w:szCs w:val="24"/>
        </w:rPr>
        <w:t xml:space="preserve">26 causes </w:t>
      </w:r>
      <w:proofErr w:type="spellStart"/>
      <w:r w:rsidRPr="00654CB9">
        <w:rPr>
          <w:rFonts w:cs="Times New Roman"/>
          <w:b/>
          <w:szCs w:val="24"/>
        </w:rPr>
        <w:t>CpxR</w:t>
      </w:r>
      <w:proofErr w:type="spellEnd"/>
      <w:r w:rsidRPr="00654CB9">
        <w:rPr>
          <w:rFonts w:cs="Times New Roman"/>
          <w:b/>
          <w:szCs w:val="24"/>
        </w:rPr>
        <w:t xml:space="preserve">-P accumulation in CFT073 cultured in human urine. </w:t>
      </w:r>
      <w:r w:rsidRPr="00654CB9">
        <w:rPr>
          <w:rFonts w:cs="Times New Roman"/>
          <w:color w:val="000000"/>
          <w:szCs w:val="24"/>
          <w:shd w:val="clear" w:color="auto" w:fill="FFFFFF"/>
        </w:rPr>
        <w:t xml:space="preserve">After confirming the ability of compound </w:t>
      </w:r>
      <w:r w:rsidRPr="00654CB9">
        <w:rPr>
          <w:rFonts w:cs="Times New Roman"/>
          <w:b/>
          <w:bCs/>
          <w:color w:val="000000"/>
          <w:szCs w:val="24"/>
          <w:shd w:val="clear" w:color="auto" w:fill="FFFFFF"/>
        </w:rPr>
        <w:t>2.23</w:t>
      </w:r>
      <w:r w:rsidRPr="00654CB9">
        <w:rPr>
          <w:rFonts w:cs="Times New Roman"/>
          <w:color w:val="000000"/>
          <w:szCs w:val="24"/>
          <w:shd w:val="clear" w:color="auto" w:fill="FFFFFF"/>
        </w:rPr>
        <w:t xml:space="preserve"> to modulate </w:t>
      </w:r>
      <w:proofErr w:type="spellStart"/>
      <w:r w:rsidRPr="00654CB9">
        <w:rPr>
          <w:rFonts w:cs="Times New Roman"/>
          <w:color w:val="000000"/>
          <w:szCs w:val="24"/>
          <w:shd w:val="clear" w:color="auto" w:fill="FFFFFF"/>
        </w:rPr>
        <w:t>CpxR</w:t>
      </w:r>
      <w:proofErr w:type="spellEnd"/>
      <w:r w:rsidRPr="00654CB9">
        <w:rPr>
          <w:rFonts w:cs="Times New Roman"/>
          <w:color w:val="000000"/>
          <w:szCs w:val="24"/>
          <w:shd w:val="clear" w:color="auto" w:fill="FFFFFF"/>
        </w:rPr>
        <w:t xml:space="preserve">-P accumulation in the UPEC cell models, we extended the evaluation to its difluoro analog </w:t>
      </w:r>
      <w:r w:rsidRPr="00654CB9">
        <w:rPr>
          <w:rFonts w:cs="Times New Roman"/>
          <w:b/>
          <w:bCs/>
          <w:color w:val="000000"/>
          <w:szCs w:val="24"/>
          <w:shd w:val="clear" w:color="auto" w:fill="FFFFFF"/>
        </w:rPr>
        <w:t>2.26</w:t>
      </w:r>
      <w:r w:rsidRPr="00654CB9">
        <w:rPr>
          <w:rFonts w:cs="Times New Roman"/>
          <w:color w:val="000000"/>
          <w:szCs w:val="24"/>
          <w:shd w:val="clear" w:color="auto" w:fill="FFFFFF"/>
        </w:rPr>
        <w:t>, which had a mean EC</w:t>
      </w:r>
      <w:r w:rsidRPr="00654CB9">
        <w:rPr>
          <w:rFonts w:cs="Times New Roman"/>
          <w:color w:val="000000"/>
          <w:szCs w:val="24"/>
          <w:shd w:val="clear" w:color="auto" w:fill="FFFFFF"/>
          <w:vertAlign w:val="subscript"/>
        </w:rPr>
        <w:t>50</w:t>
      </w:r>
      <w:r w:rsidRPr="00654CB9">
        <w:rPr>
          <w:rFonts w:cs="Times New Roman"/>
          <w:color w:val="000000"/>
          <w:szCs w:val="24"/>
          <w:shd w:val="clear" w:color="auto" w:fill="FFFFFF"/>
        </w:rPr>
        <w:t xml:space="preserve"> value (1.1 µM) that was ~3-fold lower than </w:t>
      </w:r>
      <w:r w:rsidRPr="00654CB9">
        <w:rPr>
          <w:rFonts w:cs="Times New Roman"/>
          <w:b/>
          <w:bCs/>
          <w:color w:val="000000"/>
          <w:szCs w:val="24"/>
          <w:shd w:val="clear" w:color="auto" w:fill="FFFFFF"/>
        </w:rPr>
        <w:t>2.23</w:t>
      </w:r>
      <w:r w:rsidRPr="00654CB9">
        <w:rPr>
          <w:rFonts w:cs="Times New Roman"/>
          <w:color w:val="000000"/>
          <w:szCs w:val="24"/>
          <w:shd w:val="clear" w:color="auto" w:fill="FFFFFF"/>
        </w:rPr>
        <w:t xml:space="preserve">. Similar to the Phos-Tag methodology described above, we evaluated the ability of </w:t>
      </w:r>
      <w:r w:rsidRPr="00654CB9">
        <w:rPr>
          <w:rFonts w:cs="Times New Roman"/>
          <w:b/>
          <w:bCs/>
          <w:color w:val="000000"/>
          <w:szCs w:val="24"/>
          <w:shd w:val="clear" w:color="auto" w:fill="FFFFFF"/>
        </w:rPr>
        <w:t>2.</w:t>
      </w:r>
      <w:r w:rsidRPr="00654CB9">
        <w:rPr>
          <w:rFonts w:cs="Times New Roman"/>
          <w:b/>
          <w:color w:val="000000"/>
          <w:szCs w:val="24"/>
          <w:shd w:val="clear" w:color="auto" w:fill="FFFFFF"/>
        </w:rPr>
        <w:t>26</w:t>
      </w:r>
      <w:r w:rsidRPr="00654CB9">
        <w:rPr>
          <w:rFonts w:cs="Times New Roman"/>
          <w:color w:val="000000"/>
          <w:szCs w:val="24"/>
          <w:shd w:val="clear" w:color="auto" w:fill="FFFFFF"/>
        </w:rPr>
        <w:t xml:space="preserve"> to inhibit </w:t>
      </w:r>
      <w:proofErr w:type="spellStart"/>
      <w:r w:rsidRPr="00654CB9">
        <w:rPr>
          <w:rFonts w:cs="Times New Roman"/>
          <w:color w:val="000000"/>
          <w:szCs w:val="24"/>
          <w:shd w:val="clear" w:color="auto" w:fill="FFFFFF"/>
        </w:rPr>
        <w:t>CpxA</w:t>
      </w:r>
      <w:proofErr w:type="spellEnd"/>
      <w:r w:rsidRPr="00654CB9">
        <w:rPr>
          <w:rFonts w:cs="Times New Roman"/>
          <w:color w:val="000000"/>
          <w:szCs w:val="24"/>
          <w:shd w:val="clear" w:color="auto" w:fill="FFFFFF"/>
        </w:rPr>
        <w:t xml:space="preserve"> phosphatase activity in human urine samples, </w:t>
      </w:r>
      <w:r w:rsidRPr="00654CB9">
        <w:rPr>
          <w:rFonts w:cs="Times New Roman"/>
          <w:color w:val="000000"/>
          <w:szCs w:val="24"/>
          <w:shd w:val="clear" w:color="auto" w:fill="FFFFFF"/>
        </w:rPr>
        <w:lastRenderedPageBreak/>
        <w:t xml:space="preserve">which are absent of glucose. </w:t>
      </w:r>
      <w:r w:rsidRPr="00654CB9">
        <w:rPr>
          <w:rFonts w:cs="Times New Roman"/>
          <w:szCs w:val="24"/>
        </w:rPr>
        <w:t xml:space="preserve">We chose 150 </w:t>
      </w:r>
      <w:proofErr w:type="spellStart"/>
      <w:r w:rsidRPr="00654CB9">
        <w:rPr>
          <w:rFonts w:ascii="Calibri" w:hAnsi="Calibri" w:cs="Calibri"/>
          <w:szCs w:val="24"/>
        </w:rPr>
        <w:t>μ</w:t>
      </w:r>
      <w:r w:rsidRPr="00654CB9">
        <w:rPr>
          <w:rFonts w:cs="Times New Roman"/>
          <w:szCs w:val="24"/>
        </w:rPr>
        <w:t>M</w:t>
      </w:r>
      <w:proofErr w:type="spellEnd"/>
      <w:r w:rsidRPr="00654CB9">
        <w:rPr>
          <w:rFonts w:cs="Times New Roman"/>
          <w:szCs w:val="24"/>
        </w:rPr>
        <w:t xml:space="preserve"> as this was the approximate trough concentration of compound </w:t>
      </w:r>
      <w:r w:rsidRPr="00654CB9">
        <w:rPr>
          <w:rFonts w:cs="Times New Roman"/>
          <w:b/>
          <w:bCs/>
          <w:i/>
          <w:iCs/>
          <w:color w:val="000000"/>
          <w:szCs w:val="24"/>
          <w:shd w:val="clear" w:color="auto" w:fill="FFFFFF"/>
        </w:rPr>
        <w:t>2.</w:t>
      </w:r>
      <w:r w:rsidRPr="00654CB9">
        <w:rPr>
          <w:rFonts w:cs="Times New Roman"/>
          <w:b/>
          <w:bCs/>
          <w:szCs w:val="24"/>
        </w:rPr>
        <w:t>6</w:t>
      </w:r>
      <w:r w:rsidRPr="00654CB9">
        <w:rPr>
          <w:rFonts w:cs="Times New Roman"/>
          <w:szCs w:val="24"/>
        </w:rPr>
        <w:t xml:space="preserve"> detected in murine urine after 3 days of treatment. Compound </w:t>
      </w:r>
      <w:r w:rsidRPr="00654CB9">
        <w:rPr>
          <w:rFonts w:cs="Times New Roman"/>
          <w:b/>
          <w:bCs/>
          <w:i/>
          <w:iCs/>
          <w:color w:val="000000"/>
          <w:szCs w:val="24"/>
          <w:shd w:val="clear" w:color="auto" w:fill="FFFFFF"/>
        </w:rPr>
        <w:t>2.</w:t>
      </w:r>
      <w:r w:rsidRPr="00654CB9">
        <w:rPr>
          <w:rFonts w:cs="Times New Roman"/>
          <w:b/>
          <w:bCs/>
          <w:szCs w:val="24"/>
        </w:rPr>
        <w:t>26-</w:t>
      </w:r>
      <w:r w:rsidRPr="00654CB9">
        <w:rPr>
          <w:rFonts w:cs="Times New Roman"/>
          <w:szCs w:val="24"/>
        </w:rPr>
        <w:t xml:space="preserve">treated WT (CFT073) induced accumulation of </w:t>
      </w:r>
      <w:proofErr w:type="spellStart"/>
      <w:r w:rsidRPr="00654CB9">
        <w:rPr>
          <w:rFonts w:cs="Times New Roman"/>
          <w:szCs w:val="24"/>
        </w:rPr>
        <w:t>CpxR</w:t>
      </w:r>
      <w:proofErr w:type="spellEnd"/>
      <w:r w:rsidRPr="00654CB9">
        <w:rPr>
          <w:rFonts w:cs="Times New Roman"/>
          <w:szCs w:val="24"/>
        </w:rPr>
        <w:t xml:space="preserve">-P that was higher than that of the untreated WT and </w:t>
      </w:r>
      <w:proofErr w:type="spellStart"/>
      <w:r w:rsidRPr="00654CB9">
        <w:rPr>
          <w:rFonts w:cs="Times New Roman"/>
          <w:i/>
          <w:iCs/>
          <w:szCs w:val="24"/>
        </w:rPr>
        <w:t>ΔcpxA</w:t>
      </w:r>
      <w:proofErr w:type="spellEnd"/>
      <w:r w:rsidRPr="00654CB9">
        <w:rPr>
          <w:rFonts w:cs="Times New Roman"/>
          <w:szCs w:val="24"/>
        </w:rPr>
        <w:t xml:space="preserve"> mutant (CFT073</w:t>
      </w:r>
      <w:r w:rsidRPr="00654CB9">
        <w:rPr>
          <w:rFonts w:cs="Times New Roman"/>
          <w:szCs w:val="24"/>
        </w:rPr>
        <w:sym w:font="Symbol" w:char="F044"/>
      </w:r>
      <w:proofErr w:type="spellStart"/>
      <w:proofErr w:type="gramStart"/>
      <w:r w:rsidRPr="00654CB9">
        <w:rPr>
          <w:rFonts w:cs="Times New Roman"/>
          <w:i/>
          <w:iCs/>
          <w:szCs w:val="24"/>
        </w:rPr>
        <w:t>cpxA</w:t>
      </w:r>
      <w:proofErr w:type="spellEnd"/>
      <w:r w:rsidRPr="00654CB9">
        <w:rPr>
          <w:rFonts w:cs="Times New Roman"/>
          <w:szCs w:val="24"/>
        </w:rPr>
        <w:t>::</w:t>
      </w:r>
      <w:proofErr w:type="gramEnd"/>
      <w:r w:rsidRPr="00654CB9">
        <w:rPr>
          <w:rFonts w:cs="Times New Roman"/>
          <w:i/>
          <w:iCs/>
          <w:szCs w:val="24"/>
        </w:rPr>
        <w:t>cat</w:t>
      </w:r>
      <w:r w:rsidRPr="00654CB9">
        <w:rPr>
          <w:rFonts w:cs="Times New Roman"/>
          <w:szCs w:val="24"/>
        </w:rPr>
        <w:t>) controls (</w:t>
      </w:r>
      <w:r w:rsidRPr="00654CB9">
        <w:rPr>
          <w:rFonts w:cs="Times New Roman"/>
          <w:b/>
          <w:bCs/>
          <w:szCs w:val="24"/>
        </w:rPr>
        <w:fldChar w:fldCharType="begin"/>
      </w:r>
      <w:r w:rsidRPr="00654CB9">
        <w:rPr>
          <w:rFonts w:cs="Times New Roman"/>
          <w:b/>
          <w:bCs/>
          <w:szCs w:val="24"/>
        </w:rPr>
        <w:instrText xml:space="preserve"> REF _Ref88237485 \h  \* MERGEFORMAT </w:instrText>
      </w:r>
      <w:r w:rsidRPr="00654CB9">
        <w:rPr>
          <w:rFonts w:cs="Times New Roman"/>
          <w:b/>
          <w:bCs/>
          <w:szCs w:val="24"/>
        </w:rPr>
      </w:r>
      <w:r w:rsidRPr="00654CB9">
        <w:rPr>
          <w:rFonts w:cs="Times New Roman"/>
          <w:b/>
          <w:bCs/>
          <w:szCs w:val="24"/>
        </w:rPr>
        <w:fldChar w:fldCharType="separate"/>
      </w:r>
      <w:r w:rsidR="00AA5AAC" w:rsidRPr="00AA5AAC">
        <w:rPr>
          <w:rFonts w:cs="Times New Roman"/>
          <w:b/>
          <w:bCs/>
          <w:szCs w:val="24"/>
        </w:rPr>
        <w:t xml:space="preserve">Figure </w:t>
      </w:r>
      <w:r w:rsidR="00AA5AAC" w:rsidRPr="00AA5AAC">
        <w:rPr>
          <w:rFonts w:cs="Times New Roman"/>
          <w:b/>
          <w:bCs/>
          <w:color w:val="000000"/>
          <w:szCs w:val="24"/>
          <w:shd w:val="clear" w:color="auto" w:fill="FFFFFF"/>
        </w:rPr>
        <w:t>2.10</w:t>
      </w:r>
      <w:r w:rsidRPr="00654CB9">
        <w:rPr>
          <w:rFonts w:cs="Times New Roman"/>
          <w:b/>
          <w:bCs/>
          <w:szCs w:val="24"/>
        </w:rPr>
        <w:fldChar w:fldCharType="end"/>
      </w:r>
      <w:r w:rsidRPr="00654CB9">
        <w:rPr>
          <w:rFonts w:cs="Times New Roman"/>
          <w:b/>
          <w:bCs/>
          <w:szCs w:val="24"/>
        </w:rPr>
        <w:t>C</w:t>
      </w:r>
      <w:r w:rsidRPr="00654CB9">
        <w:rPr>
          <w:rFonts w:cs="Times New Roman"/>
          <w:szCs w:val="24"/>
        </w:rPr>
        <w:t xml:space="preserve">). Consistent with the fact that </w:t>
      </w:r>
      <w:proofErr w:type="spellStart"/>
      <w:r w:rsidRPr="00654CB9">
        <w:rPr>
          <w:rFonts w:cs="Times New Roman"/>
          <w:szCs w:val="24"/>
        </w:rPr>
        <w:t>CpxR</w:t>
      </w:r>
      <w:proofErr w:type="spellEnd"/>
      <w:r w:rsidRPr="00654CB9">
        <w:rPr>
          <w:rFonts w:cs="Times New Roman"/>
          <w:szCs w:val="24"/>
        </w:rPr>
        <w:t xml:space="preserve">-P positively increases </w:t>
      </w:r>
      <w:proofErr w:type="spellStart"/>
      <w:r w:rsidRPr="00654CB9">
        <w:rPr>
          <w:rFonts w:cs="Times New Roman"/>
          <w:i/>
          <w:szCs w:val="24"/>
        </w:rPr>
        <w:t>cpxR</w:t>
      </w:r>
      <w:proofErr w:type="spellEnd"/>
      <w:r w:rsidRPr="00654CB9">
        <w:rPr>
          <w:rFonts w:cs="Times New Roman"/>
          <w:i/>
          <w:szCs w:val="24"/>
        </w:rPr>
        <w:t xml:space="preserve"> </w:t>
      </w:r>
      <w:r w:rsidRPr="00654CB9">
        <w:rPr>
          <w:rFonts w:cs="Times New Roman"/>
          <w:szCs w:val="24"/>
        </w:rPr>
        <w:t xml:space="preserve">transcription, total </w:t>
      </w:r>
      <w:proofErr w:type="spellStart"/>
      <w:r w:rsidRPr="00654CB9">
        <w:rPr>
          <w:rFonts w:cs="Times New Roman"/>
          <w:szCs w:val="24"/>
        </w:rPr>
        <w:t>CpxR</w:t>
      </w:r>
      <w:proofErr w:type="spellEnd"/>
      <w:r w:rsidRPr="00654CB9">
        <w:rPr>
          <w:rFonts w:cs="Times New Roman"/>
          <w:szCs w:val="24"/>
        </w:rPr>
        <w:t xml:space="preserve"> levels were higher in compound </w:t>
      </w:r>
      <w:r w:rsidRPr="00654CB9">
        <w:rPr>
          <w:rFonts w:cs="Times New Roman"/>
          <w:b/>
          <w:bCs/>
          <w:i/>
          <w:iCs/>
          <w:color w:val="000000"/>
          <w:szCs w:val="24"/>
          <w:shd w:val="clear" w:color="auto" w:fill="FFFFFF"/>
        </w:rPr>
        <w:t>2.</w:t>
      </w:r>
      <w:r w:rsidRPr="00654CB9">
        <w:rPr>
          <w:rFonts w:cs="Times New Roman"/>
          <w:b/>
          <w:bCs/>
          <w:szCs w:val="24"/>
        </w:rPr>
        <w:t>26</w:t>
      </w:r>
      <w:r w:rsidRPr="00654CB9">
        <w:rPr>
          <w:rFonts w:cs="Times New Roman"/>
          <w:szCs w:val="24"/>
        </w:rPr>
        <w:t xml:space="preserve">-treated WT than in the WT and </w:t>
      </w:r>
      <w:proofErr w:type="spellStart"/>
      <w:r w:rsidRPr="00654CB9">
        <w:rPr>
          <w:rFonts w:cs="Times New Roman"/>
          <w:i/>
          <w:iCs/>
          <w:szCs w:val="24"/>
        </w:rPr>
        <w:t>ΔcpxA</w:t>
      </w:r>
      <w:proofErr w:type="spellEnd"/>
      <w:r w:rsidRPr="00654CB9">
        <w:rPr>
          <w:rFonts w:cs="Times New Roman"/>
          <w:szCs w:val="24"/>
        </w:rPr>
        <w:t xml:space="preserve"> mutant controls. As expected, CFT073</w:t>
      </w:r>
      <w:r w:rsidRPr="00654CB9">
        <w:rPr>
          <w:rFonts w:cs="Times New Roman"/>
          <w:szCs w:val="24"/>
        </w:rPr>
        <w:sym w:font="Symbol" w:char="F044"/>
      </w:r>
      <w:proofErr w:type="spellStart"/>
      <w:proofErr w:type="gramStart"/>
      <w:r w:rsidRPr="00654CB9">
        <w:rPr>
          <w:rFonts w:cs="Times New Roman"/>
          <w:i/>
          <w:iCs/>
          <w:szCs w:val="24"/>
        </w:rPr>
        <w:t>cpxA</w:t>
      </w:r>
      <w:proofErr w:type="spellEnd"/>
      <w:r w:rsidRPr="00654CB9">
        <w:rPr>
          <w:rFonts w:cs="Times New Roman"/>
          <w:szCs w:val="24"/>
        </w:rPr>
        <w:t>::</w:t>
      </w:r>
      <w:proofErr w:type="gramEnd"/>
      <w:r w:rsidRPr="00654CB9">
        <w:rPr>
          <w:rFonts w:cs="Times New Roman"/>
          <w:i/>
          <w:iCs/>
          <w:szCs w:val="24"/>
        </w:rPr>
        <w:t>cat</w:t>
      </w:r>
      <w:r w:rsidRPr="00654CB9">
        <w:rPr>
          <w:rFonts w:cs="Times New Roman"/>
          <w:szCs w:val="24"/>
        </w:rPr>
        <w:t xml:space="preserve"> failed to increase expression of </w:t>
      </w:r>
      <w:proofErr w:type="spellStart"/>
      <w:r w:rsidRPr="00654CB9">
        <w:rPr>
          <w:rFonts w:cs="Times New Roman"/>
          <w:szCs w:val="24"/>
        </w:rPr>
        <w:t>CpxR</w:t>
      </w:r>
      <w:proofErr w:type="spellEnd"/>
      <w:r w:rsidRPr="00654CB9">
        <w:rPr>
          <w:rFonts w:cs="Times New Roman"/>
          <w:szCs w:val="24"/>
        </w:rPr>
        <w:t xml:space="preserve"> or </w:t>
      </w:r>
      <w:proofErr w:type="spellStart"/>
      <w:r w:rsidRPr="00654CB9">
        <w:rPr>
          <w:rFonts w:cs="Times New Roman"/>
          <w:szCs w:val="24"/>
        </w:rPr>
        <w:t>CpxR</w:t>
      </w:r>
      <w:proofErr w:type="spellEnd"/>
      <w:r w:rsidRPr="00654CB9">
        <w:rPr>
          <w:rFonts w:cs="Times New Roman"/>
          <w:szCs w:val="24"/>
        </w:rPr>
        <w:t>-P because urine lacks glucose, which is needed for the formation of acetyl phosphate.</w:t>
      </w:r>
    </w:p>
    <w:p w14:paraId="0ACEAAB6" w14:textId="2A0C454A" w:rsidR="00D86FFB" w:rsidRPr="00654CB9" w:rsidRDefault="00D86FFB" w:rsidP="00D86FFB">
      <w:pPr>
        <w:ind w:firstLine="720"/>
        <w:rPr>
          <w:rFonts w:cs="Times New Roman"/>
          <w:szCs w:val="24"/>
        </w:rPr>
      </w:pPr>
      <w:r w:rsidRPr="00654CB9">
        <w:rPr>
          <w:rFonts w:cs="Times New Roman"/>
          <w:szCs w:val="24"/>
        </w:rPr>
        <w:t xml:space="preserve">Compound </w:t>
      </w:r>
      <w:r w:rsidRPr="00654CB9">
        <w:rPr>
          <w:rFonts w:cs="Times New Roman"/>
          <w:b/>
          <w:bCs/>
          <w:szCs w:val="24"/>
        </w:rPr>
        <w:t>2.26</w:t>
      </w:r>
      <w:r w:rsidRPr="00654CB9">
        <w:rPr>
          <w:rFonts w:cs="Times New Roman"/>
          <w:szCs w:val="24"/>
        </w:rPr>
        <w:t xml:space="preserve"> increased the ratio of </w:t>
      </w:r>
      <w:proofErr w:type="spellStart"/>
      <w:r w:rsidRPr="00654CB9">
        <w:rPr>
          <w:rFonts w:cs="Times New Roman"/>
          <w:szCs w:val="24"/>
        </w:rPr>
        <w:t>CpxR</w:t>
      </w:r>
      <w:proofErr w:type="spellEnd"/>
      <w:r w:rsidRPr="00654CB9">
        <w:rPr>
          <w:rFonts w:cs="Times New Roman"/>
          <w:szCs w:val="24"/>
        </w:rPr>
        <w:t xml:space="preserve">-P to </w:t>
      </w:r>
      <w:proofErr w:type="spellStart"/>
      <w:r w:rsidRPr="00654CB9">
        <w:rPr>
          <w:rFonts w:cs="Times New Roman"/>
          <w:szCs w:val="24"/>
        </w:rPr>
        <w:t>CpxR</w:t>
      </w:r>
      <w:proofErr w:type="spellEnd"/>
      <w:r w:rsidRPr="00654CB9">
        <w:rPr>
          <w:rFonts w:cs="Times New Roman"/>
          <w:szCs w:val="24"/>
        </w:rPr>
        <w:t xml:space="preserve"> in CFT073 by 1.3- (P &lt; 0.002) and 1.4- (</w:t>
      </w:r>
      <w:r w:rsidRPr="00654CB9">
        <w:rPr>
          <w:rFonts w:cs="Times New Roman"/>
          <w:iCs/>
          <w:szCs w:val="24"/>
        </w:rPr>
        <w:t>P</w:t>
      </w:r>
      <w:r w:rsidRPr="00654CB9">
        <w:rPr>
          <w:rFonts w:cs="Times New Roman"/>
          <w:szCs w:val="24"/>
        </w:rPr>
        <w:t xml:space="preserve"> &lt; 0.001) fold, respectively, compared to the CFT073 and CFT073</w:t>
      </w:r>
      <w:r w:rsidRPr="00654CB9">
        <w:rPr>
          <w:rFonts w:cs="Times New Roman"/>
          <w:szCs w:val="24"/>
        </w:rPr>
        <w:sym w:font="Symbol" w:char="F044"/>
      </w:r>
      <w:proofErr w:type="spellStart"/>
      <w:proofErr w:type="gramStart"/>
      <w:r w:rsidRPr="00654CB9">
        <w:rPr>
          <w:rFonts w:cs="Times New Roman"/>
          <w:i/>
          <w:iCs/>
          <w:szCs w:val="24"/>
        </w:rPr>
        <w:t>cpxA</w:t>
      </w:r>
      <w:proofErr w:type="spellEnd"/>
      <w:r w:rsidRPr="00654CB9">
        <w:rPr>
          <w:rFonts w:cs="Times New Roman"/>
          <w:szCs w:val="24"/>
        </w:rPr>
        <w:t>::</w:t>
      </w:r>
      <w:proofErr w:type="gramEnd"/>
      <w:r w:rsidRPr="00654CB9">
        <w:rPr>
          <w:rFonts w:cs="Times New Roman"/>
          <w:i/>
          <w:iCs/>
          <w:szCs w:val="24"/>
        </w:rPr>
        <w:t>cat</w:t>
      </w:r>
      <w:r w:rsidRPr="00654CB9">
        <w:rPr>
          <w:rFonts w:cs="Times New Roman"/>
          <w:szCs w:val="24"/>
        </w:rPr>
        <w:t xml:space="preserve"> controls (</w:t>
      </w:r>
      <w:r w:rsidRPr="00654CB9">
        <w:rPr>
          <w:rFonts w:cs="Times New Roman"/>
          <w:b/>
          <w:bCs/>
          <w:szCs w:val="24"/>
        </w:rPr>
        <w:fldChar w:fldCharType="begin"/>
      </w:r>
      <w:r w:rsidRPr="00654CB9">
        <w:rPr>
          <w:rFonts w:cs="Times New Roman"/>
          <w:b/>
          <w:bCs/>
          <w:szCs w:val="24"/>
        </w:rPr>
        <w:instrText xml:space="preserve"> REF _Ref88237485 \h  \* MERGEFORMAT </w:instrText>
      </w:r>
      <w:r w:rsidRPr="00654CB9">
        <w:rPr>
          <w:rFonts w:cs="Times New Roman"/>
          <w:b/>
          <w:bCs/>
          <w:szCs w:val="24"/>
        </w:rPr>
      </w:r>
      <w:r w:rsidRPr="00654CB9">
        <w:rPr>
          <w:rFonts w:cs="Times New Roman"/>
          <w:b/>
          <w:bCs/>
          <w:szCs w:val="24"/>
        </w:rPr>
        <w:fldChar w:fldCharType="separate"/>
      </w:r>
      <w:r w:rsidR="00AA5AAC" w:rsidRPr="00AA5AAC">
        <w:rPr>
          <w:rFonts w:cs="Times New Roman"/>
          <w:b/>
          <w:bCs/>
          <w:szCs w:val="24"/>
        </w:rPr>
        <w:t>Figure 2.10</w:t>
      </w:r>
      <w:r w:rsidRPr="00654CB9">
        <w:rPr>
          <w:rFonts w:cs="Times New Roman"/>
          <w:b/>
          <w:bCs/>
          <w:szCs w:val="24"/>
        </w:rPr>
        <w:fldChar w:fldCharType="end"/>
      </w:r>
      <w:r w:rsidRPr="00654CB9">
        <w:rPr>
          <w:rFonts w:cs="Times New Roman"/>
          <w:b/>
          <w:bCs/>
          <w:szCs w:val="24"/>
        </w:rPr>
        <w:t>D</w:t>
      </w:r>
      <w:r w:rsidRPr="00654CB9">
        <w:rPr>
          <w:rFonts w:cs="Times New Roman"/>
          <w:szCs w:val="24"/>
        </w:rPr>
        <w:t xml:space="preserve">). These data suggest that treatment of CFT073 by </w:t>
      </w:r>
      <w:r w:rsidRPr="00654CB9">
        <w:rPr>
          <w:rFonts w:cs="Times New Roman"/>
          <w:b/>
          <w:bCs/>
          <w:szCs w:val="24"/>
        </w:rPr>
        <w:t>2.26</w:t>
      </w:r>
      <w:r w:rsidRPr="00654CB9">
        <w:rPr>
          <w:rFonts w:cs="Times New Roman"/>
          <w:szCs w:val="24"/>
        </w:rPr>
        <w:t xml:space="preserve"> does not inhibit bacterial growth and fosters production of </w:t>
      </w:r>
      <w:proofErr w:type="spellStart"/>
      <w:r w:rsidRPr="00654CB9">
        <w:rPr>
          <w:rFonts w:cs="Times New Roman"/>
          <w:szCs w:val="24"/>
        </w:rPr>
        <w:t>CpxR</w:t>
      </w:r>
      <w:proofErr w:type="spellEnd"/>
      <w:r w:rsidRPr="00654CB9">
        <w:rPr>
          <w:rFonts w:cs="Times New Roman"/>
          <w:szCs w:val="24"/>
        </w:rPr>
        <w:t xml:space="preserve"> and accumulation of </w:t>
      </w:r>
      <w:proofErr w:type="spellStart"/>
      <w:r w:rsidRPr="00654CB9">
        <w:rPr>
          <w:rFonts w:cs="Times New Roman"/>
          <w:szCs w:val="24"/>
        </w:rPr>
        <w:t>CpxR</w:t>
      </w:r>
      <w:proofErr w:type="spellEnd"/>
      <w:r w:rsidRPr="00654CB9">
        <w:rPr>
          <w:rFonts w:cs="Times New Roman"/>
          <w:szCs w:val="24"/>
        </w:rPr>
        <w:t xml:space="preserve">-P, and that </w:t>
      </w:r>
      <w:proofErr w:type="spellStart"/>
      <w:r w:rsidRPr="00654CB9">
        <w:rPr>
          <w:rFonts w:cs="Times New Roman"/>
          <w:szCs w:val="24"/>
        </w:rPr>
        <w:t>CpxA</w:t>
      </w:r>
      <w:proofErr w:type="spellEnd"/>
      <w:r w:rsidRPr="00654CB9">
        <w:rPr>
          <w:rFonts w:cs="Times New Roman"/>
          <w:szCs w:val="24"/>
        </w:rPr>
        <w:t xml:space="preserve"> acts as a net kinase during growth in human urine. </w:t>
      </w:r>
    </w:p>
    <w:p w14:paraId="598AEA12" w14:textId="77777777" w:rsidR="00654CB9" w:rsidRPr="00654CB9" w:rsidRDefault="00654CB9" w:rsidP="00654CB9">
      <w:pPr>
        <w:rPr>
          <w:rFonts w:cs="Times New Roman"/>
          <w:szCs w:val="24"/>
        </w:rPr>
      </w:pPr>
      <w:r w:rsidRPr="00654CB9">
        <w:rPr>
          <w:rFonts w:cs="Times New Roman"/>
          <w:b/>
          <w:bCs/>
          <w:iCs/>
          <w:noProof/>
          <w:color w:val="000000"/>
          <w:sz w:val="22"/>
          <w:shd w:val="clear" w:color="auto" w:fill="FFFFFF"/>
        </w:rPr>
        <w:lastRenderedPageBreak/>
        <mc:AlternateContent>
          <mc:Choice Requires="wps">
            <w:drawing>
              <wp:inline distT="0" distB="0" distL="0" distR="0" wp14:anchorId="5735ECCB" wp14:editId="0DBDE9B3">
                <wp:extent cx="5943600" cy="6019137"/>
                <wp:effectExtent l="0" t="0" r="19050" b="20320"/>
                <wp:docPr id="19" name="Text Box 2" descr="Composite representative Western blot of His6CpxR incubated with 0 or 20 mM AcP, and the ΔcpxA mutant and WT grown in media with 0.4% glucose and 0 or 10 μM compound 2.23.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19137"/>
                        </a:xfrm>
                        <a:prstGeom prst="rect">
                          <a:avLst/>
                        </a:prstGeom>
                        <a:solidFill>
                          <a:srgbClr val="FFFFFF"/>
                        </a:solidFill>
                        <a:ln w="9525">
                          <a:solidFill>
                            <a:srgbClr val="000000"/>
                          </a:solidFill>
                          <a:miter lim="800000"/>
                          <a:headEnd/>
                          <a:tailEnd/>
                        </a:ln>
                      </wps:spPr>
                      <wps:txbx>
                        <w:txbxContent>
                          <w:p w14:paraId="6F4254B7" w14:textId="77777777" w:rsidR="00654CB9" w:rsidRDefault="00654CB9" w:rsidP="00654CB9">
                            <w:pPr>
                              <w:keepNext/>
                            </w:pPr>
                            <w:r>
                              <w:rPr>
                                <w:noProof/>
                              </w:rPr>
                              <w:drawing>
                                <wp:inline distT="0" distB="0" distL="0" distR="0" wp14:anchorId="74D6B485" wp14:editId="2F4C8556">
                                  <wp:extent cx="5751830" cy="3583305"/>
                                  <wp:effectExtent l="0" t="0" r="1270" b="0"/>
                                  <wp:docPr id="53" name="Picture 53" descr="Composite representative Western blot of His6CpxR incubated with 0 or 20 mM AcP, and the ΔcpxA mutant and WT grown in media with 0.4% glucose and 0 or 10 μM compound 2.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omposite representative Western blot of His6CpxR incubated with 0 or 20 mM AcP, and the ΔcpxA mutant and WT grown in media with 0.4% glucose and 0 or 10 μM compound 2.23. "/>
                                          <pic:cNvPicPr/>
                                        </pic:nvPicPr>
                                        <pic:blipFill>
                                          <a:blip r:embed="rId120">
                                            <a:extLst>
                                              <a:ext uri="{28A0092B-C50C-407E-A947-70E740481C1C}">
                                                <a14:useLocalDpi xmlns:a14="http://schemas.microsoft.com/office/drawing/2010/main" val="0"/>
                                              </a:ext>
                                            </a:extLst>
                                          </a:blip>
                                          <a:stretch>
                                            <a:fillRect/>
                                          </a:stretch>
                                        </pic:blipFill>
                                        <pic:spPr>
                                          <a:xfrm>
                                            <a:off x="0" y="0"/>
                                            <a:ext cx="5751830" cy="3583305"/>
                                          </a:xfrm>
                                          <a:prstGeom prst="rect">
                                            <a:avLst/>
                                          </a:prstGeom>
                                        </pic:spPr>
                                      </pic:pic>
                                    </a:graphicData>
                                  </a:graphic>
                                </wp:inline>
                              </w:drawing>
                            </w:r>
                          </w:p>
                          <w:p w14:paraId="5EB8DD5A" w14:textId="28F23319" w:rsidR="00654CB9" w:rsidRDefault="00654CB9" w:rsidP="00DF51F5">
                            <w:pPr>
                              <w:pStyle w:val="Caption"/>
                              <w:rPr>
                                <w:iCs/>
                                <w:shd w:val="clear" w:color="auto" w:fill="FFFFFF"/>
                              </w:rPr>
                            </w:pPr>
                            <w:bookmarkStart w:id="177" w:name="_Ref88237485"/>
                            <w:bookmarkStart w:id="178" w:name="_Toc97309255"/>
                            <w:bookmarkStart w:id="179" w:name="_Toc100748304"/>
                            <w:r>
                              <w:t>Figure 2.</w:t>
                            </w:r>
                            <w:fldSimple w:instr=" SEQ Figure \* ARABIC ">
                              <w:r w:rsidR="00AA5AAC">
                                <w:rPr>
                                  <w:noProof/>
                                </w:rPr>
                                <w:t>10</w:t>
                              </w:r>
                            </w:fldSimple>
                            <w:bookmarkEnd w:id="177"/>
                            <w:r>
                              <w:t xml:space="preserve">. </w:t>
                            </w:r>
                            <w:r w:rsidRPr="00611C56">
                              <w:rPr>
                                <w:shd w:val="clear" w:color="auto" w:fill="FFFFFF"/>
                              </w:rPr>
                              <w:t>Compound</w:t>
                            </w:r>
                            <w:r>
                              <w:rPr>
                                <w:shd w:val="clear" w:color="auto" w:fill="FFFFFF"/>
                              </w:rPr>
                              <w:t>s</w:t>
                            </w:r>
                            <w:r w:rsidRPr="00611C56">
                              <w:rPr>
                                <w:shd w:val="clear" w:color="auto" w:fill="FFFFFF"/>
                              </w:rPr>
                              <w:t xml:space="preserve"> </w:t>
                            </w:r>
                            <w:r w:rsidRPr="008C666A">
                              <w:rPr>
                                <w:rStyle w:val="Emphasis"/>
                                <w:rFonts w:cs="Times New Roman"/>
                                <w:color w:val="000000"/>
                                <w:szCs w:val="24"/>
                                <w:shd w:val="clear" w:color="auto" w:fill="FFFFFF"/>
                              </w:rPr>
                              <w:t>2.</w:t>
                            </w:r>
                            <w:r w:rsidRPr="00611C56">
                              <w:rPr>
                                <w:shd w:val="clear" w:color="auto" w:fill="FFFFFF"/>
                              </w:rPr>
                              <w:t>23</w:t>
                            </w:r>
                            <w:r>
                              <w:rPr>
                                <w:shd w:val="clear" w:color="auto" w:fill="FFFFFF"/>
                              </w:rPr>
                              <w:t xml:space="preserve"> and </w:t>
                            </w:r>
                            <w:r w:rsidRPr="008C666A">
                              <w:rPr>
                                <w:rStyle w:val="Emphasis"/>
                                <w:rFonts w:cs="Times New Roman"/>
                                <w:color w:val="000000"/>
                                <w:szCs w:val="24"/>
                                <w:shd w:val="clear" w:color="auto" w:fill="FFFFFF"/>
                              </w:rPr>
                              <w:t>2.</w:t>
                            </w:r>
                            <w:r>
                              <w:rPr>
                                <w:shd w:val="clear" w:color="auto" w:fill="FFFFFF"/>
                              </w:rPr>
                              <w:t>26</w:t>
                            </w:r>
                            <w:r w:rsidRPr="00611C56">
                              <w:rPr>
                                <w:shd w:val="clear" w:color="auto" w:fill="FFFFFF"/>
                              </w:rPr>
                              <w:t xml:space="preserve"> induce phospho-</w:t>
                            </w:r>
                            <w:proofErr w:type="spellStart"/>
                            <w:r w:rsidRPr="00611C56">
                              <w:rPr>
                                <w:shd w:val="clear" w:color="auto" w:fill="FFFFFF"/>
                              </w:rPr>
                              <w:t>CpxR</w:t>
                            </w:r>
                            <w:proofErr w:type="spellEnd"/>
                            <w:r w:rsidRPr="00611C56">
                              <w:rPr>
                                <w:shd w:val="clear" w:color="auto" w:fill="FFFFFF"/>
                              </w:rPr>
                              <w:t xml:space="preserve"> accumulation.</w:t>
                            </w:r>
                            <w:bookmarkEnd w:id="178"/>
                            <w:bookmarkEnd w:id="179"/>
                            <w:r w:rsidRPr="00611C56">
                              <w:rPr>
                                <w:shd w:val="clear" w:color="auto" w:fill="FFFFFF"/>
                              </w:rPr>
                              <w:t xml:space="preserve"> </w:t>
                            </w:r>
                          </w:p>
                          <w:p w14:paraId="1957E15C" w14:textId="1651C061" w:rsidR="00654CB9" w:rsidRPr="00085905" w:rsidRDefault="00654CB9" w:rsidP="00085905">
                            <w:pPr>
                              <w:spacing w:after="0" w:line="240" w:lineRule="auto"/>
                              <w:contextualSpacing/>
                              <w:rPr>
                                <w:iCs/>
                                <w:color w:val="000000"/>
                                <w:szCs w:val="24"/>
                                <w:shd w:val="clear" w:color="auto" w:fill="FFFFFF"/>
                              </w:rPr>
                            </w:pPr>
                            <w:r w:rsidRPr="00611C56">
                              <w:rPr>
                                <w:rFonts w:cs="Times New Roman"/>
                                <w:iCs/>
                                <w:color w:val="000000"/>
                                <w:szCs w:val="24"/>
                                <w:shd w:val="clear" w:color="auto" w:fill="FFFFFF"/>
                              </w:rPr>
                              <w:t>A) Composite representative Western blot of His</w:t>
                            </w:r>
                            <w:r w:rsidRPr="00611C56">
                              <w:rPr>
                                <w:rFonts w:cs="Times New Roman"/>
                                <w:iCs/>
                                <w:color w:val="000000"/>
                                <w:szCs w:val="24"/>
                                <w:shd w:val="clear" w:color="auto" w:fill="FFFFFF"/>
                                <w:vertAlign w:val="subscript"/>
                              </w:rPr>
                              <w:t>6</w:t>
                            </w:r>
                            <w:r w:rsidRPr="00611C56">
                              <w:rPr>
                                <w:rFonts w:cs="Times New Roman"/>
                                <w:iCs/>
                                <w:color w:val="000000"/>
                                <w:szCs w:val="24"/>
                                <w:shd w:val="clear" w:color="auto" w:fill="FFFFFF"/>
                              </w:rPr>
                              <w:t xml:space="preserve">CpxR incubated with 0 or 20 mM </w:t>
                            </w:r>
                            <w:proofErr w:type="spellStart"/>
                            <w:r w:rsidRPr="00611C56">
                              <w:rPr>
                                <w:rFonts w:cs="Times New Roman"/>
                                <w:iCs/>
                                <w:color w:val="000000"/>
                                <w:szCs w:val="24"/>
                                <w:shd w:val="clear" w:color="auto" w:fill="FFFFFF"/>
                              </w:rPr>
                              <w:t>AcP</w:t>
                            </w:r>
                            <w:proofErr w:type="spellEnd"/>
                            <w:r w:rsidRPr="00611C56">
                              <w:rPr>
                                <w:rFonts w:cs="Times New Roman"/>
                                <w:iCs/>
                                <w:color w:val="000000"/>
                                <w:szCs w:val="24"/>
                                <w:shd w:val="clear" w:color="auto" w:fill="FFFFFF"/>
                              </w:rPr>
                              <w:t xml:space="preserve">, and the </w:t>
                            </w:r>
                            <w:proofErr w:type="spellStart"/>
                            <w:r w:rsidRPr="00611C56">
                              <w:rPr>
                                <w:rFonts w:cs="Times New Roman"/>
                                <w:iCs/>
                                <w:color w:val="000000"/>
                                <w:szCs w:val="24"/>
                                <w:shd w:val="clear" w:color="auto" w:fill="FFFFFF"/>
                              </w:rPr>
                              <w:t>Δ</w:t>
                            </w:r>
                            <w:r w:rsidRPr="00611C56">
                              <w:rPr>
                                <w:rFonts w:cs="Times New Roman"/>
                                <w:i/>
                                <w:iCs/>
                                <w:color w:val="000000"/>
                                <w:szCs w:val="24"/>
                                <w:shd w:val="clear" w:color="auto" w:fill="FFFFFF"/>
                              </w:rPr>
                              <w:t>cpxA</w:t>
                            </w:r>
                            <w:proofErr w:type="spellEnd"/>
                            <w:r w:rsidRPr="00611C56">
                              <w:rPr>
                                <w:rFonts w:cs="Times New Roman"/>
                                <w:i/>
                                <w:iCs/>
                                <w:color w:val="000000"/>
                                <w:szCs w:val="24"/>
                                <w:shd w:val="clear" w:color="auto" w:fill="FFFFFF"/>
                              </w:rPr>
                              <w:t xml:space="preserve"> </w:t>
                            </w:r>
                            <w:r w:rsidRPr="00611C56">
                              <w:rPr>
                                <w:rFonts w:cs="Times New Roman"/>
                                <w:iCs/>
                                <w:color w:val="000000"/>
                                <w:szCs w:val="24"/>
                                <w:shd w:val="clear" w:color="auto" w:fill="FFFFFF"/>
                              </w:rPr>
                              <w:t xml:space="preserve">mutant and WT grown in media with 0.4% glucose and 0 or 10 </w:t>
                            </w:r>
                            <w:proofErr w:type="spellStart"/>
                            <w:r w:rsidRPr="00611C56">
                              <w:rPr>
                                <w:rFonts w:cs="Times New Roman"/>
                                <w:iCs/>
                                <w:color w:val="000000"/>
                                <w:szCs w:val="24"/>
                                <w:shd w:val="clear" w:color="auto" w:fill="FFFFFF"/>
                              </w:rPr>
                              <w:t>μM</w:t>
                            </w:r>
                            <w:proofErr w:type="spellEnd"/>
                            <w:r w:rsidRPr="00611C56">
                              <w:rPr>
                                <w:rFonts w:cs="Times New Roman"/>
                                <w:iCs/>
                                <w:color w:val="000000"/>
                                <w:szCs w:val="24"/>
                                <w:shd w:val="clear" w:color="auto" w:fill="FFFFFF"/>
                              </w:rPr>
                              <w:t xml:space="preserve"> compound</w:t>
                            </w:r>
                            <w:r>
                              <w:rPr>
                                <w:rFonts w:cs="Times New Roman"/>
                                <w:iCs/>
                                <w:color w:val="000000"/>
                                <w:szCs w:val="24"/>
                                <w:shd w:val="clear" w:color="auto" w:fill="FFFFFF"/>
                              </w:rPr>
                              <w:t xml:space="preserve"> </w:t>
                            </w:r>
                            <w:r w:rsidRPr="009E28E4">
                              <w:rPr>
                                <w:rFonts w:cs="Times New Roman"/>
                                <w:b/>
                                <w:bCs/>
                                <w:iCs/>
                                <w:color w:val="000000"/>
                                <w:szCs w:val="24"/>
                                <w:shd w:val="clear" w:color="auto" w:fill="FFFFFF"/>
                              </w:rPr>
                              <w:t>2.</w:t>
                            </w:r>
                            <w:r w:rsidRPr="00534E60">
                              <w:rPr>
                                <w:rFonts w:cs="Times New Roman"/>
                                <w:b/>
                                <w:bCs/>
                                <w:iCs/>
                                <w:color w:val="000000"/>
                                <w:szCs w:val="24"/>
                                <w:shd w:val="clear" w:color="auto" w:fill="FFFFFF"/>
                              </w:rPr>
                              <w:t>23</w:t>
                            </w:r>
                            <w:r w:rsidRPr="00611C56">
                              <w:rPr>
                                <w:rFonts w:cs="Times New Roman"/>
                                <w:iCs/>
                                <w:color w:val="000000"/>
                                <w:szCs w:val="24"/>
                                <w:shd w:val="clear" w:color="auto" w:fill="FFFFFF"/>
                              </w:rPr>
                              <w:t>. Note that migration of His</w:t>
                            </w:r>
                            <w:r w:rsidRPr="00611C56">
                              <w:rPr>
                                <w:rFonts w:cs="Times New Roman"/>
                                <w:iCs/>
                                <w:color w:val="000000"/>
                                <w:szCs w:val="24"/>
                                <w:shd w:val="clear" w:color="auto" w:fill="FFFFFF"/>
                                <w:vertAlign w:val="subscript"/>
                              </w:rPr>
                              <w:t>6</w:t>
                            </w:r>
                            <w:r w:rsidRPr="00611C56">
                              <w:rPr>
                                <w:rFonts w:cs="Times New Roman"/>
                                <w:iCs/>
                                <w:color w:val="000000"/>
                                <w:szCs w:val="24"/>
                                <w:shd w:val="clear" w:color="auto" w:fill="FFFFFF"/>
                              </w:rPr>
                              <w:t xml:space="preserve">CpxR is slower than native </w:t>
                            </w:r>
                            <w:proofErr w:type="spellStart"/>
                            <w:r w:rsidRPr="00611C56">
                              <w:rPr>
                                <w:rFonts w:cs="Times New Roman"/>
                                <w:iCs/>
                                <w:color w:val="000000"/>
                                <w:szCs w:val="24"/>
                                <w:shd w:val="clear" w:color="auto" w:fill="FFFFFF"/>
                              </w:rPr>
                              <w:t>CpxR</w:t>
                            </w:r>
                            <w:proofErr w:type="spellEnd"/>
                            <w:r w:rsidRPr="00611C56">
                              <w:rPr>
                                <w:rFonts w:cs="Times New Roman"/>
                                <w:iCs/>
                                <w:color w:val="000000"/>
                                <w:szCs w:val="24"/>
                                <w:shd w:val="clear" w:color="auto" w:fill="FFFFFF"/>
                              </w:rPr>
                              <w:t xml:space="preserve">. B) The ratio </w:t>
                            </w:r>
                            <w:proofErr w:type="spellStart"/>
                            <w:r w:rsidRPr="00611C56">
                              <w:rPr>
                                <w:rFonts w:cs="Times New Roman"/>
                                <w:iCs/>
                                <w:color w:val="000000"/>
                                <w:szCs w:val="24"/>
                                <w:shd w:val="clear" w:color="auto" w:fill="FFFFFF"/>
                              </w:rPr>
                              <w:t>CpxR</w:t>
                            </w:r>
                            <w:proofErr w:type="spellEnd"/>
                            <w:r w:rsidRPr="00611C56">
                              <w:rPr>
                                <w:rFonts w:cs="Times New Roman"/>
                                <w:iCs/>
                                <w:color w:val="000000"/>
                                <w:szCs w:val="24"/>
                                <w:shd w:val="clear" w:color="auto" w:fill="FFFFFF"/>
                              </w:rPr>
                              <w:t xml:space="preserve">-P to </w:t>
                            </w:r>
                            <w:proofErr w:type="spellStart"/>
                            <w:r w:rsidRPr="00611C56">
                              <w:rPr>
                                <w:rFonts w:cs="Times New Roman"/>
                                <w:iCs/>
                                <w:color w:val="000000"/>
                                <w:szCs w:val="24"/>
                                <w:shd w:val="clear" w:color="auto" w:fill="FFFFFF"/>
                              </w:rPr>
                              <w:t>CpxR</w:t>
                            </w:r>
                            <w:proofErr w:type="spellEnd"/>
                            <w:r w:rsidRPr="00611C56">
                              <w:rPr>
                                <w:rFonts w:cs="Times New Roman"/>
                                <w:iCs/>
                                <w:color w:val="000000"/>
                                <w:szCs w:val="24"/>
                                <w:shd w:val="clear" w:color="auto" w:fill="FFFFFF"/>
                              </w:rPr>
                              <w:t xml:space="preserve"> was determined using densitometry; average and standard deviation are from 5 independent </w:t>
                            </w:r>
                            <w:r w:rsidRPr="00FB402C">
                              <w:rPr>
                                <w:rFonts w:cs="Times New Roman"/>
                                <w:iCs/>
                                <w:color w:val="000000"/>
                                <w:szCs w:val="24"/>
                                <w:shd w:val="clear" w:color="auto" w:fill="FFFFFF"/>
                              </w:rPr>
                              <w:t>experiments. C)</w:t>
                            </w:r>
                            <w:r w:rsidRPr="00534E60">
                              <w:rPr>
                                <w:rFonts w:ascii="Arial" w:eastAsia="CharisSIL" w:hAnsi="Arial" w:cs="Arial"/>
                                <w:color w:val="000000" w:themeColor="text1"/>
                                <w:kern w:val="24"/>
                                <w:sz w:val="36"/>
                                <w:szCs w:val="36"/>
                              </w:rPr>
                              <w:t xml:space="preserve"> </w:t>
                            </w:r>
                            <w:r w:rsidRPr="00534E60">
                              <w:rPr>
                                <w:rFonts w:cs="Times New Roman"/>
                                <w:iCs/>
                                <w:color w:val="000000"/>
                                <w:szCs w:val="24"/>
                                <w:shd w:val="clear" w:color="auto" w:fill="FFFFFF"/>
                              </w:rPr>
                              <w:t>Composite representative Western blot of His</w:t>
                            </w:r>
                            <w:r w:rsidRPr="00534E60">
                              <w:rPr>
                                <w:rFonts w:cs="Times New Roman"/>
                                <w:iCs/>
                                <w:color w:val="000000"/>
                                <w:szCs w:val="24"/>
                                <w:shd w:val="clear" w:color="auto" w:fill="FFFFFF"/>
                                <w:vertAlign w:val="subscript"/>
                              </w:rPr>
                              <w:t>6</w:t>
                            </w:r>
                            <w:r w:rsidRPr="00534E60">
                              <w:rPr>
                                <w:rFonts w:cs="Times New Roman"/>
                                <w:iCs/>
                                <w:color w:val="000000"/>
                                <w:szCs w:val="24"/>
                                <w:shd w:val="clear" w:color="auto" w:fill="FFFFFF"/>
                              </w:rPr>
                              <w:t xml:space="preserve">CpxR incubated with 0 or 20mM </w:t>
                            </w:r>
                            <w:proofErr w:type="spellStart"/>
                            <w:r w:rsidRPr="00534E60">
                              <w:rPr>
                                <w:rFonts w:cs="Times New Roman"/>
                                <w:iCs/>
                                <w:color w:val="000000"/>
                                <w:szCs w:val="24"/>
                                <w:shd w:val="clear" w:color="auto" w:fill="FFFFFF"/>
                              </w:rPr>
                              <w:t>AcP</w:t>
                            </w:r>
                            <w:proofErr w:type="spellEnd"/>
                            <w:r w:rsidRPr="00534E60">
                              <w:rPr>
                                <w:rFonts w:cs="Times New Roman"/>
                                <w:iCs/>
                                <w:color w:val="000000"/>
                                <w:szCs w:val="24"/>
                                <w:shd w:val="clear" w:color="auto" w:fill="FFFFFF"/>
                              </w:rPr>
                              <w:t>, and CFT073 and the CFT073Δ</w:t>
                            </w:r>
                            <w:proofErr w:type="gramStart"/>
                            <w:r w:rsidRPr="00534E60">
                              <w:rPr>
                                <w:rFonts w:cs="Times New Roman"/>
                                <w:i/>
                                <w:iCs/>
                                <w:color w:val="000000"/>
                                <w:szCs w:val="24"/>
                                <w:shd w:val="clear" w:color="auto" w:fill="FFFFFF"/>
                              </w:rPr>
                              <w:t>cpxA::</w:t>
                            </w:r>
                            <w:proofErr w:type="gramEnd"/>
                            <w:r w:rsidRPr="00534E60">
                              <w:rPr>
                                <w:rFonts w:cs="Times New Roman"/>
                                <w:i/>
                                <w:iCs/>
                                <w:color w:val="000000"/>
                                <w:szCs w:val="24"/>
                                <w:shd w:val="clear" w:color="auto" w:fill="FFFFFF"/>
                              </w:rPr>
                              <w:t xml:space="preserve">cat </w:t>
                            </w:r>
                            <w:r w:rsidRPr="00534E60">
                              <w:rPr>
                                <w:rFonts w:cs="Times New Roman"/>
                                <w:iCs/>
                                <w:color w:val="000000"/>
                                <w:szCs w:val="24"/>
                                <w:shd w:val="clear" w:color="auto" w:fill="FFFFFF"/>
                              </w:rPr>
                              <w:t>mutant grown in human urine with 0 or 150 mM compound</w:t>
                            </w:r>
                            <w:r>
                              <w:rPr>
                                <w:rFonts w:cs="Times New Roman"/>
                                <w:iCs/>
                                <w:color w:val="000000"/>
                                <w:szCs w:val="24"/>
                                <w:shd w:val="clear" w:color="auto" w:fill="FFFFFF"/>
                              </w:rPr>
                              <w:t xml:space="preserve"> </w:t>
                            </w:r>
                            <w:r w:rsidRPr="009E28E4">
                              <w:rPr>
                                <w:rFonts w:cs="Times New Roman"/>
                                <w:b/>
                                <w:bCs/>
                                <w:iCs/>
                                <w:color w:val="000000"/>
                                <w:szCs w:val="24"/>
                                <w:shd w:val="clear" w:color="auto" w:fill="FFFFFF"/>
                              </w:rPr>
                              <w:t>2.</w:t>
                            </w:r>
                            <w:r w:rsidRPr="00534E60">
                              <w:rPr>
                                <w:rFonts w:cs="Times New Roman"/>
                                <w:b/>
                                <w:bCs/>
                                <w:iCs/>
                                <w:color w:val="000000"/>
                                <w:szCs w:val="24"/>
                                <w:shd w:val="clear" w:color="auto" w:fill="FFFFFF"/>
                              </w:rPr>
                              <w:t>26</w:t>
                            </w:r>
                            <w:r w:rsidRPr="00534E60">
                              <w:rPr>
                                <w:rFonts w:cs="Times New Roman"/>
                                <w:iCs/>
                                <w:color w:val="000000"/>
                                <w:szCs w:val="24"/>
                                <w:shd w:val="clear" w:color="auto" w:fill="FFFFFF"/>
                              </w:rPr>
                              <w:t>. Note that migration of His</w:t>
                            </w:r>
                            <w:r w:rsidRPr="00534E60">
                              <w:rPr>
                                <w:rFonts w:cs="Times New Roman"/>
                                <w:iCs/>
                                <w:color w:val="000000"/>
                                <w:szCs w:val="24"/>
                                <w:shd w:val="clear" w:color="auto" w:fill="FFFFFF"/>
                                <w:vertAlign w:val="subscript"/>
                              </w:rPr>
                              <w:t>6</w:t>
                            </w:r>
                            <w:r w:rsidRPr="00534E60">
                              <w:rPr>
                                <w:rFonts w:cs="Times New Roman"/>
                                <w:iCs/>
                                <w:color w:val="000000"/>
                                <w:szCs w:val="24"/>
                                <w:shd w:val="clear" w:color="auto" w:fill="FFFFFF"/>
                              </w:rPr>
                              <w:t xml:space="preserve">CpxR is slower than native </w:t>
                            </w:r>
                            <w:proofErr w:type="spellStart"/>
                            <w:r w:rsidRPr="00534E60">
                              <w:rPr>
                                <w:rFonts w:cs="Times New Roman"/>
                                <w:iCs/>
                                <w:color w:val="000000"/>
                                <w:szCs w:val="24"/>
                                <w:shd w:val="clear" w:color="auto" w:fill="FFFFFF"/>
                              </w:rPr>
                              <w:t>CpxR</w:t>
                            </w:r>
                            <w:proofErr w:type="spellEnd"/>
                            <w:r w:rsidRPr="00534E60">
                              <w:rPr>
                                <w:rFonts w:cs="Times New Roman"/>
                                <w:iCs/>
                                <w:color w:val="000000"/>
                                <w:szCs w:val="24"/>
                                <w:shd w:val="clear" w:color="auto" w:fill="FFFFFF"/>
                              </w:rPr>
                              <w:t>.</w:t>
                            </w:r>
                            <w:r>
                              <w:rPr>
                                <w:rFonts w:cs="Times New Roman"/>
                                <w:iCs/>
                                <w:color w:val="000000"/>
                                <w:szCs w:val="24"/>
                                <w:shd w:val="clear" w:color="auto" w:fill="FFFFFF"/>
                              </w:rPr>
                              <w:t xml:space="preserve"> D) </w:t>
                            </w:r>
                            <w:r w:rsidRPr="00534E60">
                              <w:rPr>
                                <w:rFonts w:cs="Times New Roman"/>
                                <w:iCs/>
                                <w:color w:val="000000"/>
                                <w:szCs w:val="24"/>
                                <w:shd w:val="clear" w:color="auto" w:fill="FFFFFF"/>
                              </w:rPr>
                              <w:t xml:space="preserve">The ratio </w:t>
                            </w:r>
                            <w:proofErr w:type="spellStart"/>
                            <w:r w:rsidRPr="00534E60">
                              <w:rPr>
                                <w:rFonts w:cs="Times New Roman"/>
                                <w:iCs/>
                                <w:color w:val="000000"/>
                                <w:szCs w:val="24"/>
                                <w:shd w:val="clear" w:color="auto" w:fill="FFFFFF"/>
                              </w:rPr>
                              <w:t>CpxR</w:t>
                            </w:r>
                            <w:proofErr w:type="spellEnd"/>
                            <w:r w:rsidRPr="00534E60">
                              <w:rPr>
                                <w:rFonts w:cs="Times New Roman"/>
                                <w:iCs/>
                                <w:color w:val="000000"/>
                                <w:szCs w:val="24"/>
                                <w:shd w:val="clear" w:color="auto" w:fill="FFFFFF"/>
                              </w:rPr>
                              <w:t xml:space="preserve">-P to </w:t>
                            </w:r>
                            <w:proofErr w:type="spellStart"/>
                            <w:r w:rsidRPr="00534E60">
                              <w:rPr>
                                <w:rFonts w:cs="Times New Roman"/>
                                <w:iCs/>
                                <w:color w:val="000000"/>
                                <w:szCs w:val="24"/>
                                <w:shd w:val="clear" w:color="auto" w:fill="FFFFFF"/>
                              </w:rPr>
                              <w:t>CpxR</w:t>
                            </w:r>
                            <w:proofErr w:type="spellEnd"/>
                            <w:r w:rsidRPr="00534E60">
                              <w:rPr>
                                <w:rFonts w:cs="Times New Roman"/>
                                <w:iCs/>
                                <w:color w:val="000000"/>
                                <w:szCs w:val="24"/>
                                <w:shd w:val="clear" w:color="auto" w:fill="FFFFFF"/>
                              </w:rPr>
                              <w:t xml:space="preserve"> was determined using densitometry; mean and standard deviation are from 4 independent experiments. P-values were calculated with one-way ANOVA followed by a Tukey test.</w:t>
                            </w:r>
                          </w:p>
                          <w:p w14:paraId="5B6D3C98" w14:textId="77777777" w:rsidR="00654CB9" w:rsidRDefault="00654CB9" w:rsidP="00654CB9"/>
                        </w:txbxContent>
                      </wps:txbx>
                      <wps:bodyPr rot="0" vert="horz" wrap="square" lIns="91440" tIns="45720" rIns="91440" bIns="45720" anchor="t" anchorCtr="0">
                        <a:noAutofit/>
                      </wps:bodyPr>
                    </wps:wsp>
                  </a:graphicData>
                </a:graphic>
              </wp:inline>
            </w:drawing>
          </mc:Choice>
          <mc:Fallback>
            <w:pict>
              <v:shape w14:anchorId="5735ECCB" id="_x0000_s1053" type="#_x0000_t202" alt="Composite representative Western blot of His6CpxR incubated with 0 or 20 mM AcP, and the ΔcpxA mutant and WT grown in media with 0.4% glucose and 0 or 10 μM compound 2.23. " style="width:468pt;height:4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">
                <v:textbox>
                  <w:txbxContent>
                    <w:p w14:paraId="6F4254B7" w14:textId="77777777" w:rsidR="00654CB9" w:rsidRDefault="00654CB9" w:rsidP="00654CB9">
                      <w:pPr>
                        <w:keepNext/>
                      </w:pPr>
                      <w:r>
                        <w:rPr>
                          <w:noProof/>
                        </w:rPr>
                        <w:drawing>
                          <wp:inline distT="0" distB="0" distL="0" distR="0" wp14:anchorId="74D6B485" wp14:editId="2F4C8556">
                            <wp:extent cx="5751830" cy="3583305"/>
                            <wp:effectExtent l="0" t="0" r="1270" b="0"/>
                            <wp:docPr id="53" name="Picture 53" descr="Composite representative Western blot of His6CpxR incubated with 0 or 20 mM AcP, and the ΔcpxA mutant and WT grown in media with 0.4% glucose and 0 or 10 μM compound 2.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omposite representative Western blot of His6CpxR incubated with 0 or 20 mM AcP, and the ΔcpxA mutant and WT grown in media with 0.4% glucose and 0 or 10 μM compound 2.23. "/>
                                    <pic:cNvPicPr/>
                                  </pic:nvPicPr>
                                  <pic:blipFill>
                                    <a:blip r:embed="rId120">
                                      <a:extLst>
                                        <a:ext uri="{28A0092B-C50C-407E-A947-70E740481C1C}">
                                          <a14:useLocalDpi xmlns:a14="http://schemas.microsoft.com/office/drawing/2010/main" val="0"/>
                                        </a:ext>
                                      </a:extLst>
                                    </a:blip>
                                    <a:stretch>
                                      <a:fillRect/>
                                    </a:stretch>
                                  </pic:blipFill>
                                  <pic:spPr>
                                    <a:xfrm>
                                      <a:off x="0" y="0"/>
                                      <a:ext cx="5751830" cy="3583305"/>
                                    </a:xfrm>
                                    <a:prstGeom prst="rect">
                                      <a:avLst/>
                                    </a:prstGeom>
                                  </pic:spPr>
                                </pic:pic>
                              </a:graphicData>
                            </a:graphic>
                          </wp:inline>
                        </w:drawing>
                      </w:r>
                    </w:p>
                    <w:p w14:paraId="5EB8DD5A" w14:textId="28F23319" w:rsidR="00654CB9" w:rsidRDefault="00654CB9" w:rsidP="00DF51F5">
                      <w:pPr>
                        <w:pStyle w:val="Caption"/>
                        <w:rPr>
                          <w:iCs/>
                          <w:shd w:val="clear" w:color="auto" w:fill="FFFFFF"/>
                        </w:rPr>
                      </w:pPr>
                      <w:bookmarkStart w:id="180" w:name="_Ref88237485"/>
                      <w:bookmarkStart w:id="181" w:name="_Toc97309255"/>
                      <w:bookmarkStart w:id="182" w:name="_Toc100748304"/>
                      <w:r>
                        <w:t>Figure 2.</w:t>
                      </w:r>
                      <w:fldSimple w:instr=" SEQ Figure \* ARABIC ">
                        <w:r w:rsidR="00AA5AAC">
                          <w:rPr>
                            <w:noProof/>
                          </w:rPr>
                          <w:t>10</w:t>
                        </w:r>
                      </w:fldSimple>
                      <w:bookmarkEnd w:id="180"/>
                      <w:r>
                        <w:t xml:space="preserve">. </w:t>
                      </w:r>
                      <w:r w:rsidRPr="00611C56">
                        <w:rPr>
                          <w:shd w:val="clear" w:color="auto" w:fill="FFFFFF"/>
                        </w:rPr>
                        <w:t>Compound</w:t>
                      </w:r>
                      <w:r>
                        <w:rPr>
                          <w:shd w:val="clear" w:color="auto" w:fill="FFFFFF"/>
                        </w:rPr>
                        <w:t>s</w:t>
                      </w:r>
                      <w:r w:rsidRPr="00611C56">
                        <w:rPr>
                          <w:shd w:val="clear" w:color="auto" w:fill="FFFFFF"/>
                        </w:rPr>
                        <w:t xml:space="preserve"> </w:t>
                      </w:r>
                      <w:r w:rsidRPr="008C666A">
                        <w:rPr>
                          <w:rStyle w:val="Emphasis"/>
                          <w:rFonts w:cs="Times New Roman"/>
                          <w:color w:val="000000"/>
                          <w:szCs w:val="24"/>
                          <w:shd w:val="clear" w:color="auto" w:fill="FFFFFF"/>
                        </w:rPr>
                        <w:t>2.</w:t>
                      </w:r>
                      <w:r w:rsidRPr="00611C56">
                        <w:rPr>
                          <w:shd w:val="clear" w:color="auto" w:fill="FFFFFF"/>
                        </w:rPr>
                        <w:t>23</w:t>
                      </w:r>
                      <w:r>
                        <w:rPr>
                          <w:shd w:val="clear" w:color="auto" w:fill="FFFFFF"/>
                        </w:rPr>
                        <w:t xml:space="preserve"> and </w:t>
                      </w:r>
                      <w:r w:rsidRPr="008C666A">
                        <w:rPr>
                          <w:rStyle w:val="Emphasis"/>
                          <w:rFonts w:cs="Times New Roman"/>
                          <w:color w:val="000000"/>
                          <w:szCs w:val="24"/>
                          <w:shd w:val="clear" w:color="auto" w:fill="FFFFFF"/>
                        </w:rPr>
                        <w:t>2.</w:t>
                      </w:r>
                      <w:r>
                        <w:rPr>
                          <w:shd w:val="clear" w:color="auto" w:fill="FFFFFF"/>
                        </w:rPr>
                        <w:t>26</w:t>
                      </w:r>
                      <w:r w:rsidRPr="00611C56">
                        <w:rPr>
                          <w:shd w:val="clear" w:color="auto" w:fill="FFFFFF"/>
                        </w:rPr>
                        <w:t xml:space="preserve"> induce phospho-</w:t>
                      </w:r>
                      <w:proofErr w:type="spellStart"/>
                      <w:r w:rsidRPr="00611C56">
                        <w:rPr>
                          <w:shd w:val="clear" w:color="auto" w:fill="FFFFFF"/>
                        </w:rPr>
                        <w:t>CpxR</w:t>
                      </w:r>
                      <w:proofErr w:type="spellEnd"/>
                      <w:r w:rsidRPr="00611C56">
                        <w:rPr>
                          <w:shd w:val="clear" w:color="auto" w:fill="FFFFFF"/>
                        </w:rPr>
                        <w:t xml:space="preserve"> accumulation.</w:t>
                      </w:r>
                      <w:bookmarkEnd w:id="181"/>
                      <w:bookmarkEnd w:id="182"/>
                      <w:r w:rsidRPr="00611C56">
                        <w:rPr>
                          <w:shd w:val="clear" w:color="auto" w:fill="FFFFFF"/>
                        </w:rPr>
                        <w:t xml:space="preserve"> </w:t>
                      </w:r>
                    </w:p>
                    <w:p w14:paraId="1957E15C" w14:textId="1651C061" w:rsidR="00654CB9" w:rsidRPr="00085905" w:rsidRDefault="00654CB9" w:rsidP="00085905">
                      <w:pPr>
                        <w:spacing w:after="0" w:line="240" w:lineRule="auto"/>
                        <w:contextualSpacing/>
                        <w:rPr>
                          <w:iCs/>
                          <w:color w:val="000000"/>
                          <w:szCs w:val="24"/>
                          <w:shd w:val="clear" w:color="auto" w:fill="FFFFFF"/>
                        </w:rPr>
                      </w:pPr>
                      <w:r w:rsidRPr="00611C56">
                        <w:rPr>
                          <w:rFonts w:cs="Times New Roman"/>
                          <w:iCs/>
                          <w:color w:val="000000"/>
                          <w:szCs w:val="24"/>
                          <w:shd w:val="clear" w:color="auto" w:fill="FFFFFF"/>
                        </w:rPr>
                        <w:t>A) Composite representative Western blot of His</w:t>
                      </w:r>
                      <w:r w:rsidRPr="00611C56">
                        <w:rPr>
                          <w:rFonts w:cs="Times New Roman"/>
                          <w:iCs/>
                          <w:color w:val="000000"/>
                          <w:szCs w:val="24"/>
                          <w:shd w:val="clear" w:color="auto" w:fill="FFFFFF"/>
                          <w:vertAlign w:val="subscript"/>
                        </w:rPr>
                        <w:t>6</w:t>
                      </w:r>
                      <w:r w:rsidRPr="00611C56">
                        <w:rPr>
                          <w:rFonts w:cs="Times New Roman"/>
                          <w:iCs/>
                          <w:color w:val="000000"/>
                          <w:szCs w:val="24"/>
                          <w:shd w:val="clear" w:color="auto" w:fill="FFFFFF"/>
                        </w:rPr>
                        <w:t xml:space="preserve">CpxR incubated with 0 or 20 mM </w:t>
                      </w:r>
                      <w:proofErr w:type="spellStart"/>
                      <w:r w:rsidRPr="00611C56">
                        <w:rPr>
                          <w:rFonts w:cs="Times New Roman"/>
                          <w:iCs/>
                          <w:color w:val="000000"/>
                          <w:szCs w:val="24"/>
                          <w:shd w:val="clear" w:color="auto" w:fill="FFFFFF"/>
                        </w:rPr>
                        <w:t>AcP</w:t>
                      </w:r>
                      <w:proofErr w:type="spellEnd"/>
                      <w:r w:rsidRPr="00611C56">
                        <w:rPr>
                          <w:rFonts w:cs="Times New Roman"/>
                          <w:iCs/>
                          <w:color w:val="000000"/>
                          <w:szCs w:val="24"/>
                          <w:shd w:val="clear" w:color="auto" w:fill="FFFFFF"/>
                        </w:rPr>
                        <w:t xml:space="preserve">, and the </w:t>
                      </w:r>
                      <w:proofErr w:type="spellStart"/>
                      <w:r w:rsidRPr="00611C56">
                        <w:rPr>
                          <w:rFonts w:cs="Times New Roman"/>
                          <w:iCs/>
                          <w:color w:val="000000"/>
                          <w:szCs w:val="24"/>
                          <w:shd w:val="clear" w:color="auto" w:fill="FFFFFF"/>
                        </w:rPr>
                        <w:t>Δ</w:t>
                      </w:r>
                      <w:r w:rsidRPr="00611C56">
                        <w:rPr>
                          <w:rFonts w:cs="Times New Roman"/>
                          <w:i/>
                          <w:iCs/>
                          <w:color w:val="000000"/>
                          <w:szCs w:val="24"/>
                          <w:shd w:val="clear" w:color="auto" w:fill="FFFFFF"/>
                        </w:rPr>
                        <w:t>cpxA</w:t>
                      </w:r>
                      <w:proofErr w:type="spellEnd"/>
                      <w:r w:rsidRPr="00611C56">
                        <w:rPr>
                          <w:rFonts w:cs="Times New Roman"/>
                          <w:i/>
                          <w:iCs/>
                          <w:color w:val="000000"/>
                          <w:szCs w:val="24"/>
                          <w:shd w:val="clear" w:color="auto" w:fill="FFFFFF"/>
                        </w:rPr>
                        <w:t xml:space="preserve"> </w:t>
                      </w:r>
                      <w:r w:rsidRPr="00611C56">
                        <w:rPr>
                          <w:rFonts w:cs="Times New Roman"/>
                          <w:iCs/>
                          <w:color w:val="000000"/>
                          <w:szCs w:val="24"/>
                          <w:shd w:val="clear" w:color="auto" w:fill="FFFFFF"/>
                        </w:rPr>
                        <w:t xml:space="preserve">mutant and WT grown in media with 0.4% glucose and 0 or 10 </w:t>
                      </w:r>
                      <w:proofErr w:type="spellStart"/>
                      <w:r w:rsidRPr="00611C56">
                        <w:rPr>
                          <w:rFonts w:cs="Times New Roman"/>
                          <w:iCs/>
                          <w:color w:val="000000"/>
                          <w:szCs w:val="24"/>
                          <w:shd w:val="clear" w:color="auto" w:fill="FFFFFF"/>
                        </w:rPr>
                        <w:t>μM</w:t>
                      </w:r>
                      <w:proofErr w:type="spellEnd"/>
                      <w:r w:rsidRPr="00611C56">
                        <w:rPr>
                          <w:rFonts w:cs="Times New Roman"/>
                          <w:iCs/>
                          <w:color w:val="000000"/>
                          <w:szCs w:val="24"/>
                          <w:shd w:val="clear" w:color="auto" w:fill="FFFFFF"/>
                        </w:rPr>
                        <w:t xml:space="preserve"> compound</w:t>
                      </w:r>
                      <w:r>
                        <w:rPr>
                          <w:rFonts w:cs="Times New Roman"/>
                          <w:iCs/>
                          <w:color w:val="000000"/>
                          <w:szCs w:val="24"/>
                          <w:shd w:val="clear" w:color="auto" w:fill="FFFFFF"/>
                        </w:rPr>
                        <w:t xml:space="preserve"> </w:t>
                      </w:r>
                      <w:r w:rsidRPr="009E28E4">
                        <w:rPr>
                          <w:rFonts w:cs="Times New Roman"/>
                          <w:b/>
                          <w:bCs/>
                          <w:iCs/>
                          <w:color w:val="000000"/>
                          <w:szCs w:val="24"/>
                          <w:shd w:val="clear" w:color="auto" w:fill="FFFFFF"/>
                        </w:rPr>
                        <w:t>2.</w:t>
                      </w:r>
                      <w:r w:rsidRPr="00534E60">
                        <w:rPr>
                          <w:rFonts w:cs="Times New Roman"/>
                          <w:b/>
                          <w:bCs/>
                          <w:iCs/>
                          <w:color w:val="000000"/>
                          <w:szCs w:val="24"/>
                          <w:shd w:val="clear" w:color="auto" w:fill="FFFFFF"/>
                        </w:rPr>
                        <w:t>23</w:t>
                      </w:r>
                      <w:r w:rsidRPr="00611C56">
                        <w:rPr>
                          <w:rFonts w:cs="Times New Roman"/>
                          <w:iCs/>
                          <w:color w:val="000000"/>
                          <w:szCs w:val="24"/>
                          <w:shd w:val="clear" w:color="auto" w:fill="FFFFFF"/>
                        </w:rPr>
                        <w:t>. Note that migration of His</w:t>
                      </w:r>
                      <w:r w:rsidRPr="00611C56">
                        <w:rPr>
                          <w:rFonts w:cs="Times New Roman"/>
                          <w:iCs/>
                          <w:color w:val="000000"/>
                          <w:szCs w:val="24"/>
                          <w:shd w:val="clear" w:color="auto" w:fill="FFFFFF"/>
                          <w:vertAlign w:val="subscript"/>
                        </w:rPr>
                        <w:t>6</w:t>
                      </w:r>
                      <w:r w:rsidRPr="00611C56">
                        <w:rPr>
                          <w:rFonts w:cs="Times New Roman"/>
                          <w:iCs/>
                          <w:color w:val="000000"/>
                          <w:szCs w:val="24"/>
                          <w:shd w:val="clear" w:color="auto" w:fill="FFFFFF"/>
                        </w:rPr>
                        <w:t xml:space="preserve">CpxR is slower than native </w:t>
                      </w:r>
                      <w:proofErr w:type="spellStart"/>
                      <w:r w:rsidRPr="00611C56">
                        <w:rPr>
                          <w:rFonts w:cs="Times New Roman"/>
                          <w:iCs/>
                          <w:color w:val="000000"/>
                          <w:szCs w:val="24"/>
                          <w:shd w:val="clear" w:color="auto" w:fill="FFFFFF"/>
                        </w:rPr>
                        <w:t>CpxR</w:t>
                      </w:r>
                      <w:proofErr w:type="spellEnd"/>
                      <w:r w:rsidRPr="00611C56">
                        <w:rPr>
                          <w:rFonts w:cs="Times New Roman"/>
                          <w:iCs/>
                          <w:color w:val="000000"/>
                          <w:szCs w:val="24"/>
                          <w:shd w:val="clear" w:color="auto" w:fill="FFFFFF"/>
                        </w:rPr>
                        <w:t xml:space="preserve">. B) The ratio </w:t>
                      </w:r>
                      <w:proofErr w:type="spellStart"/>
                      <w:r w:rsidRPr="00611C56">
                        <w:rPr>
                          <w:rFonts w:cs="Times New Roman"/>
                          <w:iCs/>
                          <w:color w:val="000000"/>
                          <w:szCs w:val="24"/>
                          <w:shd w:val="clear" w:color="auto" w:fill="FFFFFF"/>
                        </w:rPr>
                        <w:t>CpxR</w:t>
                      </w:r>
                      <w:proofErr w:type="spellEnd"/>
                      <w:r w:rsidRPr="00611C56">
                        <w:rPr>
                          <w:rFonts w:cs="Times New Roman"/>
                          <w:iCs/>
                          <w:color w:val="000000"/>
                          <w:szCs w:val="24"/>
                          <w:shd w:val="clear" w:color="auto" w:fill="FFFFFF"/>
                        </w:rPr>
                        <w:t xml:space="preserve">-P to </w:t>
                      </w:r>
                      <w:proofErr w:type="spellStart"/>
                      <w:r w:rsidRPr="00611C56">
                        <w:rPr>
                          <w:rFonts w:cs="Times New Roman"/>
                          <w:iCs/>
                          <w:color w:val="000000"/>
                          <w:szCs w:val="24"/>
                          <w:shd w:val="clear" w:color="auto" w:fill="FFFFFF"/>
                        </w:rPr>
                        <w:t>CpxR</w:t>
                      </w:r>
                      <w:proofErr w:type="spellEnd"/>
                      <w:r w:rsidRPr="00611C56">
                        <w:rPr>
                          <w:rFonts w:cs="Times New Roman"/>
                          <w:iCs/>
                          <w:color w:val="000000"/>
                          <w:szCs w:val="24"/>
                          <w:shd w:val="clear" w:color="auto" w:fill="FFFFFF"/>
                        </w:rPr>
                        <w:t xml:space="preserve"> was determined using densitometry; average and standard deviation are from 5 independent </w:t>
                      </w:r>
                      <w:r w:rsidRPr="00FB402C">
                        <w:rPr>
                          <w:rFonts w:cs="Times New Roman"/>
                          <w:iCs/>
                          <w:color w:val="000000"/>
                          <w:szCs w:val="24"/>
                          <w:shd w:val="clear" w:color="auto" w:fill="FFFFFF"/>
                        </w:rPr>
                        <w:t>experiments. C)</w:t>
                      </w:r>
                      <w:r w:rsidRPr="00534E60">
                        <w:rPr>
                          <w:rFonts w:ascii="Arial" w:eastAsia="CharisSIL" w:hAnsi="Arial" w:cs="Arial"/>
                          <w:color w:val="000000" w:themeColor="text1"/>
                          <w:kern w:val="24"/>
                          <w:sz w:val="36"/>
                          <w:szCs w:val="36"/>
                        </w:rPr>
                        <w:t xml:space="preserve"> </w:t>
                      </w:r>
                      <w:r w:rsidRPr="00534E60">
                        <w:rPr>
                          <w:rFonts w:cs="Times New Roman"/>
                          <w:iCs/>
                          <w:color w:val="000000"/>
                          <w:szCs w:val="24"/>
                          <w:shd w:val="clear" w:color="auto" w:fill="FFFFFF"/>
                        </w:rPr>
                        <w:t>Composite representative Western blot of His</w:t>
                      </w:r>
                      <w:r w:rsidRPr="00534E60">
                        <w:rPr>
                          <w:rFonts w:cs="Times New Roman"/>
                          <w:iCs/>
                          <w:color w:val="000000"/>
                          <w:szCs w:val="24"/>
                          <w:shd w:val="clear" w:color="auto" w:fill="FFFFFF"/>
                          <w:vertAlign w:val="subscript"/>
                        </w:rPr>
                        <w:t>6</w:t>
                      </w:r>
                      <w:r w:rsidRPr="00534E60">
                        <w:rPr>
                          <w:rFonts w:cs="Times New Roman"/>
                          <w:iCs/>
                          <w:color w:val="000000"/>
                          <w:szCs w:val="24"/>
                          <w:shd w:val="clear" w:color="auto" w:fill="FFFFFF"/>
                        </w:rPr>
                        <w:t xml:space="preserve">CpxR incubated with 0 or 20mM </w:t>
                      </w:r>
                      <w:proofErr w:type="spellStart"/>
                      <w:r w:rsidRPr="00534E60">
                        <w:rPr>
                          <w:rFonts w:cs="Times New Roman"/>
                          <w:iCs/>
                          <w:color w:val="000000"/>
                          <w:szCs w:val="24"/>
                          <w:shd w:val="clear" w:color="auto" w:fill="FFFFFF"/>
                        </w:rPr>
                        <w:t>AcP</w:t>
                      </w:r>
                      <w:proofErr w:type="spellEnd"/>
                      <w:r w:rsidRPr="00534E60">
                        <w:rPr>
                          <w:rFonts w:cs="Times New Roman"/>
                          <w:iCs/>
                          <w:color w:val="000000"/>
                          <w:szCs w:val="24"/>
                          <w:shd w:val="clear" w:color="auto" w:fill="FFFFFF"/>
                        </w:rPr>
                        <w:t>, and CFT073 and the CFT073Δ</w:t>
                      </w:r>
                      <w:proofErr w:type="gramStart"/>
                      <w:r w:rsidRPr="00534E60">
                        <w:rPr>
                          <w:rFonts w:cs="Times New Roman"/>
                          <w:i/>
                          <w:iCs/>
                          <w:color w:val="000000"/>
                          <w:szCs w:val="24"/>
                          <w:shd w:val="clear" w:color="auto" w:fill="FFFFFF"/>
                        </w:rPr>
                        <w:t>cpxA::</w:t>
                      </w:r>
                      <w:proofErr w:type="gramEnd"/>
                      <w:r w:rsidRPr="00534E60">
                        <w:rPr>
                          <w:rFonts w:cs="Times New Roman"/>
                          <w:i/>
                          <w:iCs/>
                          <w:color w:val="000000"/>
                          <w:szCs w:val="24"/>
                          <w:shd w:val="clear" w:color="auto" w:fill="FFFFFF"/>
                        </w:rPr>
                        <w:t xml:space="preserve">cat </w:t>
                      </w:r>
                      <w:r w:rsidRPr="00534E60">
                        <w:rPr>
                          <w:rFonts w:cs="Times New Roman"/>
                          <w:iCs/>
                          <w:color w:val="000000"/>
                          <w:szCs w:val="24"/>
                          <w:shd w:val="clear" w:color="auto" w:fill="FFFFFF"/>
                        </w:rPr>
                        <w:t>mutant grown in human urine with 0 or 150 mM compound</w:t>
                      </w:r>
                      <w:r>
                        <w:rPr>
                          <w:rFonts w:cs="Times New Roman"/>
                          <w:iCs/>
                          <w:color w:val="000000"/>
                          <w:szCs w:val="24"/>
                          <w:shd w:val="clear" w:color="auto" w:fill="FFFFFF"/>
                        </w:rPr>
                        <w:t xml:space="preserve"> </w:t>
                      </w:r>
                      <w:r w:rsidRPr="009E28E4">
                        <w:rPr>
                          <w:rFonts w:cs="Times New Roman"/>
                          <w:b/>
                          <w:bCs/>
                          <w:iCs/>
                          <w:color w:val="000000"/>
                          <w:szCs w:val="24"/>
                          <w:shd w:val="clear" w:color="auto" w:fill="FFFFFF"/>
                        </w:rPr>
                        <w:t>2.</w:t>
                      </w:r>
                      <w:r w:rsidRPr="00534E60">
                        <w:rPr>
                          <w:rFonts w:cs="Times New Roman"/>
                          <w:b/>
                          <w:bCs/>
                          <w:iCs/>
                          <w:color w:val="000000"/>
                          <w:szCs w:val="24"/>
                          <w:shd w:val="clear" w:color="auto" w:fill="FFFFFF"/>
                        </w:rPr>
                        <w:t>26</w:t>
                      </w:r>
                      <w:r w:rsidRPr="00534E60">
                        <w:rPr>
                          <w:rFonts w:cs="Times New Roman"/>
                          <w:iCs/>
                          <w:color w:val="000000"/>
                          <w:szCs w:val="24"/>
                          <w:shd w:val="clear" w:color="auto" w:fill="FFFFFF"/>
                        </w:rPr>
                        <w:t>. Note that migration of His</w:t>
                      </w:r>
                      <w:r w:rsidRPr="00534E60">
                        <w:rPr>
                          <w:rFonts w:cs="Times New Roman"/>
                          <w:iCs/>
                          <w:color w:val="000000"/>
                          <w:szCs w:val="24"/>
                          <w:shd w:val="clear" w:color="auto" w:fill="FFFFFF"/>
                          <w:vertAlign w:val="subscript"/>
                        </w:rPr>
                        <w:t>6</w:t>
                      </w:r>
                      <w:r w:rsidRPr="00534E60">
                        <w:rPr>
                          <w:rFonts w:cs="Times New Roman"/>
                          <w:iCs/>
                          <w:color w:val="000000"/>
                          <w:szCs w:val="24"/>
                          <w:shd w:val="clear" w:color="auto" w:fill="FFFFFF"/>
                        </w:rPr>
                        <w:t xml:space="preserve">CpxR is slower than native </w:t>
                      </w:r>
                      <w:proofErr w:type="spellStart"/>
                      <w:r w:rsidRPr="00534E60">
                        <w:rPr>
                          <w:rFonts w:cs="Times New Roman"/>
                          <w:iCs/>
                          <w:color w:val="000000"/>
                          <w:szCs w:val="24"/>
                          <w:shd w:val="clear" w:color="auto" w:fill="FFFFFF"/>
                        </w:rPr>
                        <w:t>CpxR</w:t>
                      </w:r>
                      <w:proofErr w:type="spellEnd"/>
                      <w:r w:rsidRPr="00534E60">
                        <w:rPr>
                          <w:rFonts w:cs="Times New Roman"/>
                          <w:iCs/>
                          <w:color w:val="000000"/>
                          <w:szCs w:val="24"/>
                          <w:shd w:val="clear" w:color="auto" w:fill="FFFFFF"/>
                        </w:rPr>
                        <w:t>.</w:t>
                      </w:r>
                      <w:r>
                        <w:rPr>
                          <w:rFonts w:cs="Times New Roman"/>
                          <w:iCs/>
                          <w:color w:val="000000"/>
                          <w:szCs w:val="24"/>
                          <w:shd w:val="clear" w:color="auto" w:fill="FFFFFF"/>
                        </w:rPr>
                        <w:t xml:space="preserve"> D) </w:t>
                      </w:r>
                      <w:r w:rsidRPr="00534E60">
                        <w:rPr>
                          <w:rFonts w:cs="Times New Roman"/>
                          <w:iCs/>
                          <w:color w:val="000000"/>
                          <w:szCs w:val="24"/>
                          <w:shd w:val="clear" w:color="auto" w:fill="FFFFFF"/>
                        </w:rPr>
                        <w:t xml:space="preserve">The ratio </w:t>
                      </w:r>
                      <w:proofErr w:type="spellStart"/>
                      <w:r w:rsidRPr="00534E60">
                        <w:rPr>
                          <w:rFonts w:cs="Times New Roman"/>
                          <w:iCs/>
                          <w:color w:val="000000"/>
                          <w:szCs w:val="24"/>
                          <w:shd w:val="clear" w:color="auto" w:fill="FFFFFF"/>
                        </w:rPr>
                        <w:t>CpxR</w:t>
                      </w:r>
                      <w:proofErr w:type="spellEnd"/>
                      <w:r w:rsidRPr="00534E60">
                        <w:rPr>
                          <w:rFonts w:cs="Times New Roman"/>
                          <w:iCs/>
                          <w:color w:val="000000"/>
                          <w:szCs w:val="24"/>
                          <w:shd w:val="clear" w:color="auto" w:fill="FFFFFF"/>
                        </w:rPr>
                        <w:t xml:space="preserve">-P to </w:t>
                      </w:r>
                      <w:proofErr w:type="spellStart"/>
                      <w:r w:rsidRPr="00534E60">
                        <w:rPr>
                          <w:rFonts w:cs="Times New Roman"/>
                          <w:iCs/>
                          <w:color w:val="000000"/>
                          <w:szCs w:val="24"/>
                          <w:shd w:val="clear" w:color="auto" w:fill="FFFFFF"/>
                        </w:rPr>
                        <w:t>CpxR</w:t>
                      </w:r>
                      <w:proofErr w:type="spellEnd"/>
                      <w:r w:rsidRPr="00534E60">
                        <w:rPr>
                          <w:rFonts w:cs="Times New Roman"/>
                          <w:iCs/>
                          <w:color w:val="000000"/>
                          <w:szCs w:val="24"/>
                          <w:shd w:val="clear" w:color="auto" w:fill="FFFFFF"/>
                        </w:rPr>
                        <w:t xml:space="preserve"> was determined using densitometry; mean and standard deviation are from 4 independent experiments. P-values were calculated with one-way ANOVA followed by a Tukey test.</w:t>
                      </w:r>
                    </w:p>
                    <w:p w14:paraId="5B6D3C98" w14:textId="77777777" w:rsidR="00654CB9" w:rsidRDefault="00654CB9" w:rsidP="00654CB9"/>
                  </w:txbxContent>
                </v:textbox>
                <w10:anchorlock/>
              </v:shape>
            </w:pict>
          </mc:Fallback>
        </mc:AlternateContent>
      </w:r>
    </w:p>
    <w:p w14:paraId="3173EFE0" w14:textId="77777777" w:rsidR="00654CB9" w:rsidRPr="00654CB9" w:rsidRDefault="00654CB9" w:rsidP="00654CB9">
      <w:pPr>
        <w:ind w:firstLine="720"/>
        <w:rPr>
          <w:rFonts w:cs="Times New Roman"/>
          <w:noProof/>
          <w:sz w:val="22"/>
        </w:rPr>
      </w:pPr>
      <w:r w:rsidRPr="00654CB9">
        <w:rPr>
          <w:rFonts w:cs="Times New Roman"/>
          <w:b/>
          <w:bCs/>
          <w:color w:val="000000"/>
          <w:szCs w:val="24"/>
          <w:shd w:val="clear" w:color="auto" w:fill="FFFFFF"/>
        </w:rPr>
        <w:t xml:space="preserve">Compound </w:t>
      </w:r>
      <w:r w:rsidRPr="00654CB9">
        <w:rPr>
          <w:rFonts w:cs="Times New Roman"/>
          <w:b/>
          <w:bCs/>
          <w:szCs w:val="24"/>
        </w:rPr>
        <w:t>2.</w:t>
      </w:r>
      <w:r w:rsidRPr="00654CB9">
        <w:rPr>
          <w:rFonts w:cs="Times New Roman"/>
          <w:b/>
          <w:bCs/>
          <w:color w:val="000000"/>
          <w:szCs w:val="24"/>
          <w:shd w:val="clear" w:color="auto" w:fill="FFFFFF"/>
        </w:rPr>
        <w:t>26 is effective for treatment of UTIs in the murine model.</w:t>
      </w:r>
      <w:r w:rsidRPr="00654CB9">
        <w:rPr>
          <w:rFonts w:cs="Times New Roman"/>
          <w:b/>
          <w:bCs/>
          <w:i/>
          <w:iCs/>
          <w:color w:val="000000"/>
          <w:szCs w:val="24"/>
          <w:shd w:val="clear" w:color="auto" w:fill="FFFFFF"/>
        </w:rPr>
        <w:t xml:space="preserve"> </w:t>
      </w:r>
      <w:r w:rsidRPr="00654CB9">
        <w:rPr>
          <w:rFonts w:cs="Times New Roman"/>
          <w:color w:val="000000"/>
          <w:szCs w:val="24"/>
          <w:shd w:val="clear" w:color="auto" w:fill="FFFFFF"/>
        </w:rPr>
        <w:t>I</w:t>
      </w:r>
      <w:r w:rsidRPr="00654CB9">
        <w:rPr>
          <w:rFonts w:cs="Times New Roman"/>
          <w:szCs w:val="24"/>
        </w:rPr>
        <w:t xml:space="preserve">n the interest of investigating the ability of pharmacologically activated </w:t>
      </w:r>
      <w:proofErr w:type="spellStart"/>
      <w:r w:rsidRPr="00654CB9">
        <w:rPr>
          <w:rFonts w:cs="Times New Roman"/>
          <w:szCs w:val="24"/>
        </w:rPr>
        <w:t>CpxR</w:t>
      </w:r>
      <w:proofErr w:type="spellEnd"/>
      <w:r w:rsidRPr="00654CB9">
        <w:rPr>
          <w:rFonts w:cs="Times New Roman"/>
          <w:szCs w:val="24"/>
        </w:rPr>
        <w:t xml:space="preserve"> to mimic the </w:t>
      </w:r>
      <w:proofErr w:type="spellStart"/>
      <w:r w:rsidRPr="00654CB9">
        <w:rPr>
          <w:rFonts w:cs="Times New Roman"/>
          <w:i/>
          <w:iCs/>
          <w:szCs w:val="24"/>
        </w:rPr>
        <w:t>cpxA</w:t>
      </w:r>
      <w:proofErr w:type="spellEnd"/>
      <w:r w:rsidRPr="00654CB9">
        <w:rPr>
          <w:rFonts w:cs="Times New Roman"/>
          <w:szCs w:val="24"/>
        </w:rPr>
        <w:t xml:space="preserve"> deletion phenotype, we evaluated the efficacy of </w:t>
      </w:r>
      <w:r w:rsidRPr="00654CB9">
        <w:rPr>
          <w:rFonts w:cs="Times New Roman"/>
          <w:b/>
          <w:bCs/>
          <w:szCs w:val="24"/>
        </w:rPr>
        <w:t>2.26</w:t>
      </w:r>
      <w:r w:rsidRPr="00654CB9">
        <w:rPr>
          <w:rFonts w:cs="Times New Roman"/>
          <w:szCs w:val="24"/>
        </w:rPr>
        <w:t xml:space="preserve"> for treatment of UTIs in the murine model.</w:t>
      </w:r>
      <w:r w:rsidRPr="00654CB9">
        <w:rPr>
          <w:rFonts w:cs="Times New Roman"/>
          <w:szCs w:val="24"/>
        </w:rPr>
        <w:fldChar w:fldCharType="begin"/>
      </w:r>
      <w:r w:rsidRPr="00654CB9">
        <w:rPr>
          <w:rFonts w:cs="Times New Roman"/>
          <w:szCs w:val="24"/>
        </w:rPr>
        <w:instrText xml:space="preserve"> ADDIN ZOTERO_ITEM CSL_CITATION {"citationID":"ZsO21NiA","properties":{"formattedCitation":"\\super 2\\nosupersub{}","plainCitation":"2","noteIndex":0},"citationItems":[{"id":691,"uris":["http://zotero.org/users/6503767/items/7ATYW2D4"],"itemData":{"id":691,"type":"article-journal","container-title":"Microbiology Spectrum","DOI":"10.1128/spectrum.02430-21","issue":"0","note":"publisher: American Society for Microbiology","page":"e02430-21","source":"journals.asm.org (Atypon)","title":"CpxA Phosphatase Inhibitor Activates CpxRA and Is a Potential Treatment for Uropathogenic Escherichia coli in a Murine Model of Infection","volume":"0","author":[{"family":"Fortney","given":"Kate R."},{"family":"Smith","given":"Sara N."},{"family":"Rensburg","given":"Julia J.","non-dropping-particle":"van"},{"family":"Brothwell","given":"Julie A."},{"family":"Gardner","given":"Jessi J."},{"family":"Katz","given":"Barry P."},{"family":"Ahsan","given":"Nagib"},{"family":"Duerfeldt","given":"Adam S."},{"family":"Mobley","given":"Harry L. T."},{"family":"Spinola","given":"Stanley M."}]}}],"schema":"https://github.com/citation-style-language/schema/raw/master/csl-citation.json"}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2</w:t>
      </w:r>
      <w:r w:rsidRPr="00654CB9">
        <w:rPr>
          <w:rFonts w:cs="Times New Roman"/>
          <w:szCs w:val="24"/>
        </w:rPr>
        <w:fldChar w:fldCharType="end"/>
      </w:r>
      <w:r w:rsidRPr="00654CB9">
        <w:rPr>
          <w:rFonts w:cs="Times New Roman"/>
          <w:szCs w:val="24"/>
        </w:rPr>
        <w:t xml:space="preserve"> The 4-arm trial included a group inoculated with CFT073 and treated with the vehicle control, a group inoculated with the </w:t>
      </w:r>
      <w:proofErr w:type="spellStart"/>
      <w:r w:rsidRPr="00654CB9">
        <w:rPr>
          <w:rFonts w:cs="Times New Roman"/>
          <w:szCs w:val="24"/>
        </w:rPr>
        <w:t>CpxA</w:t>
      </w:r>
      <w:proofErr w:type="spellEnd"/>
      <w:r w:rsidRPr="00654CB9">
        <w:rPr>
          <w:rFonts w:cs="Times New Roman"/>
          <w:szCs w:val="24"/>
        </w:rPr>
        <w:t xml:space="preserve"> deletion mutant (CFT073</w:t>
      </w:r>
      <w:r w:rsidRPr="00654CB9">
        <w:rPr>
          <w:rFonts w:cs="Times New Roman"/>
          <w:i/>
          <w:iCs/>
          <w:szCs w:val="24"/>
        </w:rPr>
        <w:t>ΔcpxA::cat</w:t>
      </w:r>
      <w:r w:rsidRPr="00654CB9">
        <w:rPr>
          <w:rFonts w:cs="Times New Roman"/>
          <w:szCs w:val="24"/>
        </w:rPr>
        <w:t xml:space="preserve">) and treated with the vehicle </w:t>
      </w:r>
      <w:r w:rsidRPr="00654CB9">
        <w:rPr>
          <w:rFonts w:cs="Times New Roman"/>
          <w:szCs w:val="24"/>
        </w:rPr>
        <w:lastRenderedPageBreak/>
        <w:t xml:space="preserve">control, a group inoculated with the parent UPEC strain (CFT073) and treated with compound </w:t>
      </w:r>
      <w:r w:rsidRPr="00654CB9">
        <w:rPr>
          <w:rFonts w:cs="Times New Roman"/>
          <w:b/>
          <w:bCs/>
          <w:szCs w:val="24"/>
        </w:rPr>
        <w:t>2.26</w:t>
      </w:r>
      <w:r w:rsidRPr="00654CB9">
        <w:rPr>
          <w:rFonts w:cs="Times New Roman"/>
          <w:szCs w:val="24"/>
        </w:rPr>
        <w:t>, and a group inoculated with CFT073 and treated with ciprofloxacin.</w:t>
      </w:r>
      <w:r w:rsidRPr="00654CB9">
        <w:rPr>
          <w:rFonts w:cs="Times New Roman"/>
          <w:noProof/>
          <w:sz w:val="22"/>
        </w:rPr>
        <w:t xml:space="preserve"> </w:t>
      </w:r>
    </w:p>
    <w:p w14:paraId="47C64329" w14:textId="7D1F5470" w:rsidR="00654CB9" w:rsidRPr="00654CB9" w:rsidRDefault="00654CB9" w:rsidP="00654CB9">
      <w:pPr>
        <w:spacing w:after="0"/>
        <w:ind w:firstLine="720"/>
        <w:contextualSpacing/>
        <w:rPr>
          <w:rFonts w:cs="Times New Roman"/>
          <w:szCs w:val="24"/>
        </w:rPr>
      </w:pPr>
      <w:r w:rsidRPr="00654CB9">
        <w:rPr>
          <w:rFonts w:cs="Times New Roman"/>
          <w:szCs w:val="24"/>
        </w:rPr>
        <w:t xml:space="preserve">While the </w:t>
      </w:r>
      <w:proofErr w:type="spellStart"/>
      <w:r w:rsidRPr="00654CB9">
        <w:rPr>
          <w:rFonts w:cs="Times New Roman"/>
          <w:i/>
          <w:iCs/>
          <w:szCs w:val="24"/>
        </w:rPr>
        <w:t>cpxA</w:t>
      </w:r>
      <w:proofErr w:type="spellEnd"/>
      <w:r w:rsidRPr="00654CB9">
        <w:rPr>
          <w:rFonts w:cs="Times New Roman"/>
          <w:szCs w:val="24"/>
        </w:rPr>
        <w:t xml:space="preserve"> mutant was recovered at levels generally similar to those of the parent transformed with an empty vector, mice treated with ciprofloxacin or </w:t>
      </w:r>
      <w:r w:rsidRPr="00654CB9">
        <w:rPr>
          <w:rFonts w:cs="Times New Roman"/>
          <w:b/>
          <w:bCs/>
          <w:szCs w:val="24"/>
        </w:rPr>
        <w:t>2.26</w:t>
      </w:r>
      <w:r w:rsidRPr="00654CB9">
        <w:rPr>
          <w:rFonts w:cs="Times New Roman"/>
          <w:szCs w:val="24"/>
        </w:rPr>
        <w:t xml:space="preserve"> retained a median of 1,000-fold less bacteria cells in urine and kidney samples and 10-fold less in bladder samples. Mice inoculated with CFT073 and treated with ciprofloxacin had significantly lower recoverable CFU in the urine (P = 0.008) and kidneys (P = 0.032) but not the bladder (P = 0.174) compared to the CFT073 inoculated and vehicle treated controls (</w:t>
      </w:r>
      <w:r w:rsidRPr="00654CB9">
        <w:rPr>
          <w:rFonts w:cs="Times New Roman"/>
          <w:b/>
          <w:bCs/>
          <w:szCs w:val="24"/>
        </w:rPr>
        <w:fldChar w:fldCharType="begin"/>
      </w:r>
      <w:r w:rsidRPr="00654CB9">
        <w:rPr>
          <w:rFonts w:cs="Times New Roman"/>
          <w:b/>
          <w:bCs/>
          <w:szCs w:val="24"/>
        </w:rPr>
        <w:instrText xml:space="preserve"> REF _Ref88234416 \h  \* MERGEFORMAT </w:instrText>
      </w:r>
      <w:r w:rsidRPr="00654CB9">
        <w:rPr>
          <w:rFonts w:cs="Times New Roman"/>
          <w:b/>
          <w:bCs/>
          <w:szCs w:val="24"/>
        </w:rPr>
      </w:r>
      <w:r w:rsidRPr="00654CB9">
        <w:rPr>
          <w:rFonts w:cs="Times New Roman"/>
          <w:b/>
          <w:bCs/>
          <w:szCs w:val="24"/>
        </w:rPr>
        <w:fldChar w:fldCharType="separate"/>
      </w:r>
      <w:r w:rsidR="00AA5AAC" w:rsidRPr="00AA5AAC">
        <w:rPr>
          <w:rFonts w:cs="Times New Roman"/>
          <w:b/>
          <w:bCs/>
          <w:szCs w:val="24"/>
        </w:rPr>
        <w:t>Figure 2.11</w:t>
      </w:r>
      <w:r w:rsidRPr="00654CB9">
        <w:rPr>
          <w:rFonts w:cs="Times New Roman"/>
          <w:b/>
          <w:bCs/>
          <w:szCs w:val="24"/>
        </w:rPr>
        <w:fldChar w:fldCharType="end"/>
      </w:r>
      <w:r w:rsidRPr="00654CB9">
        <w:rPr>
          <w:rFonts w:cs="Times New Roman"/>
          <w:szCs w:val="24"/>
        </w:rPr>
        <w:t xml:space="preserve">). Treatment of mice inoculated with CFT073 with 100 mg/kg of </w:t>
      </w:r>
      <w:r w:rsidRPr="00654CB9">
        <w:rPr>
          <w:rFonts w:cs="Times New Roman"/>
          <w:b/>
          <w:bCs/>
          <w:szCs w:val="24"/>
        </w:rPr>
        <w:t>2.26</w:t>
      </w:r>
      <w:r w:rsidRPr="00654CB9">
        <w:rPr>
          <w:rFonts w:cs="Times New Roman"/>
          <w:szCs w:val="24"/>
        </w:rPr>
        <w:t xml:space="preserve"> significantly lowered the recoverable CFU in the urine (P = 0.036) and trended towards lowering the CFU in the bladder (P = 0.065) and the kidneys (P = 0.067) compared to the CFT073 inoculated and vehicle treated controls (</w:t>
      </w:r>
      <w:r w:rsidRPr="00654CB9">
        <w:rPr>
          <w:rFonts w:cs="Times New Roman"/>
          <w:b/>
          <w:bCs/>
          <w:szCs w:val="24"/>
        </w:rPr>
        <w:fldChar w:fldCharType="begin"/>
      </w:r>
      <w:r w:rsidRPr="00654CB9">
        <w:rPr>
          <w:rFonts w:cs="Times New Roman"/>
          <w:b/>
          <w:bCs/>
          <w:szCs w:val="24"/>
        </w:rPr>
        <w:instrText xml:space="preserve"> REF _Ref88234416 \h  \* MERGEFORMAT </w:instrText>
      </w:r>
      <w:r w:rsidRPr="00654CB9">
        <w:rPr>
          <w:rFonts w:cs="Times New Roman"/>
          <w:b/>
          <w:bCs/>
          <w:szCs w:val="24"/>
        </w:rPr>
      </w:r>
      <w:r w:rsidRPr="00654CB9">
        <w:rPr>
          <w:rFonts w:cs="Times New Roman"/>
          <w:b/>
          <w:bCs/>
          <w:szCs w:val="24"/>
        </w:rPr>
        <w:fldChar w:fldCharType="separate"/>
      </w:r>
      <w:r w:rsidR="00AA5AAC" w:rsidRPr="00AA5AAC">
        <w:rPr>
          <w:rFonts w:cs="Times New Roman"/>
          <w:b/>
          <w:bCs/>
          <w:szCs w:val="24"/>
        </w:rPr>
        <w:t>Figure 2.11</w:t>
      </w:r>
      <w:r w:rsidRPr="00654CB9">
        <w:rPr>
          <w:rFonts w:cs="Times New Roman"/>
          <w:b/>
          <w:bCs/>
          <w:szCs w:val="24"/>
        </w:rPr>
        <w:fldChar w:fldCharType="end"/>
      </w:r>
      <w:r w:rsidRPr="00654CB9">
        <w:rPr>
          <w:rFonts w:cs="Times New Roman"/>
          <w:szCs w:val="24"/>
        </w:rPr>
        <w:t xml:space="preserve">). In comparing the groups inoculated with CFT073 and treated with </w:t>
      </w:r>
      <w:r w:rsidRPr="00654CB9">
        <w:rPr>
          <w:rFonts w:cs="Times New Roman"/>
          <w:b/>
          <w:bCs/>
          <w:szCs w:val="24"/>
        </w:rPr>
        <w:t>2.26</w:t>
      </w:r>
      <w:r w:rsidRPr="00654CB9">
        <w:rPr>
          <w:rFonts w:cs="Times New Roman"/>
          <w:szCs w:val="24"/>
        </w:rPr>
        <w:t xml:space="preserve"> or ciprofloxacin, there were no significant differences in the recoverable CFU in the urine, bladder, and kidneys (all P &gt; 0.9).</w:t>
      </w:r>
      <w:r w:rsidRPr="00654CB9">
        <w:rPr>
          <w:rFonts w:asciiTheme="minorHAnsi" w:hAnsiTheme="minorHAnsi"/>
          <w:sz w:val="16"/>
          <w:szCs w:val="16"/>
        </w:rPr>
        <w:t xml:space="preserve"> </w:t>
      </w:r>
      <w:r w:rsidRPr="00654CB9">
        <w:rPr>
          <w:rFonts w:cs="Times New Roman"/>
          <w:szCs w:val="24"/>
        </w:rPr>
        <w:t xml:space="preserve">Thus, our lead compound </w:t>
      </w:r>
      <w:r w:rsidRPr="00654CB9">
        <w:rPr>
          <w:rFonts w:cs="Times New Roman"/>
          <w:b/>
          <w:bCs/>
          <w:szCs w:val="24"/>
        </w:rPr>
        <w:t>2.26</w:t>
      </w:r>
      <w:r w:rsidRPr="00654CB9">
        <w:rPr>
          <w:rFonts w:cs="Times New Roman"/>
          <w:szCs w:val="24"/>
        </w:rPr>
        <w:t xml:space="preserve"> was found to be as active as ciprofloxacin in mouse urine, bladder, and kidney samples, which is significant considering ciprofloxacin is believed the standard treatment for patients with complicated UTIs.</w:t>
      </w:r>
      <w:r w:rsidRPr="00654CB9">
        <w:rPr>
          <w:rFonts w:cs="Times New Roman"/>
          <w:szCs w:val="24"/>
        </w:rPr>
        <w:fldChar w:fldCharType="begin"/>
      </w:r>
      <w:r w:rsidRPr="00654CB9">
        <w:rPr>
          <w:rFonts w:cs="Times New Roman"/>
          <w:szCs w:val="24"/>
        </w:rPr>
        <w:instrText xml:space="preserve"> ADDIN ZOTERO_ITEM CSL_CITATION {"citationID":"NQ6iSSaz","properties":{"formattedCitation":"\\super 22\\uc0\\u8211{}24\\nosupersub{}","plainCitation":"22–24","noteIndex":0},"citationItems":[{"id":169,"uris":["http://zotero.org/users/6503767/items/IHPFN2UT"],"itemData":{"id":169,"type":"article-journal","container-title":"International Journal of Antimicrobial Agents","DOI":"10.1016/S0924-8579(98)00088-0","ISSN":"09248579","issue":"2","journalAbbreviation":"International Journal of Antimicrobial Agents","language":"en","page":"133-138","source":"DOI.org (Crossref)","title":"Ciprofloxacin once versus twice daily in the treatment of complicated urinary tract infections","volume":"11","author":[{"family":"Krcmery","given":"S."},{"family":"Naber","given":"K.G."}],"issued":{"date-parts":[["1999",2]]}}},{"id":167,"uris":["http://zotero.org/users/6503767/items/YUX8JIUY"],"itemData":{"id":167,"type":"article-journal","issue":"3","journalAbbreviation":"Am Fam Physician","page":"455-465","title":"Quinolones: A Comprehensive Review","volume":"65","author":[{"family":"Oliphant","given":"Catherine"},{"family":"Green","given":"Gary"}],"issued":{"date-parts":[["2002"]]}}},{"id":168,"uris":["http://zotero.org/users/6503767/items/B52SFP8P"],"itemData":{"id":168,"type":"article-journal","container-title":"European Journal of Medicinal Chemistry","DOI":"10.1016/j.ejmech.2018.01.078","ISSN":"02235234","journalAbbreviation":"European Journal of Medicinal Chemistry","language":"en","page":"599-612","source":"DOI.org (Crossref)","title":"Ciprofloxacin derivatives and their antibacterial activities","volume":"146","author":[{"family":"Zhang","given":"Gui-Fu"},{"family":"Liu","given":"Xiaofeng"},{"family":"Zhang","given":"Shu"},{"family":"Pan","given":"Baofeng"},{"family":"Liu","given":"Ming-Liang"}],"issued":{"date-parts":[["2018",2]]}}}],"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22–24</w:t>
      </w:r>
      <w:r w:rsidRPr="00654CB9">
        <w:rPr>
          <w:rFonts w:cs="Times New Roman"/>
          <w:szCs w:val="24"/>
        </w:rPr>
        <w:fldChar w:fldCharType="end"/>
      </w:r>
      <w:r w:rsidRPr="00654CB9">
        <w:rPr>
          <w:rFonts w:cs="Times New Roman"/>
          <w:szCs w:val="24"/>
        </w:rPr>
        <w:t xml:space="preserve"> </w:t>
      </w:r>
    </w:p>
    <w:p w14:paraId="1C0B4D1F" w14:textId="77777777" w:rsidR="00654CB9" w:rsidRPr="00654CB9" w:rsidRDefault="00654CB9" w:rsidP="00971132">
      <w:pPr>
        <w:contextualSpacing/>
        <w:rPr>
          <w:rFonts w:cs="Times New Roman"/>
          <w:szCs w:val="24"/>
        </w:rPr>
      </w:pPr>
      <w:r w:rsidRPr="00654CB9">
        <w:rPr>
          <w:rFonts w:cs="Times New Roman"/>
          <w:noProof/>
          <w:sz w:val="22"/>
        </w:rPr>
        <w:lastRenderedPageBreak/>
        <mc:AlternateContent>
          <mc:Choice Requires="wps">
            <w:drawing>
              <wp:inline distT="0" distB="0" distL="0" distR="0" wp14:anchorId="439D1E4D" wp14:editId="63587BF9">
                <wp:extent cx="5943600" cy="6098651"/>
                <wp:effectExtent l="0" t="0" r="19050" b="1651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98651"/>
                        </a:xfrm>
                        <a:prstGeom prst="rect">
                          <a:avLst/>
                        </a:prstGeom>
                        <a:solidFill>
                          <a:srgbClr val="FFFFFF"/>
                        </a:solidFill>
                        <a:ln w="9525">
                          <a:solidFill>
                            <a:srgbClr val="000000"/>
                          </a:solidFill>
                          <a:miter lim="800000"/>
                          <a:headEnd/>
                          <a:tailEnd/>
                        </a:ln>
                      </wps:spPr>
                      <wps:txbx>
                        <w:txbxContent>
                          <w:p w14:paraId="652A66C1" w14:textId="77777777" w:rsidR="00654CB9" w:rsidRDefault="00654CB9" w:rsidP="00654CB9">
                            <w:pPr>
                              <w:keepNext/>
                              <w:jc w:val="center"/>
                            </w:pPr>
                            <w:r>
                              <w:rPr>
                                <w:noProof/>
                              </w:rPr>
                              <w:drawing>
                                <wp:inline distT="0" distB="0" distL="0" distR="0" wp14:anchorId="01E8DF00" wp14:editId="0A9B5971">
                                  <wp:extent cx="5486453" cy="4353140"/>
                                  <wp:effectExtent l="0" t="0" r="0" b="9525"/>
                                  <wp:docPr id="199" name="Picture 199" descr="Recovery of bacteria from mice urine, bladder, and kidney samp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Recovery of bacteria from mice urine, bladder, and kidney samples. "/>
                                          <pic:cNvPicPr/>
                                        </pic:nvPicPr>
                                        <pic:blipFill>
                                          <a:blip r:embed="rId121">
                                            <a:extLst>
                                              <a:ext uri="{28A0092B-C50C-407E-A947-70E740481C1C}">
                                                <a14:useLocalDpi xmlns:a14="http://schemas.microsoft.com/office/drawing/2010/main" val="0"/>
                                              </a:ext>
                                            </a:extLst>
                                          </a:blip>
                                          <a:stretch>
                                            <a:fillRect/>
                                          </a:stretch>
                                        </pic:blipFill>
                                        <pic:spPr>
                                          <a:xfrm>
                                            <a:off x="0" y="0"/>
                                            <a:ext cx="5486453" cy="4353140"/>
                                          </a:xfrm>
                                          <a:prstGeom prst="rect">
                                            <a:avLst/>
                                          </a:prstGeom>
                                        </pic:spPr>
                                      </pic:pic>
                                    </a:graphicData>
                                  </a:graphic>
                                </wp:inline>
                              </w:drawing>
                            </w:r>
                          </w:p>
                          <w:p w14:paraId="26B4DFA5" w14:textId="7A861897" w:rsidR="00654CB9" w:rsidRDefault="00654CB9" w:rsidP="00DF51F5">
                            <w:pPr>
                              <w:pStyle w:val="Caption"/>
                            </w:pPr>
                            <w:bookmarkStart w:id="183" w:name="_Ref88234416"/>
                            <w:bookmarkStart w:id="184" w:name="_Toc97309256"/>
                            <w:bookmarkStart w:id="185" w:name="_Toc100748305"/>
                            <w:r>
                              <w:t xml:space="preserve">Figure </w:t>
                            </w:r>
                            <w:r w:rsidRPr="00315F70">
                              <w:rPr>
                                <w:rFonts w:cs="Times New Roman"/>
                                <w:szCs w:val="24"/>
                              </w:rPr>
                              <w:t>2.</w:t>
                            </w:r>
                            <w:r w:rsidR="005352D9">
                              <w:rPr>
                                <w:rFonts w:cs="Times New Roman"/>
                                <w:szCs w:val="24"/>
                              </w:rPr>
                              <w:fldChar w:fldCharType="begin"/>
                            </w:r>
                            <w:r w:rsidR="005352D9">
                              <w:rPr>
                                <w:rFonts w:cs="Times New Roman"/>
                                <w:szCs w:val="24"/>
                              </w:rPr>
                              <w:instrText xml:space="preserve"> SEQ Figure \* ARABIC </w:instrText>
                            </w:r>
                            <w:r w:rsidR="005352D9">
                              <w:rPr>
                                <w:rFonts w:cs="Times New Roman"/>
                                <w:szCs w:val="24"/>
                              </w:rPr>
                              <w:fldChar w:fldCharType="separate"/>
                            </w:r>
                            <w:r w:rsidR="00AA5AAC">
                              <w:rPr>
                                <w:rFonts w:cs="Times New Roman"/>
                                <w:noProof/>
                                <w:szCs w:val="24"/>
                              </w:rPr>
                              <w:t>11</w:t>
                            </w:r>
                            <w:r w:rsidR="005352D9">
                              <w:rPr>
                                <w:rFonts w:cs="Times New Roman"/>
                                <w:szCs w:val="24"/>
                              </w:rPr>
                              <w:fldChar w:fldCharType="end"/>
                            </w:r>
                            <w:bookmarkEnd w:id="183"/>
                            <w:r>
                              <w:t>. Recovery of bacteria from mice urine, bladder, and kidney samples.</w:t>
                            </w:r>
                            <w:bookmarkEnd w:id="184"/>
                            <w:bookmarkEnd w:id="185"/>
                            <w:r>
                              <w:t xml:space="preserve"> </w:t>
                            </w:r>
                          </w:p>
                          <w:p w14:paraId="03F47524" w14:textId="77777777" w:rsidR="00654CB9" w:rsidRPr="006F641C" w:rsidRDefault="00654CB9" w:rsidP="0001141C">
                            <w:pPr>
                              <w:spacing w:line="240" w:lineRule="auto"/>
                              <w:rPr>
                                <w:rFonts w:cs="Times New Roman"/>
                                <w:szCs w:val="24"/>
                              </w:rPr>
                            </w:pPr>
                            <w:r>
                              <w:rPr>
                                <w:rFonts w:cs="Times New Roman"/>
                                <w:szCs w:val="24"/>
                              </w:rPr>
                              <w:t>Mice were inoculated with CFT073 or CFT073Δ</w:t>
                            </w:r>
                            <w:proofErr w:type="gramStart"/>
                            <w:r w:rsidRPr="00B5166D">
                              <w:rPr>
                                <w:rFonts w:cs="Times New Roman"/>
                                <w:i/>
                                <w:iCs/>
                                <w:szCs w:val="24"/>
                              </w:rPr>
                              <w:t>cpxA</w:t>
                            </w:r>
                            <w:r>
                              <w:rPr>
                                <w:rFonts w:cs="Times New Roman"/>
                                <w:szCs w:val="24"/>
                              </w:rPr>
                              <w:t>::</w:t>
                            </w:r>
                            <w:proofErr w:type="gramEnd"/>
                            <w:r w:rsidRPr="00B5166D">
                              <w:rPr>
                                <w:rFonts w:cs="Times New Roman"/>
                                <w:i/>
                                <w:iCs/>
                                <w:szCs w:val="24"/>
                              </w:rPr>
                              <w:t>cat</w:t>
                            </w:r>
                            <w:r>
                              <w:rPr>
                                <w:rFonts w:cs="Times New Roman"/>
                                <w:szCs w:val="24"/>
                              </w:rPr>
                              <w:t xml:space="preserve"> and treated with </w:t>
                            </w:r>
                            <w:r w:rsidRPr="00B5166D">
                              <w:rPr>
                                <w:rFonts w:cs="Times New Roman"/>
                                <w:szCs w:val="24"/>
                              </w:rPr>
                              <w:t xml:space="preserve">the vehicle control (VC), ciprofloxacin, or </w:t>
                            </w:r>
                            <w:r w:rsidRPr="008C666A">
                              <w:rPr>
                                <w:rFonts w:cs="Times New Roman"/>
                                <w:b/>
                                <w:bCs/>
                                <w:szCs w:val="24"/>
                              </w:rPr>
                              <w:t>2.</w:t>
                            </w:r>
                            <w:r w:rsidRPr="00B5166D">
                              <w:rPr>
                                <w:rFonts w:cs="Times New Roman"/>
                                <w:b/>
                                <w:bCs/>
                                <w:szCs w:val="24"/>
                              </w:rPr>
                              <w:t>26</w:t>
                            </w:r>
                            <w:r w:rsidRPr="00B5166D">
                              <w:rPr>
                                <w:rFonts w:cs="Times New Roman"/>
                                <w:szCs w:val="24"/>
                              </w:rPr>
                              <w:t xml:space="preserve"> as described in text. The mice were sacrificed 4 hours after the final treatment. The dashed line represents 50 CFU, which was assigned to samples with CFU below the limit of detection. The recovery of CFT073 from </w:t>
                            </w:r>
                            <w:r w:rsidRPr="008C666A">
                              <w:rPr>
                                <w:rFonts w:cs="Times New Roman"/>
                                <w:b/>
                                <w:bCs/>
                                <w:szCs w:val="24"/>
                              </w:rPr>
                              <w:t>2.</w:t>
                            </w:r>
                            <w:r w:rsidRPr="00B5166D">
                              <w:rPr>
                                <w:rFonts w:cs="Times New Roman"/>
                                <w:b/>
                                <w:bCs/>
                                <w:szCs w:val="24"/>
                              </w:rPr>
                              <w:t>26</w:t>
                            </w:r>
                            <w:r w:rsidRPr="00B5166D">
                              <w:rPr>
                                <w:rFonts w:cs="Times New Roman"/>
                                <w:szCs w:val="24"/>
                              </w:rPr>
                              <w:t xml:space="preserve"> treated mice was significantly reduced in the urine and trended towards being reduced in the bladder and kidney compared to the vehicle control treated mice.</w:t>
                            </w:r>
                          </w:p>
                        </w:txbxContent>
                      </wps:txbx>
                      <wps:bodyPr rot="0" vert="horz" wrap="square" lIns="91440" tIns="45720" rIns="91440" bIns="45720" anchor="t" anchorCtr="0">
                        <a:noAutofit/>
                      </wps:bodyPr>
                    </wps:wsp>
                  </a:graphicData>
                </a:graphic>
              </wp:inline>
            </w:drawing>
          </mc:Choice>
          <mc:Fallback>
            <w:pict>
              <v:shape w14:anchorId="439D1E4D" id="_x0000_s1054" type="#_x0000_t202" style="width:468pt;height:4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">
                <v:textbox>
                  <w:txbxContent>
                    <w:p w14:paraId="652A66C1" w14:textId="77777777" w:rsidR="00654CB9" w:rsidRDefault="00654CB9" w:rsidP="00654CB9">
                      <w:pPr>
                        <w:keepNext/>
                        <w:jc w:val="center"/>
                      </w:pPr>
                      <w:r>
                        <w:rPr>
                          <w:noProof/>
                        </w:rPr>
                        <w:drawing>
                          <wp:inline distT="0" distB="0" distL="0" distR="0" wp14:anchorId="01E8DF00" wp14:editId="0A9B5971">
                            <wp:extent cx="5486453" cy="4353140"/>
                            <wp:effectExtent l="0" t="0" r="0" b="9525"/>
                            <wp:docPr id="199" name="Picture 199" descr="Recovery of bacteria from mice urine, bladder, and kidney samp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Recovery of bacteria from mice urine, bladder, and kidney samples. "/>
                                    <pic:cNvPicPr/>
                                  </pic:nvPicPr>
                                  <pic:blipFill>
                                    <a:blip r:embed="rId121">
                                      <a:extLst>
                                        <a:ext uri="{28A0092B-C50C-407E-A947-70E740481C1C}">
                                          <a14:useLocalDpi xmlns:a14="http://schemas.microsoft.com/office/drawing/2010/main" val="0"/>
                                        </a:ext>
                                      </a:extLst>
                                    </a:blip>
                                    <a:stretch>
                                      <a:fillRect/>
                                    </a:stretch>
                                  </pic:blipFill>
                                  <pic:spPr>
                                    <a:xfrm>
                                      <a:off x="0" y="0"/>
                                      <a:ext cx="5486453" cy="4353140"/>
                                    </a:xfrm>
                                    <a:prstGeom prst="rect">
                                      <a:avLst/>
                                    </a:prstGeom>
                                  </pic:spPr>
                                </pic:pic>
                              </a:graphicData>
                            </a:graphic>
                          </wp:inline>
                        </w:drawing>
                      </w:r>
                    </w:p>
                    <w:p w14:paraId="26B4DFA5" w14:textId="7A861897" w:rsidR="00654CB9" w:rsidRDefault="00654CB9" w:rsidP="00DF51F5">
                      <w:pPr>
                        <w:pStyle w:val="Caption"/>
                      </w:pPr>
                      <w:bookmarkStart w:id="186" w:name="_Ref88234416"/>
                      <w:bookmarkStart w:id="187" w:name="_Toc97309256"/>
                      <w:bookmarkStart w:id="188" w:name="_Toc100748305"/>
                      <w:r>
                        <w:t xml:space="preserve">Figure </w:t>
                      </w:r>
                      <w:r w:rsidRPr="00315F70">
                        <w:rPr>
                          <w:rFonts w:cs="Times New Roman"/>
                          <w:szCs w:val="24"/>
                        </w:rPr>
                        <w:t>2.</w:t>
                      </w:r>
                      <w:r w:rsidR="005352D9">
                        <w:rPr>
                          <w:rFonts w:cs="Times New Roman"/>
                          <w:szCs w:val="24"/>
                        </w:rPr>
                        <w:fldChar w:fldCharType="begin"/>
                      </w:r>
                      <w:r w:rsidR="005352D9">
                        <w:rPr>
                          <w:rFonts w:cs="Times New Roman"/>
                          <w:szCs w:val="24"/>
                        </w:rPr>
                        <w:instrText xml:space="preserve"> SEQ Figure \* ARABIC </w:instrText>
                      </w:r>
                      <w:r w:rsidR="005352D9">
                        <w:rPr>
                          <w:rFonts w:cs="Times New Roman"/>
                          <w:szCs w:val="24"/>
                        </w:rPr>
                        <w:fldChar w:fldCharType="separate"/>
                      </w:r>
                      <w:r w:rsidR="00AA5AAC">
                        <w:rPr>
                          <w:rFonts w:cs="Times New Roman"/>
                          <w:noProof/>
                          <w:szCs w:val="24"/>
                        </w:rPr>
                        <w:t>11</w:t>
                      </w:r>
                      <w:r w:rsidR="005352D9">
                        <w:rPr>
                          <w:rFonts w:cs="Times New Roman"/>
                          <w:szCs w:val="24"/>
                        </w:rPr>
                        <w:fldChar w:fldCharType="end"/>
                      </w:r>
                      <w:bookmarkEnd w:id="186"/>
                      <w:r>
                        <w:t>. Recovery of bacteria from mice urine, bladder, and kidney samples.</w:t>
                      </w:r>
                      <w:bookmarkEnd w:id="187"/>
                      <w:bookmarkEnd w:id="188"/>
                      <w:r>
                        <w:t xml:space="preserve"> </w:t>
                      </w:r>
                    </w:p>
                    <w:p w14:paraId="03F47524" w14:textId="77777777" w:rsidR="00654CB9" w:rsidRPr="006F641C" w:rsidRDefault="00654CB9" w:rsidP="0001141C">
                      <w:pPr>
                        <w:spacing w:line="240" w:lineRule="auto"/>
                        <w:rPr>
                          <w:rFonts w:cs="Times New Roman"/>
                          <w:szCs w:val="24"/>
                        </w:rPr>
                      </w:pPr>
                      <w:r>
                        <w:rPr>
                          <w:rFonts w:cs="Times New Roman"/>
                          <w:szCs w:val="24"/>
                        </w:rPr>
                        <w:t>Mice were inoculated with CFT073 or CFT073Δ</w:t>
                      </w:r>
                      <w:proofErr w:type="gramStart"/>
                      <w:r w:rsidRPr="00B5166D">
                        <w:rPr>
                          <w:rFonts w:cs="Times New Roman"/>
                          <w:i/>
                          <w:iCs/>
                          <w:szCs w:val="24"/>
                        </w:rPr>
                        <w:t>cpxA</w:t>
                      </w:r>
                      <w:r>
                        <w:rPr>
                          <w:rFonts w:cs="Times New Roman"/>
                          <w:szCs w:val="24"/>
                        </w:rPr>
                        <w:t>::</w:t>
                      </w:r>
                      <w:proofErr w:type="gramEnd"/>
                      <w:r w:rsidRPr="00B5166D">
                        <w:rPr>
                          <w:rFonts w:cs="Times New Roman"/>
                          <w:i/>
                          <w:iCs/>
                          <w:szCs w:val="24"/>
                        </w:rPr>
                        <w:t>cat</w:t>
                      </w:r>
                      <w:r>
                        <w:rPr>
                          <w:rFonts w:cs="Times New Roman"/>
                          <w:szCs w:val="24"/>
                        </w:rPr>
                        <w:t xml:space="preserve"> and treated with </w:t>
                      </w:r>
                      <w:r w:rsidRPr="00B5166D">
                        <w:rPr>
                          <w:rFonts w:cs="Times New Roman"/>
                          <w:szCs w:val="24"/>
                        </w:rPr>
                        <w:t xml:space="preserve">the vehicle control (VC), ciprofloxacin, or </w:t>
                      </w:r>
                      <w:r w:rsidRPr="008C666A">
                        <w:rPr>
                          <w:rFonts w:cs="Times New Roman"/>
                          <w:b/>
                          <w:bCs/>
                          <w:szCs w:val="24"/>
                        </w:rPr>
                        <w:t>2.</w:t>
                      </w:r>
                      <w:r w:rsidRPr="00B5166D">
                        <w:rPr>
                          <w:rFonts w:cs="Times New Roman"/>
                          <w:b/>
                          <w:bCs/>
                          <w:szCs w:val="24"/>
                        </w:rPr>
                        <w:t>26</w:t>
                      </w:r>
                      <w:r w:rsidRPr="00B5166D">
                        <w:rPr>
                          <w:rFonts w:cs="Times New Roman"/>
                          <w:szCs w:val="24"/>
                        </w:rPr>
                        <w:t xml:space="preserve"> as described in text. The mice were sacrificed 4 hours after the final treatment. The dashed line represents 50 CFU, which was assigned to samples with CFU below the limit of detection. The recovery of CFT073 from </w:t>
                      </w:r>
                      <w:r w:rsidRPr="008C666A">
                        <w:rPr>
                          <w:rFonts w:cs="Times New Roman"/>
                          <w:b/>
                          <w:bCs/>
                          <w:szCs w:val="24"/>
                        </w:rPr>
                        <w:t>2.</w:t>
                      </w:r>
                      <w:r w:rsidRPr="00B5166D">
                        <w:rPr>
                          <w:rFonts w:cs="Times New Roman"/>
                          <w:b/>
                          <w:bCs/>
                          <w:szCs w:val="24"/>
                        </w:rPr>
                        <w:t>26</w:t>
                      </w:r>
                      <w:r w:rsidRPr="00B5166D">
                        <w:rPr>
                          <w:rFonts w:cs="Times New Roman"/>
                          <w:szCs w:val="24"/>
                        </w:rPr>
                        <w:t xml:space="preserve"> treated mice was significantly reduced in the urine and trended towards being reduced in the bladder and kidney compared to the vehicle control treated mice.</w:t>
                      </w:r>
                    </w:p>
                  </w:txbxContent>
                </v:textbox>
                <w10:anchorlock/>
              </v:shape>
            </w:pict>
          </mc:Fallback>
        </mc:AlternateContent>
      </w:r>
    </w:p>
    <w:p w14:paraId="789A4DD7" w14:textId="77777777" w:rsidR="00654CB9" w:rsidRPr="00654CB9" w:rsidRDefault="00654CB9" w:rsidP="00654CB9">
      <w:pPr>
        <w:spacing w:after="0"/>
        <w:ind w:firstLine="720"/>
        <w:contextualSpacing/>
        <w:rPr>
          <w:rFonts w:cs="Times New Roman"/>
          <w:szCs w:val="24"/>
        </w:rPr>
      </w:pPr>
      <w:r w:rsidRPr="00654CB9">
        <w:rPr>
          <w:rFonts w:cs="Times New Roman"/>
          <w:b/>
          <w:bCs/>
          <w:szCs w:val="24"/>
        </w:rPr>
        <w:t xml:space="preserve">The proteome of </w:t>
      </w:r>
      <w:bookmarkStart w:id="189" w:name="_Hlk100546740"/>
      <w:r w:rsidRPr="00654CB9">
        <w:rPr>
          <w:rFonts w:cs="Times New Roman"/>
          <w:b/>
          <w:bCs/>
          <w:szCs w:val="24"/>
        </w:rPr>
        <w:t>2.</w:t>
      </w:r>
      <w:bookmarkEnd w:id="189"/>
      <w:r w:rsidRPr="00654CB9">
        <w:rPr>
          <w:rFonts w:cs="Times New Roman"/>
          <w:b/>
          <w:bCs/>
          <w:szCs w:val="24"/>
        </w:rPr>
        <w:t xml:space="preserve">26-treated CFT073 grown in human urine is distinct from that of untreated CFT073. </w:t>
      </w:r>
      <w:r w:rsidRPr="00654CB9">
        <w:rPr>
          <w:rFonts w:cs="Times New Roman"/>
          <w:szCs w:val="24"/>
        </w:rPr>
        <w:t xml:space="preserve">To further probe mechanisms of the CpxRA 2CSTS and pharmacological versus genetic modulation, the proteome profiles of </w:t>
      </w:r>
      <w:r w:rsidRPr="00654CB9">
        <w:rPr>
          <w:rFonts w:cs="Times New Roman"/>
          <w:i/>
          <w:iCs/>
          <w:szCs w:val="24"/>
        </w:rPr>
        <w:t>E. coli</w:t>
      </w:r>
      <w:r w:rsidRPr="00654CB9">
        <w:rPr>
          <w:rFonts w:cs="Times New Roman"/>
          <w:szCs w:val="24"/>
        </w:rPr>
        <w:t xml:space="preserve"> CFT073-UPEC samples were sequenced and analyzed in three groups: wild-type cells treated with compound </w:t>
      </w:r>
      <w:r w:rsidRPr="00654CB9">
        <w:rPr>
          <w:rFonts w:cs="Times New Roman"/>
          <w:b/>
          <w:bCs/>
          <w:iCs/>
          <w:color w:val="000000"/>
          <w:szCs w:val="24"/>
          <w:shd w:val="clear" w:color="auto" w:fill="FFFFFF"/>
        </w:rPr>
        <w:t>2.</w:t>
      </w:r>
      <w:r w:rsidRPr="00654CB9">
        <w:rPr>
          <w:rFonts w:cs="Times New Roman"/>
          <w:b/>
          <w:bCs/>
          <w:szCs w:val="24"/>
        </w:rPr>
        <w:t>26</w:t>
      </w:r>
      <w:r w:rsidRPr="00654CB9">
        <w:rPr>
          <w:rFonts w:cs="Times New Roman"/>
          <w:szCs w:val="24"/>
        </w:rPr>
        <w:t xml:space="preserve">, </w:t>
      </w:r>
      <w:proofErr w:type="spellStart"/>
      <w:r w:rsidRPr="00654CB9">
        <w:rPr>
          <w:rFonts w:cs="Times New Roman"/>
          <w:i/>
          <w:iCs/>
          <w:szCs w:val="24"/>
        </w:rPr>
        <w:t>cpxA</w:t>
      </w:r>
      <w:proofErr w:type="spellEnd"/>
      <w:r w:rsidRPr="00654CB9">
        <w:rPr>
          <w:rFonts w:cs="Times New Roman"/>
          <w:szCs w:val="24"/>
        </w:rPr>
        <w:t xml:space="preserve"> deletion mutant, and wild-type cells treated with empty vector. A total of 22677 unique peptides corresponding to 2241 unique proteins were identified and quantified. Each protein was identified </w:t>
      </w:r>
      <w:r w:rsidRPr="00654CB9">
        <w:rPr>
          <w:rFonts w:cs="Times New Roman"/>
          <w:szCs w:val="24"/>
        </w:rPr>
        <w:lastRenderedPageBreak/>
        <w:t xml:space="preserve">with very high confidence level (1% FDR) for the sequence assignments after LC-MS/MS analysis. A label-free quantitative analysis among the three groups (WT-C26 = compound treated, </w:t>
      </w:r>
      <w:proofErr w:type="spellStart"/>
      <w:r w:rsidRPr="00654CB9">
        <w:rPr>
          <w:rFonts w:cs="Times New Roman"/>
          <w:szCs w:val="24"/>
        </w:rPr>
        <w:t>Cpx</w:t>
      </w:r>
      <w:proofErr w:type="spellEnd"/>
      <w:r w:rsidRPr="00654CB9">
        <w:rPr>
          <w:rFonts w:cs="Times New Roman"/>
          <w:szCs w:val="24"/>
        </w:rPr>
        <w:t xml:space="preserve"> = </w:t>
      </w:r>
      <w:proofErr w:type="spellStart"/>
      <w:r w:rsidRPr="00654CB9">
        <w:rPr>
          <w:rFonts w:cs="Times New Roman"/>
          <w:i/>
          <w:iCs/>
          <w:szCs w:val="24"/>
        </w:rPr>
        <w:t>cpxA</w:t>
      </w:r>
      <w:proofErr w:type="spellEnd"/>
      <w:r w:rsidRPr="00654CB9">
        <w:rPr>
          <w:rFonts w:cs="Times New Roman"/>
          <w:szCs w:val="24"/>
        </w:rPr>
        <w:t xml:space="preserve"> mutant, VC = control group) successfully quantified a total of 2241 proteins. The reproducibility among biological replicates and the differences between three groups were assessed using a principal component analysis (PCA) (</w:t>
      </w:r>
      <w:r w:rsidRPr="00654CB9">
        <w:rPr>
          <w:rFonts w:cs="Times New Roman"/>
          <w:b/>
          <w:bCs/>
          <w:szCs w:val="24"/>
        </w:rPr>
        <w:t>Figure 2.12</w:t>
      </w:r>
      <w:r w:rsidRPr="00654CB9">
        <w:rPr>
          <w:rFonts w:cs="Times New Roman"/>
          <w:szCs w:val="24"/>
        </w:rPr>
        <w:t xml:space="preserve">). The PCA showed high reproducibility among replicates based on the close clustering of the replicates for each group, with significant difference observed among the groups. Protein abundance ratios were calculated to give </w:t>
      </w:r>
      <w:proofErr w:type="spellStart"/>
      <w:r w:rsidRPr="00654CB9">
        <w:rPr>
          <w:rFonts w:cs="Times New Roman"/>
          <w:szCs w:val="24"/>
        </w:rPr>
        <w:t>Cpx</w:t>
      </w:r>
      <w:proofErr w:type="spellEnd"/>
      <w:r w:rsidRPr="00654CB9">
        <w:rPr>
          <w:rFonts w:cs="Times New Roman"/>
          <w:szCs w:val="24"/>
        </w:rPr>
        <w:t>/VC, WT-C26/VC, and WT-C36/</w:t>
      </w:r>
      <w:proofErr w:type="spellStart"/>
      <w:r w:rsidRPr="00654CB9">
        <w:rPr>
          <w:rFonts w:cs="Times New Roman"/>
          <w:szCs w:val="24"/>
        </w:rPr>
        <w:t>Cpx</w:t>
      </w:r>
      <w:proofErr w:type="spellEnd"/>
      <w:r w:rsidRPr="00654CB9">
        <w:rPr>
          <w:rFonts w:cs="Times New Roman"/>
          <w:szCs w:val="24"/>
        </w:rPr>
        <w:t xml:space="preserve"> where differential protein regulation was defined as upregulated when the abundance ratio ≥ 2.0 or downregulated when the abundance ratio ≤ 0.5 at an adjusted p-value of &lt;0.05. </w:t>
      </w:r>
    </w:p>
    <w:p w14:paraId="52A9180E" w14:textId="77777777" w:rsidR="00654CB9" w:rsidRPr="00654CB9" w:rsidRDefault="00654CB9" w:rsidP="00654CB9">
      <w:pPr>
        <w:spacing w:after="0"/>
        <w:contextualSpacing/>
        <w:rPr>
          <w:rFonts w:cs="Times New Roman"/>
          <w:szCs w:val="24"/>
        </w:rPr>
      </w:pPr>
      <w:r w:rsidRPr="00654CB9">
        <w:rPr>
          <w:rFonts w:cs="Times New Roman"/>
          <w:noProof/>
          <w:szCs w:val="24"/>
        </w:rPr>
        <w:lastRenderedPageBreak/>
        <mc:AlternateContent>
          <mc:Choice Requires="wps">
            <w:drawing>
              <wp:inline distT="0" distB="0" distL="0" distR="0" wp14:anchorId="0908C491" wp14:editId="3AC31F90">
                <wp:extent cx="5943600" cy="4738977"/>
                <wp:effectExtent l="0" t="0" r="19050" b="24130"/>
                <wp:docPr id="11" name="Text Box 2" descr="Principal component analysis (PCA) of total protein abundance of WT-C26, VC, and Cpx sample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738977"/>
                        </a:xfrm>
                        <a:prstGeom prst="rect">
                          <a:avLst/>
                        </a:prstGeom>
                        <a:solidFill>
                          <a:srgbClr val="FFFFFF"/>
                        </a:solidFill>
                        <a:ln w="9525">
                          <a:solidFill>
                            <a:srgbClr val="000000"/>
                          </a:solidFill>
                          <a:miter lim="800000"/>
                          <a:headEnd/>
                          <a:tailEnd/>
                        </a:ln>
                      </wps:spPr>
                      <wps:txbx>
                        <w:txbxContent>
                          <w:p w14:paraId="2094234E" w14:textId="77777777" w:rsidR="00654CB9" w:rsidRDefault="00654CB9" w:rsidP="00971132">
                            <w:pPr>
                              <w:keepNext/>
                              <w:spacing w:after="0"/>
                              <w:jc w:val="center"/>
                            </w:pPr>
                            <w:r>
                              <w:rPr>
                                <w:noProof/>
                              </w:rPr>
                              <w:drawing>
                                <wp:inline distT="0" distB="0" distL="0" distR="0" wp14:anchorId="6B51C30B" wp14:editId="6202593D">
                                  <wp:extent cx="3443909" cy="3447433"/>
                                  <wp:effectExtent l="0" t="0" r="4445" b="635"/>
                                  <wp:docPr id="200" name="Picture 200" descr="Principal component analysis (PCA) of total protein abundance of WT-C26, VC, and Cpx samp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Principal component analysis (PCA) of total protein abundance of WT-C26, VC, and Cpx samples. "/>
                                          <pic:cNvPicPr/>
                                        </pic:nvPicPr>
                                        <pic:blipFill>
                                          <a:blip r:embed="rId122">
                                            <a:extLst>
                                              <a:ext uri="{28A0092B-C50C-407E-A947-70E740481C1C}">
                                                <a14:useLocalDpi xmlns:a14="http://schemas.microsoft.com/office/drawing/2010/main" val="0"/>
                                              </a:ext>
                                            </a:extLst>
                                          </a:blip>
                                          <a:stretch>
                                            <a:fillRect/>
                                          </a:stretch>
                                        </pic:blipFill>
                                        <pic:spPr>
                                          <a:xfrm>
                                            <a:off x="0" y="0"/>
                                            <a:ext cx="3463619" cy="3467163"/>
                                          </a:xfrm>
                                          <a:prstGeom prst="rect">
                                            <a:avLst/>
                                          </a:prstGeom>
                                        </pic:spPr>
                                      </pic:pic>
                                    </a:graphicData>
                                  </a:graphic>
                                </wp:inline>
                              </w:drawing>
                            </w:r>
                          </w:p>
                          <w:p w14:paraId="6E1B2A2B" w14:textId="7E451AB5" w:rsidR="00654CB9" w:rsidRDefault="00654CB9" w:rsidP="00DF51F5">
                            <w:pPr>
                              <w:pStyle w:val="Caption"/>
                            </w:pPr>
                            <w:bookmarkStart w:id="190" w:name="_Toc97309257"/>
                            <w:bookmarkStart w:id="191" w:name="_Toc100748306"/>
                            <w:r>
                              <w:t xml:space="preserve">Figure </w:t>
                            </w:r>
                            <w:r w:rsidRPr="00315F70">
                              <w:rPr>
                                <w:rFonts w:cs="Times New Roman"/>
                                <w:szCs w:val="24"/>
                              </w:rPr>
                              <w:t>2.</w:t>
                            </w:r>
                            <w:r w:rsidR="005352D9">
                              <w:rPr>
                                <w:rFonts w:cs="Times New Roman"/>
                                <w:szCs w:val="24"/>
                              </w:rPr>
                              <w:fldChar w:fldCharType="begin"/>
                            </w:r>
                            <w:r w:rsidR="005352D9">
                              <w:rPr>
                                <w:rFonts w:cs="Times New Roman"/>
                                <w:szCs w:val="24"/>
                              </w:rPr>
                              <w:instrText xml:space="preserve"> SEQ Figure \* ARABIC </w:instrText>
                            </w:r>
                            <w:r w:rsidR="005352D9">
                              <w:rPr>
                                <w:rFonts w:cs="Times New Roman"/>
                                <w:szCs w:val="24"/>
                              </w:rPr>
                              <w:fldChar w:fldCharType="separate"/>
                            </w:r>
                            <w:r w:rsidR="00AA5AAC">
                              <w:rPr>
                                <w:rFonts w:cs="Times New Roman"/>
                                <w:noProof/>
                                <w:szCs w:val="24"/>
                              </w:rPr>
                              <w:t>12</w:t>
                            </w:r>
                            <w:r w:rsidR="005352D9">
                              <w:rPr>
                                <w:rFonts w:cs="Times New Roman"/>
                                <w:szCs w:val="24"/>
                              </w:rPr>
                              <w:fldChar w:fldCharType="end"/>
                            </w:r>
                            <w:r>
                              <w:t xml:space="preserve">. Principal component analysis (PCA) of total protein abundance of WT-C26, VC, and </w:t>
                            </w:r>
                            <w:proofErr w:type="spellStart"/>
                            <w:r>
                              <w:t>Cpx</w:t>
                            </w:r>
                            <w:proofErr w:type="spellEnd"/>
                            <w:r>
                              <w:t xml:space="preserve"> samples.</w:t>
                            </w:r>
                            <w:bookmarkEnd w:id="190"/>
                            <w:bookmarkEnd w:id="191"/>
                            <w:r>
                              <w:t xml:space="preserve"> </w:t>
                            </w:r>
                          </w:p>
                          <w:p w14:paraId="232DB4BA" w14:textId="77777777" w:rsidR="00654CB9" w:rsidRPr="00021AB5" w:rsidRDefault="00654CB9" w:rsidP="0001141C">
                            <w:pPr>
                              <w:spacing w:line="240" w:lineRule="auto"/>
                              <w:rPr>
                                <w:rFonts w:cs="Times New Roman"/>
                                <w:szCs w:val="24"/>
                              </w:rPr>
                            </w:pPr>
                            <w:r w:rsidRPr="00021AB5">
                              <w:rPr>
                                <w:rFonts w:cs="Times New Roman"/>
                                <w:szCs w:val="24"/>
                              </w:rPr>
                              <w:t xml:space="preserve">Total proteome identified from five biological replicates were subjected to quantitative analysis. PCA shows close clustering of the total normalized protein abundance (peak area) of the replicates of WT-C26, VC, and </w:t>
                            </w:r>
                            <w:proofErr w:type="spellStart"/>
                            <w:r w:rsidRPr="00021AB5">
                              <w:rPr>
                                <w:rFonts w:cs="Times New Roman"/>
                                <w:szCs w:val="24"/>
                              </w:rPr>
                              <w:t>Cpx</w:t>
                            </w:r>
                            <w:proofErr w:type="spellEnd"/>
                            <w:r w:rsidRPr="00021AB5">
                              <w:rPr>
                                <w:rFonts w:cs="Times New Roman"/>
                                <w:szCs w:val="24"/>
                              </w:rPr>
                              <w:t xml:space="preserve"> samples.</w:t>
                            </w:r>
                          </w:p>
                          <w:p w14:paraId="2B7AF5D9" w14:textId="77777777" w:rsidR="00654CB9" w:rsidRDefault="00654CB9" w:rsidP="00654CB9"/>
                        </w:txbxContent>
                      </wps:txbx>
                      <wps:bodyPr rot="0" vert="horz" wrap="square" lIns="91440" tIns="45720" rIns="91440" bIns="45720" anchor="t" anchorCtr="0">
                        <a:noAutofit/>
                      </wps:bodyPr>
                    </wps:wsp>
                  </a:graphicData>
                </a:graphic>
              </wp:inline>
            </w:drawing>
          </mc:Choice>
          <mc:Fallback>
            <w:pict>
              <v:shape w14:anchorId="0908C491" id="_x0000_s1055" type="#_x0000_t202" alt="Principal component analysis (PCA) of total protein abundance of WT-C26, VC, and Cpx samples. " style="width:468pt;height:37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">
                <v:textbox>
                  <w:txbxContent>
                    <w:p w14:paraId="2094234E" w14:textId="77777777" w:rsidR="00654CB9" w:rsidRDefault="00654CB9" w:rsidP="00971132">
                      <w:pPr>
                        <w:keepNext/>
                        <w:spacing w:after="0"/>
                        <w:jc w:val="center"/>
                      </w:pPr>
                      <w:r>
                        <w:rPr>
                          <w:noProof/>
                        </w:rPr>
                        <w:drawing>
                          <wp:inline distT="0" distB="0" distL="0" distR="0" wp14:anchorId="6B51C30B" wp14:editId="6202593D">
                            <wp:extent cx="3443909" cy="3447433"/>
                            <wp:effectExtent l="0" t="0" r="4445" b="635"/>
                            <wp:docPr id="200" name="Picture 200" descr="Principal component analysis (PCA) of total protein abundance of WT-C26, VC, and Cpx samp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Principal component analysis (PCA) of total protein abundance of WT-C26, VC, and Cpx samples. "/>
                                    <pic:cNvPicPr/>
                                  </pic:nvPicPr>
                                  <pic:blipFill>
                                    <a:blip r:embed="rId122">
                                      <a:extLst>
                                        <a:ext uri="{28A0092B-C50C-407E-A947-70E740481C1C}">
                                          <a14:useLocalDpi xmlns:a14="http://schemas.microsoft.com/office/drawing/2010/main" val="0"/>
                                        </a:ext>
                                      </a:extLst>
                                    </a:blip>
                                    <a:stretch>
                                      <a:fillRect/>
                                    </a:stretch>
                                  </pic:blipFill>
                                  <pic:spPr>
                                    <a:xfrm>
                                      <a:off x="0" y="0"/>
                                      <a:ext cx="3463619" cy="3467163"/>
                                    </a:xfrm>
                                    <a:prstGeom prst="rect">
                                      <a:avLst/>
                                    </a:prstGeom>
                                  </pic:spPr>
                                </pic:pic>
                              </a:graphicData>
                            </a:graphic>
                          </wp:inline>
                        </w:drawing>
                      </w:r>
                    </w:p>
                    <w:p w14:paraId="6E1B2A2B" w14:textId="7E451AB5" w:rsidR="00654CB9" w:rsidRDefault="00654CB9" w:rsidP="00DF51F5">
                      <w:pPr>
                        <w:pStyle w:val="Caption"/>
                      </w:pPr>
                      <w:bookmarkStart w:id="192" w:name="_Toc97309257"/>
                      <w:bookmarkStart w:id="193" w:name="_Toc100748306"/>
                      <w:r>
                        <w:t xml:space="preserve">Figure </w:t>
                      </w:r>
                      <w:r w:rsidRPr="00315F70">
                        <w:rPr>
                          <w:rFonts w:cs="Times New Roman"/>
                          <w:szCs w:val="24"/>
                        </w:rPr>
                        <w:t>2.</w:t>
                      </w:r>
                      <w:r w:rsidR="005352D9">
                        <w:rPr>
                          <w:rFonts w:cs="Times New Roman"/>
                          <w:szCs w:val="24"/>
                        </w:rPr>
                        <w:fldChar w:fldCharType="begin"/>
                      </w:r>
                      <w:r w:rsidR="005352D9">
                        <w:rPr>
                          <w:rFonts w:cs="Times New Roman"/>
                          <w:szCs w:val="24"/>
                        </w:rPr>
                        <w:instrText xml:space="preserve"> SEQ Figure \* ARABIC </w:instrText>
                      </w:r>
                      <w:r w:rsidR="005352D9">
                        <w:rPr>
                          <w:rFonts w:cs="Times New Roman"/>
                          <w:szCs w:val="24"/>
                        </w:rPr>
                        <w:fldChar w:fldCharType="separate"/>
                      </w:r>
                      <w:r w:rsidR="00AA5AAC">
                        <w:rPr>
                          <w:rFonts w:cs="Times New Roman"/>
                          <w:noProof/>
                          <w:szCs w:val="24"/>
                        </w:rPr>
                        <w:t>12</w:t>
                      </w:r>
                      <w:r w:rsidR="005352D9">
                        <w:rPr>
                          <w:rFonts w:cs="Times New Roman"/>
                          <w:szCs w:val="24"/>
                        </w:rPr>
                        <w:fldChar w:fldCharType="end"/>
                      </w:r>
                      <w:r>
                        <w:t xml:space="preserve">. Principal component analysis (PCA) of total protein abundance of WT-C26, VC, and </w:t>
                      </w:r>
                      <w:proofErr w:type="spellStart"/>
                      <w:r>
                        <w:t>Cpx</w:t>
                      </w:r>
                      <w:proofErr w:type="spellEnd"/>
                      <w:r>
                        <w:t xml:space="preserve"> samples.</w:t>
                      </w:r>
                      <w:bookmarkEnd w:id="192"/>
                      <w:bookmarkEnd w:id="193"/>
                      <w:r>
                        <w:t xml:space="preserve"> </w:t>
                      </w:r>
                    </w:p>
                    <w:p w14:paraId="232DB4BA" w14:textId="77777777" w:rsidR="00654CB9" w:rsidRPr="00021AB5" w:rsidRDefault="00654CB9" w:rsidP="0001141C">
                      <w:pPr>
                        <w:spacing w:line="240" w:lineRule="auto"/>
                        <w:rPr>
                          <w:rFonts w:cs="Times New Roman"/>
                          <w:szCs w:val="24"/>
                        </w:rPr>
                      </w:pPr>
                      <w:r w:rsidRPr="00021AB5">
                        <w:rPr>
                          <w:rFonts w:cs="Times New Roman"/>
                          <w:szCs w:val="24"/>
                        </w:rPr>
                        <w:t xml:space="preserve">Total proteome identified from five biological replicates were subjected to quantitative analysis. PCA shows close clustering of the total normalized protein abundance (peak area) of the replicates of WT-C26, VC, and </w:t>
                      </w:r>
                      <w:proofErr w:type="spellStart"/>
                      <w:r w:rsidRPr="00021AB5">
                        <w:rPr>
                          <w:rFonts w:cs="Times New Roman"/>
                          <w:szCs w:val="24"/>
                        </w:rPr>
                        <w:t>Cpx</w:t>
                      </w:r>
                      <w:proofErr w:type="spellEnd"/>
                      <w:r w:rsidRPr="00021AB5">
                        <w:rPr>
                          <w:rFonts w:cs="Times New Roman"/>
                          <w:szCs w:val="24"/>
                        </w:rPr>
                        <w:t xml:space="preserve"> samples.</w:t>
                      </w:r>
                    </w:p>
                    <w:p w14:paraId="2B7AF5D9" w14:textId="77777777" w:rsidR="00654CB9" w:rsidRDefault="00654CB9" w:rsidP="00654CB9"/>
                  </w:txbxContent>
                </v:textbox>
                <w10:anchorlock/>
              </v:shape>
            </w:pict>
          </mc:Fallback>
        </mc:AlternateContent>
      </w:r>
    </w:p>
    <w:p w14:paraId="3C0CC11B" w14:textId="77777777" w:rsidR="00654CB9" w:rsidRPr="00654CB9" w:rsidRDefault="00654CB9" w:rsidP="00654CB9">
      <w:pPr>
        <w:spacing w:after="0"/>
        <w:ind w:firstLine="720"/>
        <w:contextualSpacing/>
        <w:rPr>
          <w:rFonts w:cs="Times New Roman"/>
          <w:szCs w:val="24"/>
        </w:rPr>
      </w:pPr>
      <w:r w:rsidRPr="00654CB9">
        <w:rPr>
          <w:rFonts w:cs="Times New Roman"/>
          <w:szCs w:val="24"/>
        </w:rPr>
        <w:t xml:space="preserve">A comparison between compound treated cells and the wild-type untreated revealed 76 upregulated proteins and 67 downregulated proteins, whereas a comparison between the </w:t>
      </w:r>
      <w:proofErr w:type="spellStart"/>
      <w:r w:rsidRPr="00654CB9">
        <w:rPr>
          <w:rFonts w:cs="Times New Roman"/>
          <w:szCs w:val="24"/>
        </w:rPr>
        <w:t>Δ</w:t>
      </w:r>
      <w:r w:rsidRPr="00654CB9">
        <w:rPr>
          <w:rFonts w:cs="Times New Roman"/>
          <w:i/>
          <w:iCs/>
          <w:szCs w:val="24"/>
        </w:rPr>
        <w:t>cpxA</w:t>
      </w:r>
      <w:proofErr w:type="spellEnd"/>
      <w:r w:rsidRPr="00654CB9">
        <w:rPr>
          <w:rFonts w:cs="Times New Roman"/>
          <w:szCs w:val="24"/>
        </w:rPr>
        <w:t xml:space="preserve"> mutant and wild-type revealed 89 upregulated proteins and 73 downregulated proteins. Among these proteins, 20 were upregulated and 8 were downregulated in both the compound treated cells and the </w:t>
      </w:r>
      <w:proofErr w:type="spellStart"/>
      <w:r w:rsidRPr="00654CB9">
        <w:rPr>
          <w:rFonts w:cs="Times New Roman"/>
          <w:szCs w:val="24"/>
        </w:rPr>
        <w:t>Δ</w:t>
      </w:r>
      <w:r w:rsidRPr="00654CB9">
        <w:rPr>
          <w:rFonts w:cs="Times New Roman"/>
          <w:i/>
          <w:iCs/>
          <w:szCs w:val="24"/>
        </w:rPr>
        <w:t>cpxA</w:t>
      </w:r>
      <w:proofErr w:type="spellEnd"/>
      <w:r w:rsidRPr="00654CB9">
        <w:rPr>
          <w:rFonts w:cs="Times New Roman"/>
          <w:szCs w:val="24"/>
        </w:rPr>
        <w:t xml:space="preserve"> mutant (</w:t>
      </w:r>
      <w:r w:rsidRPr="00654CB9">
        <w:rPr>
          <w:rFonts w:cs="Times New Roman"/>
          <w:b/>
          <w:bCs/>
          <w:szCs w:val="24"/>
        </w:rPr>
        <w:t>Figure 2.13</w:t>
      </w:r>
      <w:r w:rsidRPr="00654CB9">
        <w:rPr>
          <w:rFonts w:cs="Times New Roman"/>
          <w:szCs w:val="24"/>
        </w:rPr>
        <w:t>). Interestingly, 4 of the downregulated proteins within these two groups are involved in metal ion transport and maintenance (</w:t>
      </w:r>
      <w:r w:rsidRPr="00654CB9">
        <w:rPr>
          <w:rFonts w:cs="Times New Roman"/>
          <w:b/>
          <w:bCs/>
          <w:szCs w:val="24"/>
        </w:rPr>
        <w:t>Table 2.1</w:t>
      </w:r>
      <w:r w:rsidRPr="00654CB9">
        <w:rPr>
          <w:rFonts w:cs="Times New Roman"/>
          <w:szCs w:val="24"/>
        </w:rPr>
        <w:t xml:space="preserve">) including those affiliated with iron (c5174, </w:t>
      </w:r>
      <w:proofErr w:type="spellStart"/>
      <w:r w:rsidRPr="00654CB9">
        <w:rPr>
          <w:rFonts w:cs="Times New Roman"/>
          <w:szCs w:val="24"/>
        </w:rPr>
        <w:t>YcdO</w:t>
      </w:r>
      <w:proofErr w:type="spellEnd"/>
      <w:r w:rsidRPr="00654CB9">
        <w:rPr>
          <w:rFonts w:cs="Times New Roman"/>
          <w:szCs w:val="24"/>
        </w:rPr>
        <w:t>), zinc (</w:t>
      </w:r>
      <w:proofErr w:type="spellStart"/>
      <w:r w:rsidRPr="00654CB9">
        <w:rPr>
          <w:rFonts w:cs="Times New Roman"/>
          <w:szCs w:val="24"/>
        </w:rPr>
        <w:t>ZntB</w:t>
      </w:r>
      <w:proofErr w:type="spellEnd"/>
      <w:r w:rsidRPr="00654CB9">
        <w:rPr>
          <w:rFonts w:cs="Times New Roman"/>
          <w:szCs w:val="24"/>
        </w:rPr>
        <w:t xml:space="preserve">, </w:t>
      </w:r>
      <w:proofErr w:type="spellStart"/>
      <w:r w:rsidRPr="00654CB9">
        <w:rPr>
          <w:rFonts w:cs="Times New Roman"/>
          <w:szCs w:val="24"/>
        </w:rPr>
        <w:t>YgeY</w:t>
      </w:r>
      <w:proofErr w:type="spellEnd"/>
      <w:r w:rsidRPr="00654CB9">
        <w:rPr>
          <w:rFonts w:cs="Times New Roman"/>
          <w:szCs w:val="24"/>
        </w:rPr>
        <w:t>), and cobalt (</w:t>
      </w:r>
      <w:proofErr w:type="spellStart"/>
      <w:r w:rsidRPr="00654CB9">
        <w:rPr>
          <w:rFonts w:cs="Times New Roman"/>
          <w:szCs w:val="24"/>
        </w:rPr>
        <w:t>YgeY</w:t>
      </w:r>
      <w:proofErr w:type="spellEnd"/>
      <w:r w:rsidRPr="00654CB9">
        <w:rPr>
          <w:rFonts w:cs="Times New Roman"/>
          <w:szCs w:val="24"/>
        </w:rPr>
        <w:t xml:space="preserve">) biology. </w:t>
      </w:r>
    </w:p>
    <w:p w14:paraId="5058F17D" w14:textId="77777777" w:rsidR="00654CB9" w:rsidRPr="00654CB9" w:rsidRDefault="00654CB9" w:rsidP="00654CB9">
      <w:pPr>
        <w:spacing w:after="0"/>
        <w:contextualSpacing/>
        <w:rPr>
          <w:rFonts w:cs="Times New Roman"/>
          <w:szCs w:val="24"/>
        </w:rPr>
      </w:pPr>
      <w:r w:rsidRPr="00654CB9">
        <w:rPr>
          <w:rFonts w:cs="Times New Roman"/>
          <w:noProof/>
          <w:sz w:val="22"/>
        </w:rPr>
        <w:lastRenderedPageBreak/>
        <mc:AlternateContent>
          <mc:Choice Requires="wps">
            <w:drawing>
              <wp:inline distT="0" distB="0" distL="0" distR="0" wp14:anchorId="5F0B8903" wp14:editId="51BB0B22">
                <wp:extent cx="5943600" cy="3935896"/>
                <wp:effectExtent l="0" t="0" r="19050" b="26670"/>
                <wp:docPr id="20" name="Text Box 2" descr="Venn diagram showing the number of proteins differentially expressed in the compound treated versus wild-type and cpxA mutant versus wild-typ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935896"/>
                        </a:xfrm>
                        <a:prstGeom prst="rect">
                          <a:avLst/>
                        </a:prstGeom>
                        <a:solidFill>
                          <a:srgbClr val="FFFFFF"/>
                        </a:solidFill>
                        <a:ln w="9525">
                          <a:solidFill>
                            <a:srgbClr val="000000"/>
                          </a:solidFill>
                          <a:miter lim="800000"/>
                          <a:headEnd/>
                          <a:tailEnd/>
                        </a:ln>
                      </wps:spPr>
                      <wps:txbx>
                        <w:txbxContent>
                          <w:p w14:paraId="36905D97" w14:textId="77777777" w:rsidR="00654CB9" w:rsidRDefault="00654CB9" w:rsidP="00654CB9">
                            <w:pPr>
                              <w:keepNext/>
                              <w:jc w:val="center"/>
                            </w:pPr>
                            <w:r>
                              <w:rPr>
                                <w:noProof/>
                              </w:rPr>
                              <w:drawing>
                                <wp:inline distT="0" distB="0" distL="0" distR="0" wp14:anchorId="3A7D72A9" wp14:editId="1476BFD8">
                                  <wp:extent cx="5751830" cy="2543175"/>
                                  <wp:effectExtent l="0" t="0" r="0" b="3175"/>
                                  <wp:docPr id="201" name="Picture 201" descr="Venn diagram showing the number of proteins differentially expressed in the compound treated versus wild-type and cpxA mutant versus wild-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Venn diagram showing the number of proteins differentially expressed in the compound treated versus wild-type and cpxA mutant versus wild-type. "/>
                                          <pic:cNvPicPr/>
                                        </pic:nvPicPr>
                                        <pic:blipFill>
                                          <a:blip r:embed="rId123">
                                            <a:extLst>
                                              <a:ext uri="{28A0092B-C50C-407E-A947-70E740481C1C}">
                                                <a14:useLocalDpi xmlns:a14="http://schemas.microsoft.com/office/drawing/2010/main" val="0"/>
                                              </a:ext>
                                            </a:extLst>
                                          </a:blip>
                                          <a:stretch>
                                            <a:fillRect/>
                                          </a:stretch>
                                        </pic:blipFill>
                                        <pic:spPr>
                                          <a:xfrm>
                                            <a:off x="0" y="0"/>
                                            <a:ext cx="5751830" cy="2543175"/>
                                          </a:xfrm>
                                          <a:prstGeom prst="rect">
                                            <a:avLst/>
                                          </a:prstGeom>
                                        </pic:spPr>
                                      </pic:pic>
                                    </a:graphicData>
                                  </a:graphic>
                                </wp:inline>
                              </w:drawing>
                            </w:r>
                          </w:p>
                          <w:p w14:paraId="5B634C9C" w14:textId="5F60693D" w:rsidR="00654CB9" w:rsidRDefault="00654CB9" w:rsidP="00DF51F5">
                            <w:pPr>
                              <w:pStyle w:val="Caption"/>
                            </w:pPr>
                            <w:bookmarkStart w:id="194" w:name="_Toc97309258"/>
                            <w:bookmarkStart w:id="195" w:name="_Toc100748307"/>
                            <w:r>
                              <w:t xml:space="preserve">Figure </w:t>
                            </w:r>
                            <w:r w:rsidRPr="00315F70">
                              <w:rPr>
                                <w:rFonts w:cs="Times New Roman"/>
                                <w:szCs w:val="24"/>
                              </w:rPr>
                              <w:t>2.</w:t>
                            </w:r>
                            <w:r w:rsidR="005352D9">
                              <w:rPr>
                                <w:rFonts w:cs="Times New Roman"/>
                                <w:szCs w:val="24"/>
                              </w:rPr>
                              <w:fldChar w:fldCharType="begin"/>
                            </w:r>
                            <w:r w:rsidR="005352D9">
                              <w:rPr>
                                <w:rFonts w:cs="Times New Roman"/>
                                <w:szCs w:val="24"/>
                              </w:rPr>
                              <w:instrText xml:space="preserve"> SEQ Figure \* ARABIC </w:instrText>
                            </w:r>
                            <w:r w:rsidR="005352D9">
                              <w:rPr>
                                <w:rFonts w:cs="Times New Roman"/>
                                <w:szCs w:val="24"/>
                              </w:rPr>
                              <w:fldChar w:fldCharType="separate"/>
                            </w:r>
                            <w:r w:rsidR="00AA5AAC">
                              <w:rPr>
                                <w:rFonts w:cs="Times New Roman"/>
                                <w:noProof/>
                                <w:szCs w:val="24"/>
                              </w:rPr>
                              <w:t>13</w:t>
                            </w:r>
                            <w:r w:rsidR="005352D9">
                              <w:rPr>
                                <w:rFonts w:cs="Times New Roman"/>
                                <w:szCs w:val="24"/>
                              </w:rPr>
                              <w:fldChar w:fldCharType="end"/>
                            </w:r>
                            <w:r>
                              <w:t xml:space="preserve">. Venn diagram showing the number of proteins differentially expressed in the compound treated versus wild-type and </w:t>
                            </w:r>
                            <w:proofErr w:type="spellStart"/>
                            <w:r w:rsidRPr="0021384A">
                              <w:rPr>
                                <w:i/>
                              </w:rPr>
                              <w:t>cpxA</w:t>
                            </w:r>
                            <w:proofErr w:type="spellEnd"/>
                            <w:r>
                              <w:t xml:space="preserve"> mutant versus wild-type.</w:t>
                            </w:r>
                            <w:bookmarkEnd w:id="194"/>
                            <w:bookmarkEnd w:id="195"/>
                            <w:r>
                              <w:t xml:space="preserve"> </w:t>
                            </w:r>
                          </w:p>
                          <w:p w14:paraId="0B7EE5F3" w14:textId="77777777" w:rsidR="00654CB9" w:rsidRPr="0021384A" w:rsidRDefault="00654CB9" w:rsidP="00085905">
                            <w:pPr>
                              <w:spacing w:line="240" w:lineRule="auto"/>
                              <w:rPr>
                                <w:rFonts w:cs="Times New Roman"/>
                                <w:szCs w:val="24"/>
                              </w:rPr>
                            </w:pPr>
                            <w:r w:rsidRPr="0021384A">
                              <w:rPr>
                                <w:rFonts w:cs="Times New Roman"/>
                                <w:szCs w:val="24"/>
                              </w:rPr>
                              <w:t>The up- and downregulated proteins are indicated by up (↑) and down (↓) arrows, respectively.</w:t>
                            </w:r>
                            <w:r>
                              <w:rPr>
                                <w:rFonts w:cs="Times New Roman"/>
                                <w:szCs w:val="24"/>
                              </w:rPr>
                              <w:t xml:space="preserve"> The total number of proteins differentially expressed are shown in bold outside the Venn diagram. </w:t>
                            </w:r>
                          </w:p>
                          <w:p w14:paraId="1E48569F" w14:textId="77777777" w:rsidR="00654CB9" w:rsidRDefault="00654CB9" w:rsidP="00654CB9"/>
                          <w:p w14:paraId="582FE634" w14:textId="77777777" w:rsidR="00654CB9" w:rsidRDefault="00654CB9" w:rsidP="00654CB9"/>
                        </w:txbxContent>
                      </wps:txbx>
                      <wps:bodyPr rot="0" vert="horz" wrap="square" lIns="91440" tIns="45720" rIns="91440" bIns="45720" anchor="t" anchorCtr="0">
                        <a:noAutofit/>
                      </wps:bodyPr>
                    </wps:wsp>
                  </a:graphicData>
                </a:graphic>
              </wp:inline>
            </w:drawing>
          </mc:Choice>
          <mc:Fallback>
            <w:pict>
              <v:shape w14:anchorId="5F0B8903" id="_x0000_s1056" type="#_x0000_t202" alt="Venn diagram showing the number of proteins differentially expressed in the compound treated versus wild-type and cpxA mutant versus wild-type. " style="width:468pt;height:30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">
                <v:textbox>
                  <w:txbxContent>
                    <w:p w14:paraId="36905D97" w14:textId="77777777" w:rsidR="00654CB9" w:rsidRDefault="00654CB9" w:rsidP="00654CB9">
                      <w:pPr>
                        <w:keepNext/>
                        <w:jc w:val="center"/>
                      </w:pPr>
                      <w:r>
                        <w:rPr>
                          <w:noProof/>
                        </w:rPr>
                        <w:drawing>
                          <wp:inline distT="0" distB="0" distL="0" distR="0" wp14:anchorId="3A7D72A9" wp14:editId="1476BFD8">
                            <wp:extent cx="5751830" cy="2543175"/>
                            <wp:effectExtent l="0" t="0" r="0" b="3175"/>
                            <wp:docPr id="201" name="Picture 201" descr="Venn diagram showing the number of proteins differentially expressed in the compound treated versus wild-type and cpxA mutant versus wild-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Venn diagram showing the number of proteins differentially expressed in the compound treated versus wild-type and cpxA mutant versus wild-type. "/>
                                    <pic:cNvPicPr/>
                                  </pic:nvPicPr>
                                  <pic:blipFill>
                                    <a:blip r:embed="rId123">
                                      <a:extLst>
                                        <a:ext uri="{28A0092B-C50C-407E-A947-70E740481C1C}">
                                          <a14:useLocalDpi xmlns:a14="http://schemas.microsoft.com/office/drawing/2010/main" val="0"/>
                                        </a:ext>
                                      </a:extLst>
                                    </a:blip>
                                    <a:stretch>
                                      <a:fillRect/>
                                    </a:stretch>
                                  </pic:blipFill>
                                  <pic:spPr>
                                    <a:xfrm>
                                      <a:off x="0" y="0"/>
                                      <a:ext cx="5751830" cy="2543175"/>
                                    </a:xfrm>
                                    <a:prstGeom prst="rect">
                                      <a:avLst/>
                                    </a:prstGeom>
                                  </pic:spPr>
                                </pic:pic>
                              </a:graphicData>
                            </a:graphic>
                          </wp:inline>
                        </w:drawing>
                      </w:r>
                    </w:p>
                    <w:p w14:paraId="5B634C9C" w14:textId="5F60693D" w:rsidR="00654CB9" w:rsidRDefault="00654CB9" w:rsidP="00DF51F5">
                      <w:pPr>
                        <w:pStyle w:val="Caption"/>
                      </w:pPr>
                      <w:bookmarkStart w:id="196" w:name="_Toc97309258"/>
                      <w:bookmarkStart w:id="197" w:name="_Toc100748307"/>
                      <w:r>
                        <w:t xml:space="preserve">Figure </w:t>
                      </w:r>
                      <w:r w:rsidRPr="00315F70">
                        <w:rPr>
                          <w:rFonts w:cs="Times New Roman"/>
                          <w:szCs w:val="24"/>
                        </w:rPr>
                        <w:t>2.</w:t>
                      </w:r>
                      <w:r w:rsidR="005352D9">
                        <w:rPr>
                          <w:rFonts w:cs="Times New Roman"/>
                          <w:szCs w:val="24"/>
                        </w:rPr>
                        <w:fldChar w:fldCharType="begin"/>
                      </w:r>
                      <w:r w:rsidR="005352D9">
                        <w:rPr>
                          <w:rFonts w:cs="Times New Roman"/>
                          <w:szCs w:val="24"/>
                        </w:rPr>
                        <w:instrText xml:space="preserve"> SEQ Figure \* ARABIC </w:instrText>
                      </w:r>
                      <w:r w:rsidR="005352D9">
                        <w:rPr>
                          <w:rFonts w:cs="Times New Roman"/>
                          <w:szCs w:val="24"/>
                        </w:rPr>
                        <w:fldChar w:fldCharType="separate"/>
                      </w:r>
                      <w:r w:rsidR="00AA5AAC">
                        <w:rPr>
                          <w:rFonts w:cs="Times New Roman"/>
                          <w:noProof/>
                          <w:szCs w:val="24"/>
                        </w:rPr>
                        <w:t>13</w:t>
                      </w:r>
                      <w:r w:rsidR="005352D9">
                        <w:rPr>
                          <w:rFonts w:cs="Times New Roman"/>
                          <w:szCs w:val="24"/>
                        </w:rPr>
                        <w:fldChar w:fldCharType="end"/>
                      </w:r>
                      <w:r>
                        <w:t xml:space="preserve">. Venn diagram showing the number of proteins differentially expressed in the compound treated versus wild-type and </w:t>
                      </w:r>
                      <w:proofErr w:type="spellStart"/>
                      <w:r w:rsidRPr="0021384A">
                        <w:rPr>
                          <w:i/>
                        </w:rPr>
                        <w:t>cpxA</w:t>
                      </w:r>
                      <w:proofErr w:type="spellEnd"/>
                      <w:r>
                        <w:t xml:space="preserve"> mutant versus wild-type.</w:t>
                      </w:r>
                      <w:bookmarkEnd w:id="196"/>
                      <w:bookmarkEnd w:id="197"/>
                      <w:r>
                        <w:t xml:space="preserve"> </w:t>
                      </w:r>
                    </w:p>
                    <w:p w14:paraId="0B7EE5F3" w14:textId="77777777" w:rsidR="00654CB9" w:rsidRPr="0021384A" w:rsidRDefault="00654CB9" w:rsidP="00085905">
                      <w:pPr>
                        <w:spacing w:line="240" w:lineRule="auto"/>
                        <w:rPr>
                          <w:rFonts w:cs="Times New Roman"/>
                          <w:szCs w:val="24"/>
                        </w:rPr>
                      </w:pPr>
                      <w:r w:rsidRPr="0021384A">
                        <w:rPr>
                          <w:rFonts w:cs="Times New Roman"/>
                          <w:szCs w:val="24"/>
                        </w:rPr>
                        <w:t>The up- and downregulated proteins are indicated by up (↑) and down (↓) arrows, respectively.</w:t>
                      </w:r>
                      <w:r>
                        <w:rPr>
                          <w:rFonts w:cs="Times New Roman"/>
                          <w:szCs w:val="24"/>
                        </w:rPr>
                        <w:t xml:space="preserve"> The total number of proteins differentially expressed are shown in bold outside the Venn diagram. </w:t>
                      </w:r>
                    </w:p>
                    <w:p w14:paraId="1E48569F" w14:textId="77777777" w:rsidR="00654CB9" w:rsidRDefault="00654CB9" w:rsidP="00654CB9"/>
                    <w:p w14:paraId="582FE634" w14:textId="77777777" w:rsidR="00654CB9" w:rsidRDefault="00654CB9" w:rsidP="00654CB9"/>
                  </w:txbxContent>
                </v:textbox>
                <w10:anchorlock/>
              </v:shape>
            </w:pict>
          </mc:Fallback>
        </mc:AlternateContent>
      </w:r>
    </w:p>
    <w:p w14:paraId="7F352997" w14:textId="77777777" w:rsidR="00654CB9" w:rsidRPr="00654CB9" w:rsidRDefault="00654CB9" w:rsidP="00654CB9">
      <w:pPr>
        <w:spacing w:after="0"/>
        <w:ind w:firstLine="720"/>
        <w:contextualSpacing/>
        <w:rPr>
          <w:rFonts w:cs="Times New Roman"/>
          <w:szCs w:val="24"/>
        </w:rPr>
      </w:pPr>
      <w:r w:rsidRPr="00654CB9">
        <w:rPr>
          <w:rFonts w:cs="Times New Roman"/>
          <w:szCs w:val="24"/>
        </w:rPr>
        <w:t xml:space="preserve">Iron is an essential nutrient for growth of </w:t>
      </w:r>
      <w:r w:rsidRPr="00654CB9">
        <w:rPr>
          <w:rFonts w:cs="Times New Roman"/>
          <w:i/>
          <w:iCs/>
          <w:szCs w:val="24"/>
        </w:rPr>
        <w:t>E. coli</w:t>
      </w:r>
      <w:r w:rsidRPr="00654CB9">
        <w:rPr>
          <w:rFonts w:cs="Times New Roman"/>
          <w:szCs w:val="24"/>
        </w:rPr>
        <w:t xml:space="preserve">, and since the availability of this element within the host is limited due to sequestration by human heme proteins, pathogenic </w:t>
      </w:r>
      <w:r w:rsidRPr="00654CB9">
        <w:rPr>
          <w:rFonts w:cs="Times New Roman"/>
          <w:i/>
          <w:iCs/>
          <w:szCs w:val="24"/>
        </w:rPr>
        <w:t>E. coli</w:t>
      </w:r>
      <w:r w:rsidRPr="00654CB9">
        <w:rPr>
          <w:rFonts w:cs="Times New Roman"/>
          <w:szCs w:val="24"/>
        </w:rPr>
        <w:t xml:space="preserve"> have evolved a variety of mechanisms to acquire iron from host sources.</w:t>
      </w:r>
      <w:r w:rsidRPr="00654CB9">
        <w:rPr>
          <w:rFonts w:cs="Times New Roman"/>
          <w:szCs w:val="24"/>
        </w:rPr>
        <w:fldChar w:fldCharType="begin"/>
      </w:r>
      <w:r w:rsidRPr="00654CB9">
        <w:rPr>
          <w:rFonts w:cs="Times New Roman"/>
          <w:szCs w:val="24"/>
        </w:rPr>
        <w:instrText xml:space="preserve"> ADDIN ZOTERO_ITEM CSL_CITATION {"citationID":"2RjgEcYo","properties":{"formattedCitation":"\\super 25\\nosupersub{}","plainCitation":"25","noteIndex":0},"citationItems":[{"id":177,"uris":["http://zotero.org/users/6503767/items/4LJH7QHN"],"itemData":{"id":177,"type":"article-journal","abstract":"To maintain iron homeostasis within the cell, bacteria have evolved various types of iron acquisition systems. Ferric iron (Fe3+) is the dominant species in an oxygenated environment, while ferrous iron (Fe2+) is more abundant under anaerobic conditions or at low pH. For organisms that must combat oxygen limitation for their everyday survival, pathways for the uptake of ferrous iron are essential. Several bacterial ferrous iron transport systems have been described; however, only the Feo system appears to be widely distributed and is exclusively dedicated to the transport of iron. In recent years, many studies have explored the role of the FeoB and FeoA proteins in ferrous iron transport and their contribution toward bacterial virulence. The three-dimensional structures for the Feo proteins have recently been determined and provide insight into the molecular details of the transport system. A highly select group of bacteria also express the FeoC protein from the same operon. This review will provide a comprehensive look at the structural and functional aspects of the Feo system. In addition, bioinformatics analyses of the feo operon and the Feo proteins have been performed to complement our understanding of this ubiquitous bacterial uptake system, providing a new outlook for future studies.","container-title":"FEMS Microbiology Reviews","DOI":"10.1093/femsre/fuv049","ISSN":"0168-6445","issue":"2","journalAbbreviation":"FEMS Microbiology Reviews","page":"273-298","source":"Silverchair","title":"Bacterial ferrous iron transport: the Feo system","title-short":"Bacterial ferrous iron transport","volume":"40","author":[{"family":"Lau","given":"Cheryl K. Y."},{"family":"Krewulak","given":"Karla D."},{"family":"Vogel","given":"Hans J."}],"issued":{"date-parts":[["2016",3,1]]}}}],"schema":"https://github.com/citation-style-language/schema/raw/master/csl-citation.json"}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25</w:t>
      </w:r>
      <w:r w:rsidRPr="00654CB9">
        <w:rPr>
          <w:rFonts w:cs="Times New Roman"/>
          <w:szCs w:val="24"/>
        </w:rPr>
        <w:fldChar w:fldCharType="end"/>
      </w:r>
      <w:r w:rsidRPr="00654CB9">
        <w:rPr>
          <w:rFonts w:cs="Times New Roman"/>
          <w:szCs w:val="24"/>
        </w:rPr>
        <w:t xml:space="preserve"> For instance, siderophores are small molecular ion chelators whose primary function are to scavenge iron.</w:t>
      </w:r>
      <w:r w:rsidRPr="00654CB9">
        <w:rPr>
          <w:rFonts w:cs="Times New Roman"/>
          <w:szCs w:val="24"/>
        </w:rPr>
        <w:fldChar w:fldCharType="begin"/>
      </w:r>
      <w:r w:rsidRPr="00654CB9">
        <w:rPr>
          <w:rFonts w:cs="Times New Roman"/>
          <w:szCs w:val="24"/>
        </w:rPr>
        <w:instrText xml:space="preserve"> ADDIN ZOTERO_ITEM CSL_CITATION {"citationID":"VcZBYfi2","properties":{"formattedCitation":"\\super 26\\nosupersub{}","plainCitation":"26","noteIndex":0},"citationItems":[{"id":195,"uris":["http://zotero.org/users/6503767/items/TVETATAB"],"itemData":{"id":195,"type":"article-journal","container-title":"mBio","DOI":"10.1128/mBio.01906-16","issue":"6","note":"publisher: American Society for Microbiology","page":"e01906-16","source":"journals.asm.org (Atypon)","title":"Siderophores: More than Stealing Iron","title-short":"Siderophores","volume":"7","author":[{"family":"Behnsen","given":"Judith"},{"family":"Raffatellu","given":"Manuela"}]}}],"schema":"https://github.com/citation-style-language/schema/raw/master/csl-citation.json"}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26</w:t>
      </w:r>
      <w:r w:rsidRPr="00654CB9">
        <w:rPr>
          <w:rFonts w:cs="Times New Roman"/>
          <w:szCs w:val="24"/>
        </w:rPr>
        <w:fldChar w:fldCharType="end"/>
      </w:r>
      <w:r w:rsidRPr="00654CB9">
        <w:rPr>
          <w:rFonts w:cs="Times New Roman"/>
          <w:szCs w:val="24"/>
        </w:rPr>
        <w:t xml:space="preserve"> Transport of iron associated with siderophores requires specific outer membrane receptors such as </w:t>
      </w:r>
      <w:proofErr w:type="spellStart"/>
      <w:r w:rsidRPr="00654CB9">
        <w:rPr>
          <w:rFonts w:cs="Times New Roman"/>
          <w:szCs w:val="24"/>
        </w:rPr>
        <w:t>TonB</w:t>
      </w:r>
      <w:proofErr w:type="spellEnd"/>
      <w:r w:rsidRPr="00654CB9">
        <w:rPr>
          <w:rFonts w:cs="Times New Roman"/>
          <w:szCs w:val="24"/>
        </w:rPr>
        <w:t xml:space="preserve"> and its accessory proteins, </w:t>
      </w:r>
      <w:proofErr w:type="spellStart"/>
      <w:r w:rsidRPr="00654CB9">
        <w:rPr>
          <w:rFonts w:cs="Times New Roman"/>
          <w:szCs w:val="24"/>
        </w:rPr>
        <w:t>ExbB</w:t>
      </w:r>
      <w:proofErr w:type="spellEnd"/>
      <w:r w:rsidRPr="00654CB9">
        <w:rPr>
          <w:rFonts w:cs="Times New Roman"/>
          <w:szCs w:val="24"/>
        </w:rPr>
        <w:t xml:space="preserve"> and ExbD.</w:t>
      </w:r>
      <w:r w:rsidRPr="00654CB9">
        <w:rPr>
          <w:rFonts w:cs="Times New Roman"/>
          <w:szCs w:val="24"/>
        </w:rPr>
        <w:fldChar w:fldCharType="begin"/>
      </w:r>
      <w:r w:rsidRPr="00654CB9">
        <w:rPr>
          <w:rFonts w:cs="Times New Roman"/>
          <w:szCs w:val="24"/>
        </w:rPr>
        <w:instrText xml:space="preserve"> ADDIN ZOTERO_ITEM CSL_CITATION {"citationID":"73eMI6xs","properties":{"formattedCitation":"\\super 27\\nosupersub{}","plainCitation":"27","noteIndex":0},"citationItems":[{"id":186,"uris":["http://zotero.org/users/6503767/items/N53Y53Q4"],"itemData":{"id":186,"type":"article-journal","abstract":"Iron in the form of ferric siderophore complexes and vitamin B12 are transported through the outer membrane of Gram-negative bacteria by a mechanism which consumes energy. There is no known energy source in the outer membrane or in the adjacent periplasmic space so that energy is provided by the electrochemical potential across the cytoplasmic membrane. Energy flows from the cytoplasmic into the outer membrane via a complex consisting of the TonB, ExbB and ExbD proteins which are anchored in the cytoplasmic membrane. It is proposed that the TonB--ExbB--ExbD complex opens--via an energized conformation of the TonB protein--channels in the outer membrane, formed by proteins which serves as highly specific binding sites for the various ferric siderophores and vitamin B12. In addition, outer membrane receptors together with the TonB--ExbB--ExbD complex are directly involved in induction of the transcription of ferric citrate and pseudobactin transport genes of Escherichia coli and Pseudomonas putida, respectively.","container-title":"FEMS microbiology reviews","DOI":"10.1111/j.1574-6976.1995.tb00177.x","ISSN":"0168-6445","issue":"4","journalAbbreviation":"FEMS Microbiol Rev","language":"eng","note":"PMID: 7654405","page":"295-307","source":"PubMed","title":"Energy-coupled transport and signal transduction through the gram-negative outer membrane via TonB-ExbB-ExbD-dependent receptor proteins","volume":"16","author":[{"family":"Braun","given":"V."}],"issued":{"date-parts":[["1995",7]]}}}],"schema":"https://github.com/citation-style-language/schema/raw/master/csl-citation.json"}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27</w:t>
      </w:r>
      <w:r w:rsidRPr="00654CB9">
        <w:rPr>
          <w:rFonts w:cs="Times New Roman"/>
          <w:szCs w:val="24"/>
        </w:rPr>
        <w:fldChar w:fldCharType="end"/>
      </w:r>
      <w:r w:rsidRPr="00654CB9">
        <w:rPr>
          <w:rFonts w:cs="Times New Roman"/>
          <w:szCs w:val="24"/>
        </w:rPr>
        <w:t xml:space="preserve"> Gene ID c5174 is putatively associated with the iron-regulated outer membrane virulence protein within the </w:t>
      </w:r>
      <w:proofErr w:type="spellStart"/>
      <w:r w:rsidRPr="00654CB9">
        <w:rPr>
          <w:rFonts w:cs="Times New Roman"/>
          <w:szCs w:val="24"/>
        </w:rPr>
        <w:t>TonB</w:t>
      </w:r>
      <w:proofErr w:type="spellEnd"/>
      <w:r w:rsidRPr="00654CB9">
        <w:rPr>
          <w:rFonts w:cs="Times New Roman"/>
          <w:szCs w:val="24"/>
        </w:rPr>
        <w:t>-dependent receptor (TBDR) family.</w:t>
      </w:r>
      <w:r w:rsidRPr="00654CB9">
        <w:rPr>
          <w:rFonts w:cs="Times New Roman"/>
          <w:szCs w:val="24"/>
        </w:rPr>
        <w:fldChar w:fldCharType="begin"/>
      </w:r>
      <w:r w:rsidRPr="00654CB9">
        <w:rPr>
          <w:rFonts w:cs="Times New Roman"/>
          <w:szCs w:val="24"/>
        </w:rPr>
        <w:instrText xml:space="preserve"> ADDIN ZOTERO_ITEM CSL_CITATION {"citationID":"5b81iZj6","properties":{"formattedCitation":"\\super 28\\nosupersub{}","plainCitation":"28","noteIndex":0},"citationItems":[{"id":174,"uris":["http://zotero.org/users/6503767/items/46GURYJT"],"itemData":{"id":174,"type":"article-journal","abstract":"TonB-dependent receptors (TBDRs) mediate substrate-specific transport across the outer membrane, utilizing energy derived from the proton motive force transmitted from the TonB−ExbB−ExbD complex located in the inner membrane (TonB system). Although a number of TonB systems involved in the uptake of siderophores, vitamin B12 and saccharides have been identified, their involvement in the uptake and catabolism of aromatic compounds was previously unknown. Here, we show that the outer membrane transport of a biphenyl compound derived from lignin is mediated by the TonB system in a Gram-negative bacterium capable of degrading lignin-derived aromatic compounds, Sphingobium sp. strain SYK-6. Furthermore, we found that overexpression of the corresponding TBDR gene enhanced the uptake of this biphenyl compound, contributing to the improved rate of platform chemical production. Our results will provide an important basis for establishing engineered strains optimized for use in lignin valorisation.","container-title":"Communications Biology","DOI":"10.1038/s42003-019-0676-z","ISSN":"2399-3642","issue":"1","journalAbbreviation":"Commun Biol","language":"en","note":"Bandiera_abtest: a\nCc_license_type: cc_by\nCg_type: Nature Research Journals\nnumber: 1\nPrimary_atype: Research\npublisher: Nature Publishing Group\nSubject_term: Applied microbiology;Bacterial genetics\nSubject_term_id: applied-microbiology;bacterial-genetics","page":"1-10","source":"www.nature.com","title":"A TonB-dependent receptor constitutes the outer membrane transport system for a lignin-derived aromatic compound","volume":"2","author":[{"family":"Fujita","given":"Masaya"},{"family":"Mori","given":"Kosuke"},{"family":"Hara","given":"Hirofumi"},{"family":"Hishiyama","given":"Shojiro"},{"family":"Kamimura","given":"Naofumi"},{"family":"Masai","given":"Eiji"}],"issued":{"date-parts":[["2019",11,22]]}}}],"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28</w:t>
      </w:r>
      <w:r w:rsidRPr="00654CB9">
        <w:rPr>
          <w:rFonts w:cs="Times New Roman"/>
          <w:szCs w:val="24"/>
        </w:rPr>
        <w:fldChar w:fldCharType="end"/>
      </w:r>
      <w:r w:rsidRPr="00654CB9">
        <w:rPr>
          <w:rFonts w:cs="Times New Roman"/>
          <w:szCs w:val="24"/>
        </w:rPr>
        <w:t xml:space="preserve"> TBDRs mediate substrate-specific transport across the outer membrane and are involved in the uptake and utilization of several nutrients including chelated iron and vitamin B</w:t>
      </w:r>
      <w:r w:rsidRPr="00654CB9">
        <w:rPr>
          <w:rFonts w:cs="Times New Roman"/>
          <w:szCs w:val="24"/>
          <w:vertAlign w:val="subscript"/>
        </w:rPr>
        <w:t>12</w:t>
      </w:r>
      <w:r w:rsidRPr="00654CB9">
        <w:rPr>
          <w:rFonts w:cs="Times New Roman"/>
          <w:szCs w:val="24"/>
        </w:rPr>
        <w:t>.</w:t>
      </w:r>
      <w:r w:rsidRPr="00654CB9">
        <w:rPr>
          <w:rFonts w:cs="Times New Roman"/>
          <w:szCs w:val="24"/>
        </w:rPr>
        <w:fldChar w:fldCharType="begin"/>
      </w:r>
      <w:r w:rsidRPr="00654CB9">
        <w:rPr>
          <w:rFonts w:cs="Times New Roman"/>
          <w:szCs w:val="24"/>
        </w:rPr>
        <w:instrText xml:space="preserve"> ADDIN ZOTERO_ITEM CSL_CITATION {"citationID":"glEp5tK3","properties":{"formattedCitation":"\\super 27\\nosupersub{}","plainCitation":"27","noteIndex":0},"citationItems":[{"id":186,"uris":["http://zotero.org/users/6503767/items/N53Y53Q4"],"itemData":{"id":186,"type":"article-journal","abstract":"Iron in the form of ferric siderophore complexes and vitamin B12 are transported through the outer membrane of Gram-negative bacteria by a mechanism which consumes energy. There is no known energy source in the outer membrane or in the adjacent periplasmic space so that energy is provided by the electrochemical potential across the cytoplasmic membrane. Energy flows from the cytoplasmic into the outer membrane via a complex consisting of the TonB, ExbB and ExbD proteins which are anchored in the cytoplasmic membrane. It is proposed that the TonB--ExbB--ExbD complex opens--via an energized conformation of the TonB protein--channels in the outer membrane, formed by proteins which serves as highly specific binding sites for the various ferric siderophores and vitamin B12. In addition, outer membrane receptors together with the TonB--ExbB--ExbD complex are directly involved in induction of the transcription of ferric citrate and pseudobactin transport genes of Escherichia coli and Pseudomonas putida, respectively.","container-title":"FEMS microbiology reviews","DOI":"10.1111/j.1574-6976.1995.tb00177.x","ISSN":"0168-6445","issue":"4","journalAbbreviation":"FEMS Microbiol Rev","language":"eng","note":"PMID: 7654405","page":"295-307","source":"PubMed","title":"Energy-coupled transport and signal transduction through the gram-negative outer membrane via TonB-ExbB-ExbD-dependent receptor proteins","volume":"16","author":[{"family":"Braun","given":"V."}],"issued":{"date-parts":[["1995",7]]}}}],"schema":"https://github.com/citation-style-language/schema/raw/master/csl-citation.json"}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27</w:t>
      </w:r>
      <w:r w:rsidRPr="00654CB9">
        <w:rPr>
          <w:rFonts w:cs="Times New Roman"/>
          <w:szCs w:val="24"/>
        </w:rPr>
        <w:fldChar w:fldCharType="end"/>
      </w:r>
      <w:r w:rsidRPr="00654CB9">
        <w:rPr>
          <w:rFonts w:cs="Times New Roman"/>
          <w:szCs w:val="24"/>
        </w:rPr>
        <w:t xml:space="preserve"> A previous study by Payne et al. found that the </w:t>
      </w:r>
      <w:proofErr w:type="spellStart"/>
      <w:r w:rsidRPr="00654CB9">
        <w:rPr>
          <w:rFonts w:cs="Times New Roman"/>
          <w:i/>
          <w:iCs/>
          <w:szCs w:val="24"/>
        </w:rPr>
        <w:t>tonB</w:t>
      </w:r>
      <w:proofErr w:type="spellEnd"/>
      <w:r w:rsidRPr="00654CB9">
        <w:rPr>
          <w:rFonts w:cs="Times New Roman"/>
          <w:szCs w:val="24"/>
        </w:rPr>
        <w:t xml:space="preserve"> mutant of the UPEC strain CFT073 was attenuated for infection of the bladder and kidney, indicating that CFT073 requires </w:t>
      </w:r>
      <w:proofErr w:type="spellStart"/>
      <w:r w:rsidRPr="00654CB9">
        <w:rPr>
          <w:rFonts w:cs="Times New Roman"/>
          <w:szCs w:val="24"/>
        </w:rPr>
        <w:t>TonB</w:t>
      </w:r>
      <w:proofErr w:type="spellEnd"/>
      <w:r w:rsidRPr="00654CB9">
        <w:rPr>
          <w:rFonts w:cs="Times New Roman"/>
          <w:szCs w:val="24"/>
        </w:rPr>
        <w:t xml:space="preserve"> </w:t>
      </w:r>
      <w:r w:rsidRPr="00654CB9">
        <w:rPr>
          <w:rFonts w:cs="Times New Roman"/>
          <w:i/>
          <w:iCs/>
          <w:szCs w:val="24"/>
        </w:rPr>
        <w:t>in vivo</w:t>
      </w:r>
      <w:r w:rsidRPr="00654CB9">
        <w:rPr>
          <w:rFonts w:cs="Times New Roman"/>
          <w:szCs w:val="24"/>
        </w:rPr>
        <w:t xml:space="preserve"> to mediate the uptake of iron during colonization and multiplication within the urinary tract.</w:t>
      </w:r>
      <w:r w:rsidRPr="00654CB9">
        <w:rPr>
          <w:rFonts w:cs="Times New Roman"/>
          <w:szCs w:val="24"/>
        </w:rPr>
        <w:fldChar w:fldCharType="begin"/>
      </w:r>
      <w:r w:rsidRPr="00654CB9">
        <w:rPr>
          <w:rFonts w:cs="Times New Roman"/>
          <w:szCs w:val="24"/>
        </w:rPr>
        <w:instrText xml:space="preserve"> ADDIN ZOTERO_ITEM CSL_CITATION {"citationID":"npX2Plov","properties":{"formattedCitation":"\\super 29\\nosupersub{}","plainCitation":"29","noteIndex":0},"citationItems":[{"id":183,"uris":["http://zotero.org/users/6503767/items/QTHIILJN"],"itemData":{"id":183,"type":"article-journal","abstract":"The uropathogenic Escherichia coli strain CFT073 has multiple iron acquisition systems, including heme and siderophore transporters. A tonB mutant derivative of CFT073 failed to use heme as an iron source or to utilize the siderophores enterobactin and aerobactin, indicating that transport of these compounds in CFT073 is TonB dependent. The TonB− derivative showed reduced virulence in a mouse model of urinary tract infection. Virulence was restored when the tonB gene was introduced on a plasmid. To determine the importance of the individual TonB-dependent iron transport systems during urinary tract infections, mutants defective in each of the CFT073 high-affinity iron transport systems were constructed and tested in the mouse model. Mouse virulence assays indicated that mutants defective in a single iron transport system were able to infect the kidney when inoculated as a pure culture but were unable to efficiently compete with the wild-type strain in mixed infections. These results indicate a role for TonB-dependent systems in the virulence of uropathogenic E. coli strains.","container-title":"Infection and Immunity","DOI":"10.1128/IAI.69.10.6179-6185.2001","ISSN":"0019-9567","issue":"10","journalAbbreviation":"Infect Immun","note":"PMID: 11553558\nPMCID: PMC98749","page":"6179-6185","source":"PubMed Central","title":"TonB-Dependent Systems of Uropathogenic Escherichia coli: Aerobactin and Heme Transport and TonB Are  Required for Virulence in the Mouse","title-short":"TonB-Dependent Systems of Uropathogenic Escherichia coli","volume":"69","author":[{"family":"Torres","given":"Alfredo G."},{"family":"Redford","given":"Peter"},{"family":"Welch","given":"Rodney A."},{"family":"Payne","given":"Shelley M."}],"issued":{"date-parts":[["2001",10]]}}}],"schema":"https://github.com/citation-style-language/schema/raw/master/csl-citation.json"}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29</w:t>
      </w:r>
      <w:r w:rsidRPr="00654CB9">
        <w:rPr>
          <w:rFonts w:cs="Times New Roman"/>
          <w:szCs w:val="24"/>
        </w:rPr>
        <w:fldChar w:fldCharType="end"/>
      </w:r>
      <w:r w:rsidRPr="00654CB9">
        <w:rPr>
          <w:rFonts w:cs="Times New Roman"/>
          <w:szCs w:val="24"/>
        </w:rPr>
        <w:t xml:space="preserve"> Our </w:t>
      </w:r>
      <w:r w:rsidRPr="00654CB9">
        <w:rPr>
          <w:rFonts w:cs="Times New Roman"/>
          <w:szCs w:val="24"/>
        </w:rPr>
        <w:lastRenderedPageBreak/>
        <w:t xml:space="preserve">proteomic analysis found that c5174 was significantly downregulated in both the </w:t>
      </w:r>
      <w:proofErr w:type="spellStart"/>
      <w:r w:rsidRPr="00654CB9">
        <w:rPr>
          <w:rFonts w:cs="Times New Roman"/>
          <w:i/>
          <w:iCs/>
          <w:szCs w:val="24"/>
        </w:rPr>
        <w:t>cpxA</w:t>
      </w:r>
      <w:proofErr w:type="spellEnd"/>
      <w:r w:rsidRPr="00654CB9">
        <w:rPr>
          <w:rFonts w:cs="Times New Roman"/>
          <w:szCs w:val="24"/>
        </w:rPr>
        <w:t xml:space="preserve"> mutant and compound-treated CFT073 cells. The gene encoding the iron uptake system component </w:t>
      </w:r>
      <w:proofErr w:type="spellStart"/>
      <w:r w:rsidRPr="00654CB9">
        <w:rPr>
          <w:rFonts w:cs="Times New Roman"/>
          <w:szCs w:val="24"/>
        </w:rPr>
        <w:t>EfeO</w:t>
      </w:r>
      <w:proofErr w:type="spellEnd"/>
      <w:r w:rsidRPr="00654CB9">
        <w:rPr>
          <w:rFonts w:cs="Times New Roman"/>
          <w:szCs w:val="24"/>
        </w:rPr>
        <w:t xml:space="preserve"> (</w:t>
      </w:r>
      <w:proofErr w:type="spellStart"/>
      <w:r w:rsidRPr="00654CB9">
        <w:rPr>
          <w:rFonts w:cs="Times New Roman"/>
          <w:i/>
          <w:iCs/>
          <w:szCs w:val="24"/>
        </w:rPr>
        <w:t>ycdO</w:t>
      </w:r>
      <w:proofErr w:type="spellEnd"/>
      <w:r w:rsidRPr="00654CB9">
        <w:rPr>
          <w:rFonts w:cs="Times New Roman"/>
          <w:szCs w:val="24"/>
        </w:rPr>
        <w:t xml:space="preserve">) was also significantly downregulated in the two groups. This, along with evidence that the </w:t>
      </w:r>
      <w:proofErr w:type="spellStart"/>
      <w:r w:rsidRPr="00654CB9">
        <w:rPr>
          <w:rFonts w:cs="Times New Roman"/>
          <w:i/>
          <w:iCs/>
          <w:szCs w:val="24"/>
        </w:rPr>
        <w:t>efeUOB</w:t>
      </w:r>
      <w:proofErr w:type="spellEnd"/>
      <w:r w:rsidRPr="00654CB9">
        <w:rPr>
          <w:rFonts w:cs="Times New Roman"/>
          <w:szCs w:val="24"/>
        </w:rPr>
        <w:t xml:space="preserve"> operon is shown to be induced by acid in a CpxRA-dependent manner driving iron import,</w:t>
      </w:r>
      <w:r w:rsidRPr="00654CB9">
        <w:rPr>
          <w:rFonts w:cs="Times New Roman"/>
          <w:szCs w:val="24"/>
        </w:rPr>
        <w:fldChar w:fldCharType="begin"/>
      </w:r>
      <w:r w:rsidRPr="00654CB9">
        <w:rPr>
          <w:rFonts w:cs="Times New Roman"/>
          <w:szCs w:val="24"/>
        </w:rPr>
        <w:instrText xml:space="preserve"> ADDIN ZOTERO_ITEM CSL_CITATION {"citationID":"vqMGD3zd","properties":{"formattedCitation":"\\super 30\\nosupersub{}","plainCitation":"30","noteIndex":0},"citationItems":[{"id":192,"uris":["http://zotero.org/users/6503767/items/H8BDEFZX"],"itemData":{"id":192,"type":"article-journal","abstract":"Escherichia coli possesses iron transporters specific for either Fe2+ or Fe3+. Although Fe2+ is far more soluble than Fe3+, it rapidly oxidizes aerobically at pH ≥ 7. Thus, FeoAB, the major Fe2+ transporter of E. coli, operates anaerobically. However, Fe2+ remains stable aerobically under acidic conditions, although a low-pH Fe2+ importer has not been previously identified. Here we show that ycdNOB (efeUOB) specifies the first such transporter. efeUOB is repressed at high pH by CpxAR, and is Fe2+–Fur repressed. EfeU is homologous to the high-affinity iron permease, Ftr1p, of Saccharomyces cerevisiae and other fungi. EfeO is periplasmic with a cupredoxin N-terminal domain; EfeB is also periplasmic and is haem peroxidase-like. All three Efe proteins are required for Efe function. The efeU gene of E. coli K-12 is cryptic due to a frameshift mutation – repair of the single-base-pair deletion generates a functional EfeUOB system. In contrast, the efeUOB operon of the enterohaemorrhagic strain, O157:H7, lacks any frameshift and is functional. A ‘wild-type’ K-12 strain bearing a functional EfeUOB displays a major growth advantage under aerobic, low-pH, low-iron conditions when a competing metal is provided. 55Fe transport assays confirm the ferrous iron specificity of EfeUOB.","container-title":"Molecular Microbiology","DOI":"10.1111/j.1365-2958.2007.05802.x","ISSN":"1365-2958","issue":"4","language":"en","note":"_eprint: https://onlinelibrary.wiley.com/doi/pdf/10.1111/j.1365-2958.2007.05802.x","page":"857-875","source":"Wiley Online Library","title":"EfeUOB (YcdNOB) is a tripartite, acid-induced and CpxAR-regulated, low-pH Fe2+ transporter that is cryptic in Escherichia coli K-12 but functional in E. coli O157:H7","title-short":"EfeUOB (YcdNOB) is a tripartite, acid-induced and CpxAR-regulated, low-pH Fe2+ transporter that is cryptic in Escherichia coli K-12 but functional in E. coli O157","volume":"65","author":[{"family":"Cao","given":"Jieni"},{"family":"Woodhall","given":"Mark R."},{"family":"Alvarez","given":"Javier"},{"family":"Cartron","given":"Michaël L."},{"family":"Andrews","given":"Simon C."}],"issued":{"date-parts":[["2007"]]}}}],"schema":"https://github.com/citation-style-language/schema/raw/master/csl-citation.json"}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30</w:t>
      </w:r>
      <w:r w:rsidRPr="00654CB9">
        <w:rPr>
          <w:rFonts w:cs="Times New Roman"/>
          <w:szCs w:val="24"/>
        </w:rPr>
        <w:fldChar w:fldCharType="end"/>
      </w:r>
      <w:r w:rsidRPr="00654CB9">
        <w:rPr>
          <w:rFonts w:cs="Times New Roman"/>
          <w:szCs w:val="24"/>
        </w:rPr>
        <w:t xml:space="preserve"> suggests that the mechanism behind UPEC fitness impairment by the CpxRA 2CSTS is associated with iron transport and sequestration. </w:t>
      </w:r>
    </w:p>
    <w:p w14:paraId="35897640" w14:textId="77777777" w:rsidR="00654CB9" w:rsidRPr="00654CB9" w:rsidRDefault="00654CB9" w:rsidP="00654CB9">
      <w:pPr>
        <w:spacing w:after="0"/>
        <w:ind w:firstLine="720"/>
        <w:contextualSpacing/>
        <w:rPr>
          <w:rFonts w:cs="Times New Roman"/>
          <w:szCs w:val="24"/>
        </w:rPr>
      </w:pPr>
    </w:p>
    <w:p w14:paraId="758A3A68" w14:textId="264A6CFF" w:rsidR="00654CB9" w:rsidRPr="00654CB9" w:rsidRDefault="00654CB9" w:rsidP="00654CB9">
      <w:pPr>
        <w:keepNext/>
        <w:spacing w:after="200" w:line="240" w:lineRule="auto"/>
        <w:rPr>
          <w:b/>
          <w:iCs/>
          <w:szCs w:val="18"/>
        </w:rPr>
      </w:pPr>
      <w:r w:rsidRPr="00654CB9">
        <w:rPr>
          <w:b/>
          <w:iCs/>
          <w:szCs w:val="18"/>
        </w:rPr>
        <w:t xml:space="preserve">Table </w:t>
      </w:r>
      <w:r w:rsidRPr="00654CB9">
        <w:rPr>
          <w:rFonts w:cs="Times New Roman"/>
          <w:b/>
          <w:iCs/>
          <w:szCs w:val="24"/>
        </w:rPr>
        <w:t>2.</w:t>
      </w:r>
      <w:r w:rsidR="009653EB">
        <w:rPr>
          <w:b/>
          <w:iCs/>
          <w:szCs w:val="18"/>
        </w:rPr>
        <w:fldChar w:fldCharType="begin"/>
      </w:r>
      <w:r w:rsidR="009653EB">
        <w:rPr>
          <w:b/>
          <w:iCs/>
          <w:szCs w:val="18"/>
        </w:rPr>
        <w:instrText xml:space="preserve"> SEQ Table \* ARABIC \r1 </w:instrText>
      </w:r>
      <w:r w:rsidR="009653EB">
        <w:rPr>
          <w:b/>
          <w:iCs/>
          <w:szCs w:val="18"/>
        </w:rPr>
        <w:fldChar w:fldCharType="separate"/>
      </w:r>
      <w:r w:rsidR="00AA5AAC">
        <w:rPr>
          <w:b/>
          <w:iCs/>
          <w:noProof/>
          <w:szCs w:val="18"/>
        </w:rPr>
        <w:t>1</w:t>
      </w:r>
      <w:r w:rsidR="009653EB">
        <w:rPr>
          <w:b/>
          <w:iCs/>
          <w:szCs w:val="18"/>
        </w:rPr>
        <w:fldChar w:fldCharType="end"/>
      </w:r>
      <w:r w:rsidRPr="00654CB9">
        <w:rPr>
          <w:b/>
          <w:iCs/>
          <w:szCs w:val="18"/>
        </w:rPr>
        <w:t xml:space="preserve">. Downregulated proteins in both the </w:t>
      </w:r>
      <w:proofErr w:type="spellStart"/>
      <w:r w:rsidRPr="00654CB9">
        <w:rPr>
          <w:b/>
          <w:i/>
          <w:szCs w:val="18"/>
        </w:rPr>
        <w:t>cpxA</w:t>
      </w:r>
      <w:proofErr w:type="spellEnd"/>
      <w:r w:rsidRPr="00654CB9">
        <w:rPr>
          <w:b/>
          <w:iCs/>
          <w:szCs w:val="18"/>
        </w:rPr>
        <w:t xml:space="preserve"> mutant and compound treated WT</w:t>
      </w:r>
      <w:r w:rsidR="00666BE3">
        <w:rPr>
          <w:b/>
          <w:iCs/>
          <w:szCs w:val="18"/>
        </w:rPr>
        <w:t>.</w:t>
      </w:r>
    </w:p>
    <w:tbl>
      <w:tblPr>
        <w:tblStyle w:val="TableGrid"/>
        <w:tblW w:w="9370" w:type="dxa"/>
        <w:tblLook w:val="04A0" w:firstRow="1" w:lastRow="0" w:firstColumn="1" w:lastColumn="0" w:noHBand="0" w:noVBand="1"/>
      </w:tblPr>
      <w:tblGrid>
        <w:gridCol w:w="236"/>
        <w:gridCol w:w="1649"/>
        <w:gridCol w:w="1350"/>
        <w:gridCol w:w="6135"/>
      </w:tblGrid>
      <w:tr w:rsidR="00654CB9" w:rsidRPr="00654CB9" w14:paraId="0995C36B" w14:textId="77777777" w:rsidTr="00562397">
        <w:trPr>
          <w:trHeight w:val="266"/>
        </w:trPr>
        <w:tc>
          <w:tcPr>
            <w:tcW w:w="1885" w:type="dxa"/>
            <w:gridSpan w:val="2"/>
            <w:tcBorders>
              <w:top w:val="single" w:sz="4" w:space="0" w:color="auto"/>
              <w:left w:val="single" w:sz="4" w:space="0" w:color="auto"/>
              <w:bottom w:val="single" w:sz="4" w:space="0" w:color="auto"/>
              <w:right w:val="nil"/>
            </w:tcBorders>
            <w:shd w:val="clear" w:color="auto" w:fill="E7E6E6" w:themeFill="background2"/>
            <w:vAlign w:val="center"/>
          </w:tcPr>
          <w:p w14:paraId="52EF9AB8" w14:textId="77777777" w:rsidR="00654CB9" w:rsidRPr="00654CB9" w:rsidRDefault="00654CB9" w:rsidP="00654CB9">
            <w:pPr>
              <w:spacing w:line="240" w:lineRule="auto"/>
              <w:jc w:val="left"/>
              <w:rPr>
                <w:rFonts w:cs="Times New Roman"/>
                <w:b/>
                <w:bCs/>
                <w:noProof/>
                <w:szCs w:val="24"/>
              </w:rPr>
            </w:pPr>
            <w:r w:rsidRPr="00654CB9">
              <w:rPr>
                <w:rFonts w:cs="Times New Roman"/>
                <w:b/>
                <w:bCs/>
                <w:noProof/>
                <w:szCs w:val="24"/>
              </w:rPr>
              <w:t>Ensembl Gene ID</w:t>
            </w:r>
          </w:p>
        </w:tc>
        <w:tc>
          <w:tcPr>
            <w:tcW w:w="1350" w:type="dxa"/>
            <w:tcBorders>
              <w:top w:val="single" w:sz="4" w:space="0" w:color="auto"/>
              <w:left w:val="nil"/>
              <w:bottom w:val="single" w:sz="4" w:space="0" w:color="auto"/>
              <w:right w:val="nil"/>
            </w:tcBorders>
            <w:shd w:val="clear" w:color="auto" w:fill="E7E6E6" w:themeFill="background2"/>
            <w:vAlign w:val="center"/>
          </w:tcPr>
          <w:p w14:paraId="4D0F7742" w14:textId="77777777" w:rsidR="00654CB9" w:rsidRPr="00654CB9" w:rsidRDefault="00654CB9" w:rsidP="00654CB9">
            <w:pPr>
              <w:spacing w:line="240" w:lineRule="auto"/>
              <w:jc w:val="left"/>
              <w:rPr>
                <w:rFonts w:cs="Times New Roman"/>
                <w:b/>
                <w:bCs/>
                <w:noProof/>
                <w:szCs w:val="24"/>
              </w:rPr>
            </w:pPr>
            <w:r w:rsidRPr="00654CB9">
              <w:rPr>
                <w:rFonts w:cs="Times New Roman"/>
                <w:b/>
                <w:bCs/>
                <w:noProof/>
                <w:szCs w:val="24"/>
              </w:rPr>
              <w:t>Gene Symbol</w:t>
            </w:r>
          </w:p>
        </w:tc>
        <w:tc>
          <w:tcPr>
            <w:tcW w:w="6135" w:type="dxa"/>
            <w:tcBorders>
              <w:top w:val="single" w:sz="4" w:space="0" w:color="auto"/>
              <w:left w:val="nil"/>
              <w:bottom w:val="single" w:sz="4" w:space="0" w:color="auto"/>
              <w:right w:val="single" w:sz="4" w:space="0" w:color="auto"/>
            </w:tcBorders>
            <w:shd w:val="clear" w:color="auto" w:fill="E7E6E6" w:themeFill="background2"/>
            <w:vAlign w:val="center"/>
          </w:tcPr>
          <w:p w14:paraId="655F06D3" w14:textId="77777777" w:rsidR="00654CB9" w:rsidRPr="00654CB9" w:rsidRDefault="00654CB9" w:rsidP="00654CB9">
            <w:pPr>
              <w:spacing w:line="240" w:lineRule="auto"/>
              <w:jc w:val="left"/>
              <w:rPr>
                <w:rFonts w:cs="Times New Roman"/>
                <w:b/>
                <w:bCs/>
                <w:noProof/>
                <w:szCs w:val="24"/>
              </w:rPr>
            </w:pPr>
            <w:r w:rsidRPr="00654CB9">
              <w:rPr>
                <w:rFonts w:cs="Times New Roman"/>
                <w:b/>
                <w:bCs/>
                <w:noProof/>
                <w:szCs w:val="24"/>
              </w:rPr>
              <w:t>Protein Function</w:t>
            </w:r>
            <w:r w:rsidRPr="00654CB9">
              <w:rPr>
                <w:rFonts w:cs="Times New Roman"/>
                <w:b/>
                <w:bCs/>
                <w:noProof/>
                <w:szCs w:val="24"/>
              </w:rPr>
              <w:fldChar w:fldCharType="begin"/>
            </w:r>
            <w:r w:rsidRPr="00654CB9">
              <w:rPr>
                <w:rFonts w:cs="Times New Roman"/>
                <w:b/>
                <w:bCs/>
                <w:noProof/>
                <w:szCs w:val="24"/>
              </w:rPr>
              <w:instrText xml:space="preserve"> ADDIN ZOTERO_ITEM CSL_CITATION {"citationID":"jpnaYaTF","properties":{"formattedCitation":"\\super 31\\nosupersub{}","plainCitation":"31","noteIndex":0},"citationItems":[{"id":170,"uris":["http://zotero.org/users/6503767/items/ZVB67UII"],"itemData":{"id":170,"type":"article-journal","abstract":"We present the complete genome sequence of uropathogenic Escherichia coli, strain CFT073. A three-way genome comparison of the CFT073, enterohemorrhagic E. coli EDL933, and laboratory strain MG1655 reveals that, amazingly, only 39.2% of their combined (nonredundant) set of proteins actually are common to all three strains. The pathogen genomes are as different from each other as each pathogen is from the benign strain. The difference in disease potential between O157:H7 and CFT073 is reflected in the absence of genes for type III secretion system or phage- and plasmid-encoded toxins found in some classes of diarrheagenic E. coli. The CFT073 genome is particularly rich in genes that encode potential fimbrial adhesins, autotransporters, iron-sequestration systems, and phase-switch recombinases. Striking differences exist between the large pathogenicity islands of CFT073 and two other well-studied uropathogenic E. coli strains, J96 and 536. Comparisons indicate that extraintestinal pathogenic E. coli arose independently from multiple clonal lineages. The different E. coli pathotypes have maintained a remarkable synteny of common, vertically evolved genes, whereas many islands interrupting this common backbone have been acquired by different horizontal transfer events in each strain.","container-title":"Proceedings of the National Academy of Sciences","DOI":"10.1073/pnas.252529799","ISSN":"0027-8424, 1091-6490","issue":"26","journalAbbreviation":"PNAS","language":"en","note":"publisher: National Academy of Sciences\nsection: Biological Sciences\nPMID: 12471157","page":"17020-17024","source":"www.pnas.org","title":"Extensive mosaic structure revealed by the complete genome sequence of uropathogenic Escherichia coli","volume":"99","author":[{"family":"Welch","given":"R. A."},{"family":"Burland","given":"V."},{"family":"Plunkett","given":"G."},{"family":"Redford","given":"P."},{"family":"Roesch","given":"P."},{"family":"Rasko","given":"D."},{"family":"Buckles","given":"E. L."},{"family":"Liou","given":"S.-R."},{"family":"Boutin","given":"A."},{"family":"Hackett","given":"J."},{"family":"Stroud","given":"D."},{"family":"Mayhew","given":"G. F."},{"family":"Rose","given":"D. J."},{"family":"Zhou","given":"S."},{"family":"Schwartz","given":"D. C."},{"family":"Perna","given":"N. T."},{"family":"Mobley","given":"H. L. T."},{"family":"Donnenberg","given":"M. S."},{"family":"Blattner","given":"F. R."}],"issued":{"date-parts":[["2002",12,24]]}}}],"schema":"https://github.com/citation-style-language/schema/raw/master/csl-citation.json"} </w:instrText>
            </w:r>
            <w:r w:rsidRPr="00654CB9">
              <w:rPr>
                <w:rFonts w:cs="Times New Roman"/>
                <w:b/>
                <w:bCs/>
                <w:noProof/>
                <w:szCs w:val="24"/>
              </w:rPr>
              <w:fldChar w:fldCharType="separate"/>
            </w:r>
            <w:r w:rsidRPr="00654CB9">
              <w:rPr>
                <w:rFonts w:cs="Times New Roman"/>
                <w:noProof/>
                <w:szCs w:val="24"/>
                <w:vertAlign w:val="superscript"/>
              </w:rPr>
              <w:t>31</w:t>
            </w:r>
            <w:r w:rsidRPr="00654CB9">
              <w:rPr>
                <w:rFonts w:cs="Times New Roman"/>
                <w:b/>
                <w:bCs/>
                <w:noProof/>
                <w:szCs w:val="24"/>
              </w:rPr>
              <w:fldChar w:fldCharType="end"/>
            </w:r>
          </w:p>
        </w:tc>
      </w:tr>
      <w:tr w:rsidR="00654CB9" w:rsidRPr="00654CB9" w14:paraId="4C6CF599" w14:textId="77777777" w:rsidTr="00562397">
        <w:trPr>
          <w:trHeight w:val="266"/>
        </w:trPr>
        <w:tc>
          <w:tcPr>
            <w:tcW w:w="9370" w:type="dxa"/>
            <w:gridSpan w:val="4"/>
            <w:tcBorders>
              <w:top w:val="single" w:sz="4" w:space="0" w:color="auto"/>
              <w:bottom w:val="nil"/>
            </w:tcBorders>
          </w:tcPr>
          <w:p w14:paraId="51768F86"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Ion Transport Proteins</w:t>
            </w:r>
          </w:p>
        </w:tc>
      </w:tr>
      <w:tr w:rsidR="00654CB9" w:rsidRPr="00654CB9" w14:paraId="6C3A7422" w14:textId="77777777" w:rsidTr="00562397">
        <w:trPr>
          <w:trHeight w:val="266"/>
        </w:trPr>
        <w:tc>
          <w:tcPr>
            <w:tcW w:w="236" w:type="dxa"/>
            <w:tcBorders>
              <w:top w:val="nil"/>
              <w:left w:val="single" w:sz="4" w:space="0" w:color="auto"/>
              <w:bottom w:val="nil"/>
              <w:right w:val="nil"/>
            </w:tcBorders>
          </w:tcPr>
          <w:p w14:paraId="0B16DA55" w14:textId="77777777" w:rsidR="00654CB9" w:rsidRPr="00654CB9" w:rsidRDefault="00654CB9" w:rsidP="00654CB9">
            <w:pPr>
              <w:spacing w:line="240" w:lineRule="auto"/>
              <w:jc w:val="left"/>
              <w:rPr>
                <w:rFonts w:cs="Times New Roman"/>
                <w:noProof/>
                <w:szCs w:val="24"/>
              </w:rPr>
            </w:pPr>
          </w:p>
        </w:tc>
        <w:tc>
          <w:tcPr>
            <w:tcW w:w="1649" w:type="dxa"/>
            <w:tcBorders>
              <w:top w:val="nil"/>
              <w:left w:val="nil"/>
              <w:bottom w:val="nil"/>
              <w:right w:val="nil"/>
            </w:tcBorders>
          </w:tcPr>
          <w:p w14:paraId="06C2AA00"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c1816</w:t>
            </w:r>
          </w:p>
        </w:tc>
        <w:tc>
          <w:tcPr>
            <w:tcW w:w="1350" w:type="dxa"/>
            <w:tcBorders>
              <w:top w:val="nil"/>
              <w:left w:val="nil"/>
              <w:bottom w:val="nil"/>
              <w:right w:val="nil"/>
            </w:tcBorders>
          </w:tcPr>
          <w:p w14:paraId="75008189" w14:textId="77777777" w:rsidR="00654CB9" w:rsidRPr="00654CB9" w:rsidRDefault="00654CB9" w:rsidP="00654CB9">
            <w:pPr>
              <w:spacing w:line="240" w:lineRule="auto"/>
              <w:jc w:val="left"/>
              <w:rPr>
                <w:rFonts w:cs="Times New Roman"/>
                <w:i/>
                <w:iCs/>
                <w:noProof/>
                <w:szCs w:val="24"/>
              </w:rPr>
            </w:pPr>
            <w:r w:rsidRPr="00654CB9">
              <w:rPr>
                <w:rFonts w:cs="Times New Roman"/>
                <w:i/>
                <w:iCs/>
                <w:noProof/>
                <w:szCs w:val="24"/>
              </w:rPr>
              <w:t>zntB</w:t>
            </w:r>
          </w:p>
        </w:tc>
        <w:tc>
          <w:tcPr>
            <w:tcW w:w="6135" w:type="dxa"/>
            <w:tcBorders>
              <w:top w:val="nil"/>
              <w:left w:val="nil"/>
              <w:bottom w:val="nil"/>
              <w:right w:val="single" w:sz="4" w:space="0" w:color="auto"/>
            </w:tcBorders>
          </w:tcPr>
          <w:p w14:paraId="2F76662C"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Mediates efflux of zinc ions</w:t>
            </w:r>
          </w:p>
        </w:tc>
      </w:tr>
      <w:tr w:rsidR="00654CB9" w:rsidRPr="00654CB9" w14:paraId="62151A58" w14:textId="77777777" w:rsidTr="00562397">
        <w:trPr>
          <w:trHeight w:val="266"/>
        </w:trPr>
        <w:tc>
          <w:tcPr>
            <w:tcW w:w="236" w:type="dxa"/>
            <w:tcBorders>
              <w:top w:val="nil"/>
              <w:left w:val="single" w:sz="4" w:space="0" w:color="auto"/>
              <w:bottom w:val="nil"/>
              <w:right w:val="nil"/>
            </w:tcBorders>
          </w:tcPr>
          <w:p w14:paraId="19862780" w14:textId="77777777" w:rsidR="00654CB9" w:rsidRPr="00654CB9" w:rsidRDefault="00654CB9" w:rsidP="00654CB9">
            <w:pPr>
              <w:spacing w:line="240" w:lineRule="auto"/>
              <w:jc w:val="left"/>
              <w:rPr>
                <w:rFonts w:cs="Times New Roman"/>
                <w:noProof/>
                <w:szCs w:val="24"/>
              </w:rPr>
            </w:pPr>
          </w:p>
        </w:tc>
        <w:tc>
          <w:tcPr>
            <w:tcW w:w="1649" w:type="dxa"/>
            <w:tcBorders>
              <w:top w:val="nil"/>
              <w:left w:val="nil"/>
              <w:bottom w:val="nil"/>
              <w:right w:val="nil"/>
            </w:tcBorders>
          </w:tcPr>
          <w:p w14:paraId="4AA629BF"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c3450</w:t>
            </w:r>
          </w:p>
        </w:tc>
        <w:tc>
          <w:tcPr>
            <w:tcW w:w="1350" w:type="dxa"/>
            <w:tcBorders>
              <w:top w:val="nil"/>
              <w:left w:val="nil"/>
              <w:bottom w:val="nil"/>
              <w:right w:val="nil"/>
            </w:tcBorders>
          </w:tcPr>
          <w:p w14:paraId="639C72D4" w14:textId="77777777" w:rsidR="00654CB9" w:rsidRPr="00654CB9" w:rsidRDefault="00654CB9" w:rsidP="00654CB9">
            <w:pPr>
              <w:spacing w:line="240" w:lineRule="auto"/>
              <w:jc w:val="left"/>
              <w:rPr>
                <w:rFonts w:cs="Times New Roman"/>
                <w:i/>
                <w:iCs/>
                <w:noProof/>
                <w:szCs w:val="24"/>
              </w:rPr>
            </w:pPr>
            <w:r w:rsidRPr="00654CB9">
              <w:rPr>
                <w:rFonts w:cs="Times New Roman"/>
                <w:i/>
                <w:iCs/>
                <w:noProof/>
                <w:szCs w:val="24"/>
              </w:rPr>
              <w:t>ygeY</w:t>
            </w:r>
          </w:p>
        </w:tc>
        <w:tc>
          <w:tcPr>
            <w:tcW w:w="6135" w:type="dxa"/>
            <w:tcBorders>
              <w:top w:val="nil"/>
              <w:left w:val="nil"/>
              <w:bottom w:val="nil"/>
              <w:right w:val="single" w:sz="4" w:space="0" w:color="auto"/>
            </w:tcBorders>
          </w:tcPr>
          <w:p w14:paraId="03EE252E"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Metal-binding (Zn</w:t>
            </w:r>
            <w:r w:rsidRPr="00654CB9">
              <w:rPr>
                <w:rFonts w:cs="Times New Roman"/>
                <w:noProof/>
                <w:szCs w:val="24"/>
                <w:vertAlign w:val="superscript"/>
              </w:rPr>
              <w:t>2+</w:t>
            </w:r>
            <w:r w:rsidRPr="00654CB9">
              <w:rPr>
                <w:rFonts w:cs="Times New Roman"/>
                <w:noProof/>
                <w:szCs w:val="24"/>
              </w:rPr>
              <w:t>, Co</w:t>
            </w:r>
            <w:r w:rsidRPr="00654CB9">
              <w:rPr>
                <w:rFonts w:cs="Times New Roman"/>
                <w:noProof/>
                <w:szCs w:val="24"/>
                <w:vertAlign w:val="superscript"/>
              </w:rPr>
              <w:t>2+</w:t>
            </w:r>
            <w:r w:rsidRPr="00654CB9">
              <w:rPr>
                <w:rFonts w:cs="Times New Roman"/>
                <w:noProof/>
                <w:szCs w:val="24"/>
              </w:rPr>
              <w:t>)</w:t>
            </w:r>
          </w:p>
        </w:tc>
      </w:tr>
      <w:tr w:rsidR="00654CB9" w:rsidRPr="00654CB9" w14:paraId="4FAE9004" w14:textId="77777777" w:rsidTr="00562397">
        <w:trPr>
          <w:trHeight w:val="266"/>
        </w:trPr>
        <w:tc>
          <w:tcPr>
            <w:tcW w:w="236" w:type="dxa"/>
            <w:tcBorders>
              <w:top w:val="nil"/>
              <w:left w:val="single" w:sz="4" w:space="0" w:color="auto"/>
              <w:bottom w:val="nil"/>
              <w:right w:val="nil"/>
            </w:tcBorders>
          </w:tcPr>
          <w:p w14:paraId="5EA08A7E" w14:textId="77777777" w:rsidR="00654CB9" w:rsidRPr="00654CB9" w:rsidRDefault="00654CB9" w:rsidP="00654CB9">
            <w:pPr>
              <w:spacing w:line="240" w:lineRule="auto"/>
              <w:jc w:val="left"/>
              <w:rPr>
                <w:rFonts w:cs="Times New Roman"/>
                <w:noProof/>
                <w:szCs w:val="24"/>
              </w:rPr>
            </w:pPr>
          </w:p>
        </w:tc>
        <w:tc>
          <w:tcPr>
            <w:tcW w:w="1649" w:type="dxa"/>
            <w:tcBorders>
              <w:top w:val="nil"/>
              <w:left w:val="nil"/>
              <w:bottom w:val="nil"/>
              <w:right w:val="nil"/>
            </w:tcBorders>
          </w:tcPr>
          <w:p w14:paraId="4FEDEC86"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c5174</w:t>
            </w:r>
          </w:p>
        </w:tc>
        <w:tc>
          <w:tcPr>
            <w:tcW w:w="1350" w:type="dxa"/>
            <w:tcBorders>
              <w:top w:val="nil"/>
              <w:left w:val="nil"/>
              <w:bottom w:val="nil"/>
              <w:right w:val="nil"/>
            </w:tcBorders>
          </w:tcPr>
          <w:p w14:paraId="7597A7F8"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c5174</w:t>
            </w:r>
          </w:p>
        </w:tc>
        <w:tc>
          <w:tcPr>
            <w:tcW w:w="6135" w:type="dxa"/>
            <w:tcBorders>
              <w:top w:val="nil"/>
              <w:left w:val="nil"/>
              <w:bottom w:val="nil"/>
              <w:right w:val="single" w:sz="4" w:space="0" w:color="auto"/>
            </w:tcBorders>
          </w:tcPr>
          <w:p w14:paraId="5613C662"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Putative iron-regulated outer membrane virulence protein</w:t>
            </w:r>
          </w:p>
        </w:tc>
      </w:tr>
      <w:tr w:rsidR="00654CB9" w:rsidRPr="00654CB9" w14:paraId="52B1A7D2" w14:textId="77777777" w:rsidTr="00562397">
        <w:trPr>
          <w:trHeight w:val="266"/>
        </w:trPr>
        <w:tc>
          <w:tcPr>
            <w:tcW w:w="236" w:type="dxa"/>
            <w:tcBorders>
              <w:top w:val="nil"/>
              <w:left w:val="single" w:sz="4" w:space="0" w:color="auto"/>
              <w:bottom w:val="single" w:sz="4" w:space="0" w:color="auto"/>
              <w:right w:val="nil"/>
            </w:tcBorders>
          </w:tcPr>
          <w:p w14:paraId="76D7D14D" w14:textId="77777777" w:rsidR="00654CB9" w:rsidRPr="00654CB9" w:rsidRDefault="00654CB9" w:rsidP="00654CB9">
            <w:pPr>
              <w:spacing w:line="240" w:lineRule="auto"/>
              <w:jc w:val="left"/>
              <w:rPr>
                <w:rFonts w:cs="Times New Roman"/>
                <w:noProof/>
                <w:szCs w:val="24"/>
              </w:rPr>
            </w:pPr>
          </w:p>
        </w:tc>
        <w:tc>
          <w:tcPr>
            <w:tcW w:w="1649" w:type="dxa"/>
            <w:tcBorders>
              <w:top w:val="nil"/>
              <w:left w:val="nil"/>
              <w:bottom w:val="single" w:sz="4" w:space="0" w:color="auto"/>
              <w:right w:val="nil"/>
            </w:tcBorders>
          </w:tcPr>
          <w:p w14:paraId="50856DBC"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c1156</w:t>
            </w:r>
          </w:p>
        </w:tc>
        <w:tc>
          <w:tcPr>
            <w:tcW w:w="1350" w:type="dxa"/>
            <w:tcBorders>
              <w:top w:val="nil"/>
              <w:left w:val="nil"/>
              <w:bottom w:val="single" w:sz="4" w:space="0" w:color="auto"/>
              <w:right w:val="nil"/>
            </w:tcBorders>
          </w:tcPr>
          <w:p w14:paraId="29CF9B64" w14:textId="77777777" w:rsidR="00654CB9" w:rsidRPr="00654CB9" w:rsidRDefault="00654CB9" w:rsidP="00654CB9">
            <w:pPr>
              <w:spacing w:line="240" w:lineRule="auto"/>
              <w:jc w:val="left"/>
              <w:rPr>
                <w:rFonts w:cs="Times New Roman"/>
                <w:i/>
                <w:iCs/>
                <w:noProof/>
                <w:szCs w:val="24"/>
              </w:rPr>
            </w:pPr>
            <w:r w:rsidRPr="00654CB9">
              <w:rPr>
                <w:rFonts w:cs="Times New Roman"/>
                <w:i/>
                <w:iCs/>
                <w:noProof/>
                <w:szCs w:val="24"/>
              </w:rPr>
              <w:t>ycdO</w:t>
            </w:r>
          </w:p>
        </w:tc>
        <w:tc>
          <w:tcPr>
            <w:tcW w:w="6135" w:type="dxa"/>
            <w:tcBorders>
              <w:top w:val="nil"/>
              <w:left w:val="nil"/>
              <w:bottom w:val="single" w:sz="4" w:space="0" w:color="auto"/>
              <w:right w:val="single" w:sz="4" w:space="0" w:color="auto"/>
            </w:tcBorders>
          </w:tcPr>
          <w:p w14:paraId="1C8919DB"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Iron uptake system component EfeO</w:t>
            </w:r>
          </w:p>
        </w:tc>
      </w:tr>
      <w:tr w:rsidR="00654CB9" w:rsidRPr="00654CB9" w14:paraId="3E523ED3" w14:textId="77777777" w:rsidTr="00562397">
        <w:trPr>
          <w:trHeight w:val="266"/>
        </w:trPr>
        <w:tc>
          <w:tcPr>
            <w:tcW w:w="9370" w:type="dxa"/>
            <w:gridSpan w:val="4"/>
            <w:tcBorders>
              <w:top w:val="single" w:sz="4" w:space="0" w:color="auto"/>
              <w:bottom w:val="nil"/>
            </w:tcBorders>
          </w:tcPr>
          <w:p w14:paraId="04800526"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Membrane Proteins</w:t>
            </w:r>
          </w:p>
        </w:tc>
      </w:tr>
      <w:tr w:rsidR="00654CB9" w:rsidRPr="00654CB9" w14:paraId="48182AC2" w14:textId="77777777" w:rsidTr="00562397">
        <w:trPr>
          <w:trHeight w:val="266"/>
        </w:trPr>
        <w:tc>
          <w:tcPr>
            <w:tcW w:w="236" w:type="dxa"/>
            <w:tcBorders>
              <w:top w:val="nil"/>
              <w:left w:val="single" w:sz="4" w:space="0" w:color="auto"/>
              <w:bottom w:val="nil"/>
              <w:right w:val="nil"/>
            </w:tcBorders>
          </w:tcPr>
          <w:p w14:paraId="7440EB15" w14:textId="77777777" w:rsidR="00654CB9" w:rsidRPr="00654CB9" w:rsidRDefault="00654CB9" w:rsidP="00654CB9">
            <w:pPr>
              <w:spacing w:line="240" w:lineRule="auto"/>
              <w:jc w:val="left"/>
              <w:rPr>
                <w:rFonts w:cs="Times New Roman"/>
                <w:noProof/>
                <w:szCs w:val="24"/>
              </w:rPr>
            </w:pPr>
          </w:p>
        </w:tc>
        <w:tc>
          <w:tcPr>
            <w:tcW w:w="1649" w:type="dxa"/>
            <w:tcBorders>
              <w:top w:val="nil"/>
              <w:left w:val="nil"/>
              <w:bottom w:val="nil"/>
              <w:right w:val="nil"/>
            </w:tcBorders>
          </w:tcPr>
          <w:p w14:paraId="79877AF0"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c0726</w:t>
            </w:r>
          </w:p>
        </w:tc>
        <w:tc>
          <w:tcPr>
            <w:tcW w:w="1350" w:type="dxa"/>
            <w:tcBorders>
              <w:top w:val="nil"/>
              <w:left w:val="nil"/>
              <w:bottom w:val="nil"/>
              <w:right w:val="nil"/>
            </w:tcBorders>
          </w:tcPr>
          <w:p w14:paraId="5D844232" w14:textId="77777777" w:rsidR="00654CB9" w:rsidRPr="00654CB9" w:rsidRDefault="00654CB9" w:rsidP="00654CB9">
            <w:pPr>
              <w:spacing w:line="240" w:lineRule="auto"/>
              <w:jc w:val="left"/>
              <w:rPr>
                <w:rFonts w:cs="Times New Roman"/>
                <w:i/>
                <w:iCs/>
                <w:noProof/>
                <w:szCs w:val="24"/>
              </w:rPr>
            </w:pPr>
            <w:r w:rsidRPr="00654CB9">
              <w:rPr>
                <w:rFonts w:cs="Times New Roman"/>
                <w:i/>
                <w:iCs/>
                <w:noProof/>
                <w:szCs w:val="24"/>
              </w:rPr>
              <w:t>mrdA</w:t>
            </w:r>
          </w:p>
        </w:tc>
        <w:tc>
          <w:tcPr>
            <w:tcW w:w="6135" w:type="dxa"/>
            <w:tcBorders>
              <w:top w:val="nil"/>
              <w:left w:val="nil"/>
              <w:bottom w:val="nil"/>
              <w:right w:val="single" w:sz="4" w:space="0" w:color="auto"/>
            </w:tcBorders>
          </w:tcPr>
          <w:p w14:paraId="35EC5F7E"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Catalyzes cross-linking of the peptidoglycan cell wall</w:t>
            </w:r>
          </w:p>
        </w:tc>
      </w:tr>
      <w:tr w:rsidR="00654CB9" w:rsidRPr="00654CB9" w14:paraId="63A6D604" w14:textId="77777777" w:rsidTr="00562397">
        <w:trPr>
          <w:trHeight w:val="266"/>
        </w:trPr>
        <w:tc>
          <w:tcPr>
            <w:tcW w:w="236" w:type="dxa"/>
            <w:tcBorders>
              <w:top w:val="nil"/>
              <w:left w:val="single" w:sz="4" w:space="0" w:color="auto"/>
              <w:bottom w:val="single" w:sz="4" w:space="0" w:color="auto"/>
              <w:right w:val="nil"/>
            </w:tcBorders>
          </w:tcPr>
          <w:p w14:paraId="622D20FA" w14:textId="77777777" w:rsidR="00654CB9" w:rsidRPr="00654CB9" w:rsidRDefault="00654CB9" w:rsidP="00654CB9">
            <w:pPr>
              <w:spacing w:line="240" w:lineRule="auto"/>
              <w:jc w:val="left"/>
              <w:rPr>
                <w:rFonts w:cs="Times New Roman"/>
                <w:noProof/>
                <w:szCs w:val="24"/>
              </w:rPr>
            </w:pPr>
          </w:p>
        </w:tc>
        <w:tc>
          <w:tcPr>
            <w:tcW w:w="1649" w:type="dxa"/>
            <w:tcBorders>
              <w:top w:val="nil"/>
              <w:left w:val="nil"/>
              <w:bottom w:val="single" w:sz="4" w:space="0" w:color="auto"/>
              <w:right w:val="nil"/>
            </w:tcBorders>
          </w:tcPr>
          <w:p w14:paraId="7857021D"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c4364</w:t>
            </w:r>
          </w:p>
        </w:tc>
        <w:tc>
          <w:tcPr>
            <w:tcW w:w="1350" w:type="dxa"/>
            <w:tcBorders>
              <w:top w:val="nil"/>
              <w:left w:val="nil"/>
              <w:bottom w:val="single" w:sz="4" w:space="0" w:color="auto"/>
              <w:right w:val="nil"/>
            </w:tcBorders>
          </w:tcPr>
          <w:p w14:paraId="3CF916EF" w14:textId="77777777" w:rsidR="00654CB9" w:rsidRPr="00654CB9" w:rsidRDefault="00654CB9" w:rsidP="00654CB9">
            <w:pPr>
              <w:spacing w:line="240" w:lineRule="auto"/>
              <w:jc w:val="left"/>
              <w:rPr>
                <w:rFonts w:cs="Times New Roman"/>
                <w:i/>
                <w:iCs/>
                <w:noProof/>
                <w:szCs w:val="24"/>
              </w:rPr>
            </w:pPr>
            <w:r w:rsidRPr="00654CB9">
              <w:rPr>
                <w:rFonts w:cs="Times New Roman"/>
                <w:i/>
                <w:iCs/>
                <w:noProof/>
                <w:szCs w:val="24"/>
              </w:rPr>
              <w:t>yhjW</w:t>
            </w:r>
          </w:p>
        </w:tc>
        <w:tc>
          <w:tcPr>
            <w:tcW w:w="6135" w:type="dxa"/>
            <w:tcBorders>
              <w:top w:val="nil"/>
              <w:left w:val="nil"/>
              <w:bottom w:val="single" w:sz="4" w:space="0" w:color="auto"/>
              <w:right w:val="single" w:sz="4" w:space="0" w:color="auto"/>
            </w:tcBorders>
          </w:tcPr>
          <w:p w14:paraId="3AF1A72A"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Sulfatase and phosphatase activity</w:t>
            </w:r>
          </w:p>
        </w:tc>
      </w:tr>
      <w:tr w:rsidR="00654CB9" w:rsidRPr="00654CB9" w14:paraId="02D212DF" w14:textId="77777777" w:rsidTr="00562397">
        <w:trPr>
          <w:trHeight w:val="266"/>
        </w:trPr>
        <w:tc>
          <w:tcPr>
            <w:tcW w:w="9370" w:type="dxa"/>
            <w:gridSpan w:val="4"/>
            <w:tcBorders>
              <w:top w:val="single" w:sz="4" w:space="0" w:color="auto"/>
              <w:left w:val="single" w:sz="4" w:space="0" w:color="auto"/>
              <w:bottom w:val="nil"/>
              <w:right w:val="single" w:sz="4" w:space="0" w:color="auto"/>
            </w:tcBorders>
          </w:tcPr>
          <w:p w14:paraId="126D368A"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Uncharacterized Proteins</w:t>
            </w:r>
          </w:p>
        </w:tc>
      </w:tr>
      <w:tr w:rsidR="00654CB9" w:rsidRPr="00654CB9" w14:paraId="78086F2F" w14:textId="77777777" w:rsidTr="00562397">
        <w:trPr>
          <w:trHeight w:val="266"/>
        </w:trPr>
        <w:tc>
          <w:tcPr>
            <w:tcW w:w="236" w:type="dxa"/>
            <w:tcBorders>
              <w:top w:val="nil"/>
              <w:left w:val="single" w:sz="4" w:space="0" w:color="auto"/>
              <w:bottom w:val="nil"/>
              <w:right w:val="nil"/>
            </w:tcBorders>
          </w:tcPr>
          <w:p w14:paraId="502A941B" w14:textId="77777777" w:rsidR="00654CB9" w:rsidRPr="00654CB9" w:rsidRDefault="00654CB9" w:rsidP="00654CB9">
            <w:pPr>
              <w:spacing w:line="240" w:lineRule="auto"/>
              <w:jc w:val="left"/>
              <w:rPr>
                <w:rFonts w:cs="Times New Roman"/>
                <w:noProof/>
                <w:szCs w:val="24"/>
              </w:rPr>
            </w:pPr>
          </w:p>
        </w:tc>
        <w:tc>
          <w:tcPr>
            <w:tcW w:w="1649" w:type="dxa"/>
            <w:tcBorders>
              <w:top w:val="nil"/>
              <w:left w:val="nil"/>
              <w:bottom w:val="nil"/>
              <w:right w:val="nil"/>
            </w:tcBorders>
          </w:tcPr>
          <w:p w14:paraId="0C80B844"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c4731</w:t>
            </w:r>
          </w:p>
        </w:tc>
        <w:tc>
          <w:tcPr>
            <w:tcW w:w="7485" w:type="dxa"/>
            <w:gridSpan w:val="2"/>
            <w:tcBorders>
              <w:top w:val="nil"/>
              <w:left w:val="nil"/>
              <w:bottom w:val="nil"/>
              <w:right w:val="single" w:sz="4" w:space="0" w:color="auto"/>
            </w:tcBorders>
          </w:tcPr>
          <w:p w14:paraId="4129B4C3" w14:textId="77777777" w:rsidR="00654CB9" w:rsidRPr="00654CB9" w:rsidRDefault="00654CB9" w:rsidP="00654CB9">
            <w:pPr>
              <w:spacing w:line="240" w:lineRule="auto"/>
              <w:jc w:val="left"/>
              <w:rPr>
                <w:rFonts w:cs="Times New Roman"/>
                <w:i/>
                <w:iCs/>
                <w:noProof/>
                <w:szCs w:val="24"/>
              </w:rPr>
            </w:pPr>
            <w:r w:rsidRPr="00654CB9">
              <w:rPr>
                <w:rFonts w:cs="Times New Roman"/>
                <w:i/>
                <w:iCs/>
                <w:noProof/>
                <w:szCs w:val="24"/>
              </w:rPr>
              <w:t>yigA</w:t>
            </w:r>
          </w:p>
        </w:tc>
      </w:tr>
      <w:tr w:rsidR="00654CB9" w:rsidRPr="00654CB9" w14:paraId="4978C781" w14:textId="77777777" w:rsidTr="00562397">
        <w:trPr>
          <w:trHeight w:val="254"/>
        </w:trPr>
        <w:tc>
          <w:tcPr>
            <w:tcW w:w="236" w:type="dxa"/>
            <w:tcBorders>
              <w:top w:val="nil"/>
              <w:left w:val="single" w:sz="4" w:space="0" w:color="auto"/>
              <w:bottom w:val="single" w:sz="4" w:space="0" w:color="auto"/>
              <w:right w:val="nil"/>
            </w:tcBorders>
          </w:tcPr>
          <w:p w14:paraId="769E4FD0" w14:textId="77777777" w:rsidR="00654CB9" w:rsidRPr="00654CB9" w:rsidRDefault="00654CB9" w:rsidP="00654CB9">
            <w:pPr>
              <w:spacing w:line="240" w:lineRule="auto"/>
              <w:jc w:val="left"/>
              <w:rPr>
                <w:rFonts w:cs="Times New Roman"/>
                <w:noProof/>
                <w:szCs w:val="24"/>
              </w:rPr>
            </w:pPr>
          </w:p>
        </w:tc>
        <w:tc>
          <w:tcPr>
            <w:tcW w:w="1649" w:type="dxa"/>
            <w:tcBorders>
              <w:top w:val="nil"/>
              <w:left w:val="nil"/>
              <w:bottom w:val="single" w:sz="4" w:space="0" w:color="auto"/>
              <w:right w:val="nil"/>
            </w:tcBorders>
          </w:tcPr>
          <w:p w14:paraId="3268D493" w14:textId="77777777" w:rsidR="00654CB9" w:rsidRPr="00654CB9" w:rsidRDefault="00654CB9" w:rsidP="00654CB9">
            <w:pPr>
              <w:spacing w:line="240" w:lineRule="auto"/>
              <w:jc w:val="left"/>
              <w:rPr>
                <w:rFonts w:cs="Times New Roman"/>
                <w:noProof/>
                <w:szCs w:val="24"/>
              </w:rPr>
            </w:pPr>
            <w:r w:rsidRPr="00654CB9">
              <w:rPr>
                <w:rFonts w:cs="Times New Roman"/>
                <w:noProof/>
                <w:szCs w:val="24"/>
              </w:rPr>
              <w:t>c0886</w:t>
            </w:r>
          </w:p>
        </w:tc>
        <w:tc>
          <w:tcPr>
            <w:tcW w:w="7485" w:type="dxa"/>
            <w:gridSpan w:val="2"/>
            <w:tcBorders>
              <w:top w:val="nil"/>
              <w:left w:val="nil"/>
              <w:bottom w:val="single" w:sz="4" w:space="0" w:color="auto"/>
              <w:right w:val="single" w:sz="4" w:space="0" w:color="auto"/>
            </w:tcBorders>
          </w:tcPr>
          <w:p w14:paraId="7AAFE889" w14:textId="77777777" w:rsidR="00654CB9" w:rsidRPr="00654CB9" w:rsidRDefault="00654CB9" w:rsidP="00654CB9">
            <w:pPr>
              <w:spacing w:line="240" w:lineRule="auto"/>
              <w:jc w:val="left"/>
              <w:rPr>
                <w:rFonts w:cs="Times New Roman"/>
                <w:i/>
                <w:iCs/>
                <w:noProof/>
                <w:szCs w:val="24"/>
              </w:rPr>
            </w:pPr>
            <w:r w:rsidRPr="00654CB9">
              <w:rPr>
                <w:rFonts w:cs="Times New Roman"/>
                <w:i/>
                <w:iCs/>
                <w:noProof/>
                <w:szCs w:val="24"/>
              </w:rPr>
              <w:t>ybiJ</w:t>
            </w:r>
          </w:p>
        </w:tc>
      </w:tr>
    </w:tbl>
    <w:p w14:paraId="398A83E5" w14:textId="77777777" w:rsidR="00654CB9" w:rsidRPr="00654CB9" w:rsidRDefault="00654CB9" w:rsidP="00654CB9">
      <w:pPr>
        <w:jc w:val="left"/>
        <w:rPr>
          <w:rFonts w:cs="Times New Roman"/>
          <w:szCs w:val="24"/>
        </w:rPr>
      </w:pPr>
    </w:p>
    <w:p w14:paraId="11F2AE7A" w14:textId="068E6D0F" w:rsidR="00654CB9" w:rsidRPr="00654CB9" w:rsidRDefault="00654CB9" w:rsidP="00666BE3">
      <w:pPr>
        <w:pStyle w:val="Section"/>
      </w:pPr>
      <w:bookmarkStart w:id="198" w:name="_Toc98429811"/>
      <w:bookmarkStart w:id="199" w:name="_Toc102586257"/>
      <w:r w:rsidRPr="00654CB9">
        <w:t xml:space="preserve">2.3 Conclusions and </w:t>
      </w:r>
      <w:r w:rsidR="0065145E">
        <w:t>f</w:t>
      </w:r>
      <w:r w:rsidRPr="00654CB9">
        <w:t xml:space="preserve">uture </w:t>
      </w:r>
      <w:r w:rsidR="0065145E">
        <w:t>d</w:t>
      </w:r>
      <w:r w:rsidRPr="00654CB9">
        <w:t>irections</w:t>
      </w:r>
      <w:bookmarkEnd w:id="198"/>
      <w:bookmarkEnd w:id="199"/>
    </w:p>
    <w:p w14:paraId="261C4056" w14:textId="77777777" w:rsidR="00654CB9" w:rsidRPr="00654CB9" w:rsidRDefault="00654CB9" w:rsidP="00654CB9">
      <w:pPr>
        <w:spacing w:after="0"/>
        <w:ind w:firstLine="720"/>
        <w:contextualSpacing/>
        <w:rPr>
          <w:rFonts w:cs="Times New Roman"/>
          <w:szCs w:val="24"/>
        </w:rPr>
      </w:pPr>
      <w:r w:rsidRPr="00654CB9">
        <w:rPr>
          <w:rFonts w:cs="Times New Roman"/>
          <w:szCs w:val="24"/>
        </w:rPr>
        <w:t xml:space="preserve">Urinary tract infection (UTI) is the most common form of extraintestinal infection due to </w:t>
      </w:r>
      <w:r w:rsidRPr="00654CB9">
        <w:rPr>
          <w:rFonts w:cs="Times New Roman"/>
          <w:i/>
          <w:iCs/>
          <w:szCs w:val="24"/>
        </w:rPr>
        <w:t>E. coli</w:t>
      </w:r>
      <w:r w:rsidRPr="00654CB9">
        <w:rPr>
          <w:rFonts w:cs="Times New Roman"/>
          <w:szCs w:val="24"/>
        </w:rPr>
        <w:t xml:space="preserve">, and </w:t>
      </w:r>
      <w:r w:rsidRPr="00654CB9">
        <w:rPr>
          <w:rFonts w:cs="Times New Roman"/>
          <w:i/>
          <w:iCs/>
          <w:szCs w:val="24"/>
        </w:rPr>
        <w:t>E. coli</w:t>
      </w:r>
      <w:r w:rsidRPr="00654CB9">
        <w:rPr>
          <w:rFonts w:cs="Times New Roman"/>
          <w:szCs w:val="24"/>
        </w:rPr>
        <w:t xml:space="preserve"> is one of the most common causative agents of all types of UTIs with approximately 80% of uncomplicated UTIs in the United States caused by </w:t>
      </w:r>
      <w:proofErr w:type="spellStart"/>
      <w:r w:rsidRPr="00654CB9">
        <w:rPr>
          <w:rFonts w:cs="Times New Roman"/>
          <w:szCs w:val="24"/>
        </w:rPr>
        <w:t>uropathogenic</w:t>
      </w:r>
      <w:proofErr w:type="spellEnd"/>
      <w:r w:rsidRPr="00654CB9">
        <w:rPr>
          <w:rFonts w:cs="Times New Roman"/>
          <w:szCs w:val="24"/>
        </w:rPr>
        <w:t xml:space="preserve"> </w:t>
      </w:r>
      <w:r w:rsidRPr="00654CB9">
        <w:rPr>
          <w:rFonts w:cs="Times New Roman"/>
          <w:i/>
          <w:iCs/>
          <w:szCs w:val="24"/>
        </w:rPr>
        <w:t>E. coli</w:t>
      </w:r>
      <w:r w:rsidRPr="00654CB9">
        <w:rPr>
          <w:rFonts w:cs="Times New Roman"/>
          <w:szCs w:val="24"/>
        </w:rPr>
        <w:t xml:space="preserve"> (UPEC).</w:t>
      </w:r>
      <w:r w:rsidRPr="00654CB9">
        <w:rPr>
          <w:rFonts w:cs="Times New Roman"/>
          <w:szCs w:val="24"/>
        </w:rPr>
        <w:fldChar w:fldCharType="begin"/>
      </w:r>
      <w:r w:rsidRPr="00654CB9">
        <w:rPr>
          <w:rFonts w:cs="Times New Roman"/>
          <w:szCs w:val="24"/>
        </w:rPr>
        <w:instrText xml:space="preserve"> ADDIN ZOTERO_ITEM CSL_CITATION {"citationID":"R5RQsNoj","properties":{"formattedCitation":"\\super 32\\nosupersub{}","plainCitation":"32","noteIndex":0},"citationItems":[{"id":189,"uris":["http://zotero.org/users/6503767/items/SZMR8AIU"],"itemData":{"id":189,"type":"article-journal","abstract":"Uropathogenic strains of Escherichia coli are characterized by the expression of distinctive bacterial properties, products, or structures referred to as virulence factors because they help the organism overcome host defenses and colonize or invade the urinary tract. Virulence factors of recognized importance in the pathogenesis of urinary tract infection (UTI) include adhesins (P fimbriae, certain other mannose-resistant adhesins, and type 1 fimbriae), the aerobactin system, hemolysin, K capsule, and resistance to serum killing. This review summarizes the virtual explosion of information regarding the epidemiology, biochemistry, mechanisms of action, and genetic basis of these urovirulence factors that has occurred in the past decade and identifies areas in need of further study. Virulence factor expression is more common among certain genetically related groups of E. coli which constitute virulent clones within the larger E. coli population. In general, the more virulence factors a strain expresses, the more severe an infection it is able to cause. Certain virulence factors specifically favor the development of pyelonephritis, others favor cystitis, and others favor asymptomatic bacteriuria. The currently defined virulence factors clearly contribute to the virulence of wild-type strains but are usually insufficient in themselves to transform an avirulent organism into a pathogen, demonstrating that other as-yet-undefined virulence properties await discovery. Virulence factor testing is a useful epidemiological and research tool but as yet has no defined clinical role. Immunological and biochemical anti-virulence factor interventions are effective in animal models of UTI and hold promise for the prevention of UTI in humans.","container-title":"Clinical Microbiology Reviews","DOI":"10.1128/CMR.4.1.80","ISSN":"0893-8512","issue":"1","journalAbbreviation":"Clin Microbiol Rev","language":"eng","note":"PMID: 1672263\nPMCID: PMC358180","page":"80-128","source":"PubMed","title":"Virulence factors in Escherichia coli urinary tract infection","volume":"4","author":[{"family":"Johnson","given":"J. R."}],"issued":{"date-parts":[["1991",1]]}}}],"schema":"https://github.com/citation-style-language/schema/raw/master/csl-citation.json"} </w:instrText>
      </w:r>
      <w:r w:rsidRPr="00654CB9">
        <w:rPr>
          <w:rFonts w:cs="Times New Roman"/>
          <w:szCs w:val="24"/>
        </w:rPr>
        <w:fldChar w:fldCharType="separate"/>
      </w:r>
      <w:r w:rsidRPr="00654CB9">
        <w:rPr>
          <w:rFonts w:cs="Times New Roman"/>
          <w:szCs w:val="24"/>
          <w:vertAlign w:val="superscript"/>
        </w:rPr>
        <w:t>32</w:t>
      </w:r>
      <w:r w:rsidRPr="00654CB9">
        <w:rPr>
          <w:rFonts w:cs="Times New Roman"/>
          <w:szCs w:val="24"/>
        </w:rPr>
        <w:fldChar w:fldCharType="end"/>
      </w:r>
      <w:r w:rsidRPr="00654CB9">
        <w:rPr>
          <w:rFonts w:cs="Times New Roman"/>
          <w:szCs w:val="24"/>
        </w:rPr>
        <w:t xml:space="preserve"> UPEC strains expressing extended-spectrum β-lactamase and quinolone resistance are becoming more prevalent, raising the possibility that ordinary infections may soon become untreatable by our current arsenal of antibiotics. Given that conventional approaches to develop </w:t>
      </w:r>
      <w:r w:rsidRPr="00654CB9">
        <w:rPr>
          <w:rFonts w:cs="Times New Roman"/>
          <w:szCs w:val="24"/>
        </w:rPr>
        <w:lastRenderedPageBreak/>
        <w:t xml:space="preserve">new antibiotics have yielded few new drugs, the potential reward of exploring novel targets and mechanisms is very high. </w:t>
      </w:r>
    </w:p>
    <w:p w14:paraId="24DCD7B2" w14:textId="77777777" w:rsidR="00654CB9" w:rsidRPr="00654CB9" w:rsidRDefault="00654CB9" w:rsidP="00654CB9">
      <w:pPr>
        <w:spacing w:after="0"/>
        <w:ind w:firstLine="720"/>
        <w:contextualSpacing/>
        <w:rPr>
          <w:rFonts w:cs="Times New Roman"/>
          <w:szCs w:val="24"/>
        </w:rPr>
      </w:pPr>
      <w:r w:rsidRPr="00654CB9">
        <w:rPr>
          <w:rFonts w:cs="Times New Roman"/>
          <w:szCs w:val="24"/>
        </w:rPr>
        <w:t xml:space="preserve">Bacterial 2CSTS are major players in organismal pathogenicity, fitness, communication, biofilm formation, and antibacterial resistance making them attractive targets. Unfortunately, most of what we know about these systems has been revealed through genetic manipulation or small molecule inhibitors of such systems, which is not always indicative of therapeutic potential. As such, there is an increasing interest in developing small molecule probes that can be used to activate these systems to uncover new biology that may translate to new antibacterial approaches. Along these lines, we aimed to improve the activity of </w:t>
      </w:r>
      <w:r w:rsidRPr="00654CB9">
        <w:rPr>
          <w:rFonts w:cs="Times New Roman"/>
          <w:b/>
          <w:bCs/>
          <w:szCs w:val="24"/>
        </w:rPr>
        <w:t>2.</w:t>
      </w:r>
      <w:r w:rsidRPr="00654CB9">
        <w:rPr>
          <w:rFonts w:cs="Times New Roman"/>
          <w:b/>
          <w:szCs w:val="24"/>
        </w:rPr>
        <w:t>1</w:t>
      </w:r>
      <w:r w:rsidRPr="00654CB9">
        <w:rPr>
          <w:rFonts w:cs="Times New Roman"/>
          <w:szCs w:val="24"/>
        </w:rPr>
        <w:t xml:space="preserve">, a newly identified </w:t>
      </w:r>
      <w:proofErr w:type="spellStart"/>
      <w:r w:rsidRPr="00654CB9">
        <w:rPr>
          <w:rFonts w:cs="Times New Roman"/>
          <w:szCs w:val="24"/>
        </w:rPr>
        <w:t>CpxA</w:t>
      </w:r>
      <w:proofErr w:type="spellEnd"/>
      <w:r w:rsidRPr="00654CB9">
        <w:rPr>
          <w:rFonts w:cs="Times New Roman"/>
          <w:szCs w:val="24"/>
        </w:rPr>
        <w:t xml:space="preserve"> phosphatase inhibitor that indirectly activates the CpxRA signaling pathway through increasing the lifetime of </w:t>
      </w:r>
      <w:proofErr w:type="spellStart"/>
      <w:r w:rsidRPr="00654CB9">
        <w:rPr>
          <w:rFonts w:cs="Times New Roman"/>
          <w:szCs w:val="24"/>
        </w:rPr>
        <w:t>CpxR</w:t>
      </w:r>
      <w:proofErr w:type="spellEnd"/>
      <w:r w:rsidRPr="00654CB9">
        <w:rPr>
          <w:rFonts w:cs="Times New Roman"/>
          <w:szCs w:val="24"/>
        </w:rPr>
        <w:t>-P.</w:t>
      </w:r>
      <w:r w:rsidRPr="00654CB9">
        <w:rPr>
          <w:rFonts w:cs="Times New Roman"/>
          <w:b/>
          <w:szCs w:val="24"/>
        </w:rPr>
        <w:t xml:space="preserve"> </w:t>
      </w:r>
      <w:r w:rsidRPr="00654CB9">
        <w:rPr>
          <w:rFonts w:cs="Times New Roman"/>
          <w:szCs w:val="24"/>
        </w:rPr>
        <w:t xml:space="preserve">Leveraging three different structural modification approaches, we identified compound </w:t>
      </w:r>
      <w:r w:rsidRPr="00654CB9">
        <w:rPr>
          <w:rFonts w:cs="Times New Roman"/>
          <w:b/>
          <w:bCs/>
          <w:szCs w:val="24"/>
        </w:rPr>
        <w:t>2.</w:t>
      </w:r>
      <w:r w:rsidRPr="00654CB9">
        <w:rPr>
          <w:rFonts w:cs="Times New Roman"/>
          <w:b/>
          <w:szCs w:val="24"/>
        </w:rPr>
        <w:t>26</w:t>
      </w:r>
      <w:r w:rsidRPr="00654CB9">
        <w:rPr>
          <w:rFonts w:cs="Times New Roman"/>
          <w:szCs w:val="24"/>
        </w:rPr>
        <w:t xml:space="preserve"> (EC</w:t>
      </w:r>
      <w:r w:rsidRPr="00654CB9">
        <w:rPr>
          <w:rFonts w:cs="Times New Roman"/>
          <w:szCs w:val="24"/>
          <w:vertAlign w:val="subscript"/>
        </w:rPr>
        <w:t>50</w:t>
      </w:r>
      <w:r w:rsidRPr="00654CB9">
        <w:rPr>
          <w:rFonts w:cs="Times New Roman"/>
          <w:szCs w:val="24"/>
        </w:rPr>
        <w:t xml:space="preserve"> = 1.1 µM), which exhibits ~30-fold improvement in </w:t>
      </w:r>
      <w:proofErr w:type="spellStart"/>
      <w:r w:rsidRPr="00654CB9">
        <w:rPr>
          <w:rFonts w:cs="Times New Roman"/>
          <w:szCs w:val="24"/>
        </w:rPr>
        <w:t>CpxA</w:t>
      </w:r>
      <w:proofErr w:type="spellEnd"/>
      <w:r w:rsidRPr="00654CB9">
        <w:rPr>
          <w:rFonts w:cs="Times New Roman"/>
          <w:szCs w:val="24"/>
        </w:rPr>
        <w:t xml:space="preserve"> phosphatase inhibition over the initial hit </w:t>
      </w:r>
      <w:r w:rsidRPr="00654CB9">
        <w:rPr>
          <w:rFonts w:cs="Times New Roman"/>
          <w:b/>
          <w:bCs/>
          <w:szCs w:val="24"/>
        </w:rPr>
        <w:t>2.</w:t>
      </w:r>
      <w:r w:rsidRPr="00654CB9">
        <w:rPr>
          <w:rFonts w:cs="Times New Roman"/>
          <w:b/>
          <w:szCs w:val="24"/>
        </w:rPr>
        <w:t>1</w:t>
      </w:r>
      <w:r w:rsidRPr="00654CB9">
        <w:rPr>
          <w:rFonts w:cs="Times New Roman"/>
          <w:szCs w:val="24"/>
        </w:rPr>
        <w:t xml:space="preserve"> as determined in a cellular </w:t>
      </w:r>
      <w:r w:rsidRPr="00654CB9">
        <w:rPr>
          <w:rFonts w:cs="Times New Roman"/>
          <w:i/>
          <w:szCs w:val="24"/>
        </w:rPr>
        <w:t xml:space="preserve">lacZ </w:t>
      </w:r>
      <w:r w:rsidRPr="00654CB9">
        <w:rPr>
          <w:rFonts w:cs="Times New Roman"/>
          <w:szCs w:val="24"/>
        </w:rPr>
        <w:t xml:space="preserve">reporter assay. The stereochemical and conformational requirements found for the primary amine within this chemotype illustrates its importance in target engagement and involvement in membrane permeation and protection against efflux in </w:t>
      </w:r>
      <w:r w:rsidRPr="00654CB9">
        <w:rPr>
          <w:rFonts w:cs="Times New Roman"/>
          <w:i/>
          <w:szCs w:val="24"/>
        </w:rPr>
        <w:t>E. coli</w:t>
      </w:r>
      <w:r w:rsidRPr="00654CB9">
        <w:rPr>
          <w:rFonts w:cs="Times New Roman"/>
          <w:szCs w:val="24"/>
        </w:rPr>
        <w:t xml:space="preserve">. </w:t>
      </w:r>
    </w:p>
    <w:p w14:paraId="474B80D6" w14:textId="77777777" w:rsidR="00654CB9" w:rsidRPr="00654CB9" w:rsidRDefault="00654CB9" w:rsidP="00654CB9">
      <w:pPr>
        <w:spacing w:after="0"/>
        <w:ind w:firstLine="720"/>
        <w:contextualSpacing/>
        <w:rPr>
          <w:rFonts w:cs="Times New Roman"/>
          <w:szCs w:val="24"/>
        </w:rPr>
      </w:pPr>
      <w:r w:rsidRPr="00654CB9">
        <w:rPr>
          <w:rFonts w:cs="Times New Roman"/>
          <w:szCs w:val="24"/>
        </w:rPr>
        <w:t xml:space="preserve">With compound </w:t>
      </w:r>
      <w:r w:rsidRPr="00654CB9">
        <w:rPr>
          <w:rFonts w:cs="Times New Roman"/>
          <w:b/>
          <w:bCs/>
          <w:szCs w:val="24"/>
        </w:rPr>
        <w:t>2.26</w:t>
      </w:r>
      <w:r w:rsidRPr="00654CB9">
        <w:rPr>
          <w:rFonts w:cs="Times New Roman"/>
          <w:szCs w:val="24"/>
        </w:rPr>
        <w:t xml:space="preserve"> as lead </w:t>
      </w:r>
      <w:proofErr w:type="spellStart"/>
      <w:r w:rsidRPr="00654CB9">
        <w:rPr>
          <w:rFonts w:cs="Times New Roman"/>
          <w:szCs w:val="24"/>
        </w:rPr>
        <w:t>CpxA</w:t>
      </w:r>
      <w:proofErr w:type="spellEnd"/>
      <w:r w:rsidRPr="00654CB9">
        <w:rPr>
          <w:rFonts w:cs="Times New Roman"/>
          <w:szCs w:val="24"/>
        </w:rPr>
        <w:t xml:space="preserve"> phosphatase inhibitor, its efficacy in mouse UTI models was explored. Compound </w:t>
      </w:r>
      <w:r w:rsidRPr="00654CB9">
        <w:rPr>
          <w:rFonts w:cs="Times New Roman"/>
          <w:b/>
          <w:bCs/>
          <w:szCs w:val="24"/>
        </w:rPr>
        <w:t>2.26</w:t>
      </w:r>
      <w:r w:rsidRPr="00654CB9">
        <w:rPr>
          <w:rFonts w:cs="Times New Roman"/>
          <w:szCs w:val="24"/>
        </w:rPr>
        <w:t xml:space="preserve"> was found to be as active as ciprofloxacin in reducing pathogen fitness in urine, bladder, and kidney samples. Notably, the CFT073</w:t>
      </w:r>
      <w:r w:rsidRPr="00654CB9">
        <w:rPr>
          <w:rFonts w:cs="Times New Roman"/>
          <w:i/>
          <w:iCs/>
          <w:szCs w:val="24"/>
        </w:rPr>
        <w:t>ΔcpxA</w:t>
      </w:r>
      <w:r w:rsidRPr="00654CB9">
        <w:rPr>
          <w:rFonts w:cs="Times New Roman"/>
          <w:szCs w:val="24"/>
        </w:rPr>
        <w:t xml:space="preserve"> mutant grew in the same densities as CFT073 in the urine, bladder, and kidneys, while </w:t>
      </w:r>
      <w:r w:rsidRPr="00654CB9">
        <w:rPr>
          <w:rFonts w:cs="Times New Roman"/>
          <w:b/>
          <w:bCs/>
          <w:szCs w:val="24"/>
        </w:rPr>
        <w:t>2.26</w:t>
      </w:r>
      <w:r w:rsidRPr="00654CB9">
        <w:rPr>
          <w:rFonts w:cs="Times New Roman"/>
          <w:szCs w:val="24"/>
        </w:rPr>
        <w:t xml:space="preserve">-treated CFT073 had significantly lower recoverable CFU in all three compartments. The proteome profiles of </w:t>
      </w:r>
      <w:r w:rsidRPr="00654CB9">
        <w:rPr>
          <w:rFonts w:cs="Times New Roman"/>
          <w:i/>
          <w:iCs/>
          <w:szCs w:val="24"/>
        </w:rPr>
        <w:t>E. coli</w:t>
      </w:r>
      <w:r w:rsidRPr="00654CB9">
        <w:rPr>
          <w:rFonts w:cs="Times New Roman"/>
          <w:szCs w:val="24"/>
        </w:rPr>
        <w:t xml:space="preserve"> CFT073-UPEC grown in urine were sequenced and analyzed in three groups: wild-type cells treated with compound </w:t>
      </w:r>
      <w:r w:rsidRPr="00654CB9">
        <w:rPr>
          <w:rFonts w:cs="Times New Roman"/>
          <w:b/>
          <w:bCs/>
          <w:szCs w:val="24"/>
        </w:rPr>
        <w:t>2.26</w:t>
      </w:r>
      <w:r w:rsidRPr="00654CB9">
        <w:rPr>
          <w:rFonts w:cs="Times New Roman"/>
          <w:szCs w:val="24"/>
        </w:rPr>
        <w:t xml:space="preserve">, </w:t>
      </w:r>
      <w:proofErr w:type="spellStart"/>
      <w:r w:rsidRPr="00654CB9">
        <w:rPr>
          <w:rFonts w:cs="Times New Roman"/>
          <w:i/>
          <w:iCs/>
          <w:szCs w:val="24"/>
        </w:rPr>
        <w:t>cpxA</w:t>
      </w:r>
      <w:proofErr w:type="spellEnd"/>
      <w:r w:rsidRPr="00654CB9">
        <w:rPr>
          <w:rFonts w:cs="Times New Roman"/>
          <w:szCs w:val="24"/>
        </w:rPr>
        <w:t xml:space="preserve"> deletion mutant, and wild-type cells treated with empty vector. </w:t>
      </w:r>
      <w:r w:rsidRPr="00654CB9">
        <w:rPr>
          <w:rFonts w:cs="Times New Roman"/>
          <w:szCs w:val="24"/>
        </w:rPr>
        <w:lastRenderedPageBreak/>
        <w:t xml:space="preserve">When comparing protein expression between the constitutively active CpxRA mutant cells (genetic modification) and the </w:t>
      </w:r>
      <w:r w:rsidRPr="00654CB9">
        <w:rPr>
          <w:rFonts w:cs="Times New Roman"/>
          <w:b/>
          <w:bCs/>
          <w:szCs w:val="24"/>
        </w:rPr>
        <w:t>2.26</w:t>
      </w:r>
      <w:r w:rsidRPr="00654CB9">
        <w:rPr>
          <w:rFonts w:cs="Times New Roman"/>
          <w:szCs w:val="24"/>
        </w:rPr>
        <w:t>-activated CpxRA cells (pharmacological activation), a decrease in the expression of metal-transport machinery was found in both. This commonality in the proteomes signifies that UPEC fitness impairment by the CpxRA 2CSTS is associated with iron transport and sequestration, a potential mechanism of action. In contrast, the CFT073</w:t>
      </w:r>
      <w:r w:rsidRPr="00654CB9">
        <w:rPr>
          <w:rFonts w:cs="Times New Roman"/>
          <w:i/>
          <w:iCs/>
          <w:szCs w:val="24"/>
        </w:rPr>
        <w:t>ΔcpxA</w:t>
      </w:r>
      <w:r w:rsidRPr="00654CB9">
        <w:rPr>
          <w:rFonts w:cs="Times New Roman"/>
          <w:szCs w:val="24"/>
        </w:rPr>
        <w:t xml:space="preserve"> mutant did not increase the expression of </w:t>
      </w:r>
      <w:proofErr w:type="spellStart"/>
      <w:r w:rsidRPr="00654CB9">
        <w:rPr>
          <w:rFonts w:cs="Times New Roman"/>
          <w:szCs w:val="24"/>
        </w:rPr>
        <w:t>CpxR</w:t>
      </w:r>
      <w:proofErr w:type="spellEnd"/>
      <w:r w:rsidRPr="00654CB9">
        <w:rPr>
          <w:rFonts w:cs="Times New Roman"/>
          <w:szCs w:val="24"/>
        </w:rPr>
        <w:t xml:space="preserve"> or </w:t>
      </w:r>
      <w:proofErr w:type="spellStart"/>
      <w:r w:rsidRPr="00654CB9">
        <w:rPr>
          <w:rFonts w:cs="Times New Roman"/>
          <w:szCs w:val="24"/>
        </w:rPr>
        <w:t>CpxR</w:t>
      </w:r>
      <w:proofErr w:type="spellEnd"/>
      <w:r w:rsidRPr="00654CB9">
        <w:rPr>
          <w:rFonts w:cs="Times New Roman"/>
          <w:szCs w:val="24"/>
        </w:rPr>
        <w:t xml:space="preserve">-P, while </w:t>
      </w:r>
      <w:proofErr w:type="spellStart"/>
      <w:r w:rsidRPr="00654CB9">
        <w:rPr>
          <w:rFonts w:cs="Times New Roman"/>
          <w:szCs w:val="24"/>
        </w:rPr>
        <w:t>CpxR</w:t>
      </w:r>
      <w:proofErr w:type="spellEnd"/>
      <w:r w:rsidRPr="00654CB9">
        <w:rPr>
          <w:rFonts w:cs="Times New Roman"/>
          <w:szCs w:val="24"/>
        </w:rPr>
        <w:t xml:space="preserve"> and </w:t>
      </w:r>
      <w:proofErr w:type="spellStart"/>
      <w:r w:rsidRPr="00654CB9">
        <w:rPr>
          <w:rFonts w:cs="Times New Roman"/>
          <w:szCs w:val="24"/>
        </w:rPr>
        <w:t>CpxR</w:t>
      </w:r>
      <w:proofErr w:type="spellEnd"/>
      <w:r w:rsidRPr="00654CB9">
        <w:rPr>
          <w:rFonts w:cs="Times New Roman"/>
          <w:szCs w:val="24"/>
        </w:rPr>
        <w:t xml:space="preserve">-P levels were significantly higher in </w:t>
      </w:r>
      <w:r w:rsidRPr="00654CB9">
        <w:rPr>
          <w:rFonts w:cs="Times New Roman"/>
          <w:b/>
          <w:bCs/>
          <w:szCs w:val="24"/>
        </w:rPr>
        <w:t>2.26</w:t>
      </w:r>
      <w:r w:rsidRPr="00654CB9">
        <w:rPr>
          <w:rFonts w:cs="Times New Roman"/>
          <w:szCs w:val="24"/>
        </w:rPr>
        <w:t xml:space="preserve">-treated CFT073. This led us to hypothesize that </w:t>
      </w:r>
      <w:proofErr w:type="spellStart"/>
      <w:r w:rsidRPr="00654CB9">
        <w:rPr>
          <w:rFonts w:cs="Times New Roman"/>
          <w:szCs w:val="24"/>
        </w:rPr>
        <w:t>CpxA</w:t>
      </w:r>
      <w:proofErr w:type="spellEnd"/>
      <w:r w:rsidRPr="00654CB9">
        <w:rPr>
          <w:rFonts w:cs="Times New Roman"/>
          <w:szCs w:val="24"/>
        </w:rPr>
        <w:t xml:space="preserve"> acts as a net kinase </w:t>
      </w:r>
      <w:r w:rsidRPr="00654CB9">
        <w:rPr>
          <w:rFonts w:cs="Times New Roman"/>
          <w:i/>
          <w:iCs/>
          <w:szCs w:val="24"/>
        </w:rPr>
        <w:t>in vivo</w:t>
      </w:r>
      <w:r w:rsidRPr="00654CB9">
        <w:rPr>
          <w:rFonts w:cs="Times New Roman"/>
          <w:szCs w:val="24"/>
        </w:rPr>
        <w:t xml:space="preserve"> as </w:t>
      </w:r>
      <w:r w:rsidRPr="00654CB9">
        <w:rPr>
          <w:rFonts w:cs="Times New Roman"/>
          <w:b/>
          <w:bCs/>
          <w:szCs w:val="24"/>
        </w:rPr>
        <w:t>2.26</w:t>
      </w:r>
      <w:r w:rsidRPr="00654CB9">
        <w:rPr>
          <w:rFonts w:cs="Times New Roman"/>
          <w:szCs w:val="24"/>
        </w:rPr>
        <w:t xml:space="preserve"> fosters accumulation of </w:t>
      </w:r>
      <w:proofErr w:type="spellStart"/>
      <w:r w:rsidRPr="00654CB9">
        <w:rPr>
          <w:rFonts w:cs="Times New Roman"/>
          <w:szCs w:val="24"/>
        </w:rPr>
        <w:t>CpxR</w:t>
      </w:r>
      <w:proofErr w:type="spellEnd"/>
      <w:r w:rsidRPr="00654CB9">
        <w:rPr>
          <w:rFonts w:cs="Times New Roman"/>
          <w:szCs w:val="24"/>
        </w:rPr>
        <w:t xml:space="preserve">-P and downregulates virulence determinants. Since treatment of CFT073 by </w:t>
      </w:r>
      <w:r w:rsidRPr="00654CB9">
        <w:rPr>
          <w:rFonts w:cs="Times New Roman"/>
          <w:b/>
          <w:bCs/>
          <w:szCs w:val="24"/>
        </w:rPr>
        <w:t>2.26</w:t>
      </w:r>
      <w:r w:rsidRPr="00654CB9">
        <w:rPr>
          <w:rFonts w:cs="Times New Roman"/>
          <w:szCs w:val="24"/>
        </w:rPr>
        <w:t xml:space="preserve"> does not inhibit bacterial growth but still alters UPEC fitness and expression of virulence factors, we have demonstrated that </w:t>
      </w:r>
      <w:proofErr w:type="spellStart"/>
      <w:r w:rsidRPr="00654CB9">
        <w:rPr>
          <w:rFonts w:cs="Times New Roman"/>
          <w:szCs w:val="24"/>
        </w:rPr>
        <w:t>CpxA</w:t>
      </w:r>
      <w:proofErr w:type="spellEnd"/>
      <w:r w:rsidRPr="00654CB9">
        <w:rPr>
          <w:rFonts w:cs="Times New Roman"/>
          <w:szCs w:val="24"/>
        </w:rPr>
        <w:t xml:space="preserve"> phosphatase inhibitors may be useful in treating UTIs caused by UPEC. </w:t>
      </w:r>
    </w:p>
    <w:p w14:paraId="369A5BEC" w14:textId="77777777" w:rsidR="00654CB9" w:rsidRPr="00654CB9" w:rsidRDefault="00654CB9" w:rsidP="00654CB9">
      <w:pPr>
        <w:autoSpaceDE w:val="0"/>
        <w:autoSpaceDN w:val="0"/>
        <w:adjustRightInd w:val="0"/>
        <w:spacing w:after="0"/>
        <w:ind w:firstLine="720"/>
        <w:rPr>
          <w:rFonts w:cs="Times New Roman"/>
          <w:szCs w:val="24"/>
        </w:rPr>
      </w:pPr>
      <w:r w:rsidRPr="00654CB9">
        <w:rPr>
          <w:rFonts w:cs="Times New Roman"/>
          <w:szCs w:val="24"/>
        </w:rPr>
        <w:t xml:space="preserve">Although we have shown that chemo-modulation of the CpxRA 2CSTS is possible and has therapeutic relevance </w:t>
      </w:r>
      <w:r w:rsidRPr="00654CB9">
        <w:rPr>
          <w:rFonts w:cs="Times New Roman"/>
          <w:i/>
          <w:iCs/>
          <w:szCs w:val="24"/>
        </w:rPr>
        <w:t>in vivo</w:t>
      </w:r>
      <w:r w:rsidRPr="00654CB9">
        <w:rPr>
          <w:rFonts w:cs="Times New Roman"/>
          <w:szCs w:val="24"/>
        </w:rPr>
        <w:t>, we do not know general selectivity of the chemotype developed. Future studies will address the selectivity of the inhibitors and their pharmacokinetics. Nonetheless, this work provides useful SAR and a foundation for which to advance the utility of 2,3,4,9-tetrahydro-1</w:t>
      </w:r>
      <w:r w:rsidRPr="00654CB9">
        <w:rPr>
          <w:rFonts w:cs="Times New Roman"/>
          <w:i/>
          <w:szCs w:val="24"/>
        </w:rPr>
        <w:t>H</w:t>
      </w:r>
      <w:r w:rsidRPr="00654CB9">
        <w:rPr>
          <w:rFonts w:cs="Times New Roman"/>
          <w:szCs w:val="24"/>
        </w:rPr>
        <w:t xml:space="preserve">-carbazol-1-amines as chemical probes to uncover new biology and further understand the biological significance and therapeutic potential of CpxRA and 2CSTS in general.  </w:t>
      </w:r>
    </w:p>
    <w:p w14:paraId="5AC53FD4" w14:textId="77777777" w:rsidR="00654CB9" w:rsidRPr="00654CB9" w:rsidRDefault="00654CB9" w:rsidP="00654CB9">
      <w:pPr>
        <w:spacing w:after="0"/>
        <w:contextualSpacing/>
        <w:rPr>
          <w:rFonts w:cs="Times New Roman"/>
          <w:b/>
          <w:bCs/>
          <w:sz w:val="26"/>
          <w:szCs w:val="24"/>
        </w:rPr>
      </w:pPr>
    </w:p>
    <w:p w14:paraId="5C2E92B6" w14:textId="77777777" w:rsidR="00654CB9" w:rsidRPr="00654CB9" w:rsidRDefault="00654CB9" w:rsidP="00666BE3">
      <w:pPr>
        <w:pStyle w:val="Section"/>
      </w:pPr>
      <w:bookmarkStart w:id="200" w:name="_Toc98429812"/>
      <w:bookmarkStart w:id="201" w:name="_Toc102586258"/>
      <w:r w:rsidRPr="00654CB9">
        <w:t>2.4 Experimental</w:t>
      </w:r>
      <w:bookmarkEnd w:id="200"/>
      <w:bookmarkEnd w:id="201"/>
    </w:p>
    <w:p w14:paraId="01BF4323" w14:textId="77777777" w:rsidR="00654CB9" w:rsidRPr="00654CB9" w:rsidRDefault="00654CB9" w:rsidP="00666BE3">
      <w:pPr>
        <w:pStyle w:val="Subsection"/>
      </w:pPr>
      <w:bookmarkStart w:id="202" w:name="_Toc98429813"/>
      <w:bookmarkStart w:id="203" w:name="_Toc102586259"/>
      <w:r w:rsidRPr="00654CB9">
        <w:t>2.4.1 General Chemistry Methods</w:t>
      </w:r>
      <w:bookmarkEnd w:id="202"/>
      <w:bookmarkEnd w:id="203"/>
    </w:p>
    <w:p w14:paraId="217F4239" w14:textId="77777777" w:rsidR="00654CB9" w:rsidRPr="00654CB9" w:rsidRDefault="00654CB9" w:rsidP="00654CB9">
      <w:pPr>
        <w:ind w:firstLine="720"/>
        <w:rPr>
          <w:rFonts w:cs="Times New Roman"/>
          <w:szCs w:val="24"/>
        </w:rPr>
      </w:pPr>
      <w:r w:rsidRPr="00654CB9">
        <w:rPr>
          <w:rFonts w:cs="Times New Roman"/>
          <w:szCs w:val="24"/>
        </w:rPr>
        <w:t xml:space="preserve">All commercial reagents were used without further purification. Distilled water was used for all water necessities in synthetic procedures (e.g., reagent, solvent, work-up). Flash column chromatography was performed with silica gel 60. TLC analyses were completed with EMD </w:t>
      </w:r>
      <w:r w:rsidRPr="00654CB9">
        <w:rPr>
          <w:rFonts w:cs="Times New Roman"/>
          <w:szCs w:val="24"/>
        </w:rPr>
        <w:lastRenderedPageBreak/>
        <w:t xml:space="preserve">Millipore silica gel coated (250 µM) F254 glass plates and visualized with UV light. NMR samples were prepared in 5 mm tubes with 0.6 mL deuterated solvent. NMR data were all collected on a 300, 400, or 500 MHz (specified below) Varian VNMRS Direct Drive spectrometer equipped with an indirect detection probe. Data was collected at 25 </w:t>
      </w:r>
      <w:proofErr w:type="spellStart"/>
      <w:r w:rsidRPr="00654CB9">
        <w:rPr>
          <w:rFonts w:cs="Times New Roman"/>
          <w:szCs w:val="24"/>
          <w:vertAlign w:val="superscript"/>
        </w:rPr>
        <w:t>o</w:t>
      </w:r>
      <w:r w:rsidRPr="00654CB9">
        <w:rPr>
          <w:rFonts w:cs="Times New Roman"/>
          <w:szCs w:val="24"/>
        </w:rPr>
        <w:t>C</w:t>
      </w:r>
      <w:proofErr w:type="spellEnd"/>
      <w:r w:rsidRPr="00654CB9">
        <w:rPr>
          <w:rFonts w:cs="Times New Roman"/>
          <w:szCs w:val="24"/>
        </w:rPr>
        <w:t xml:space="preserve"> unless otherwise indicated. Pulse sequences were used as supplied by Varian VNMRJ 4.2 software. All NMR data was processed in </w:t>
      </w:r>
      <w:proofErr w:type="spellStart"/>
      <w:r w:rsidRPr="00654CB9">
        <w:rPr>
          <w:rFonts w:cs="Times New Roman"/>
          <w:szCs w:val="24"/>
        </w:rPr>
        <w:t>MestreNova</w:t>
      </w:r>
      <w:proofErr w:type="spellEnd"/>
      <w:r w:rsidRPr="00654CB9">
        <w:rPr>
          <w:rFonts w:cs="Times New Roman"/>
          <w:szCs w:val="24"/>
        </w:rPr>
        <w:t xml:space="preserve"> v10. Peak positions are reported after reference centering on deuterated solvent of relevance.</w:t>
      </w:r>
    </w:p>
    <w:p w14:paraId="2A1C5A81" w14:textId="77777777" w:rsidR="00654CB9" w:rsidRPr="00654CB9" w:rsidRDefault="00654CB9" w:rsidP="00666BE3">
      <w:pPr>
        <w:pStyle w:val="Subsection"/>
      </w:pPr>
      <w:bookmarkStart w:id="204" w:name="_Toc98429814"/>
      <w:bookmarkStart w:id="205" w:name="_Toc102586260"/>
      <w:r w:rsidRPr="00654CB9">
        <w:t>2.4.2 Synthetic Procedures</w:t>
      </w:r>
      <w:bookmarkEnd w:id="204"/>
      <w:bookmarkEnd w:id="205"/>
    </w:p>
    <w:p w14:paraId="1CC8D085" w14:textId="77777777" w:rsidR="00654CB9" w:rsidRPr="00654CB9" w:rsidRDefault="00654CB9" w:rsidP="00654CB9">
      <w:pPr>
        <w:spacing w:after="0"/>
        <w:ind w:left="720" w:firstLine="720"/>
        <w:rPr>
          <w:rFonts w:eastAsia="DengXian" w:cs="Times New Roman"/>
          <w:b/>
          <w:color w:val="000000"/>
          <w:kern w:val="2"/>
          <w:szCs w:val="24"/>
        </w:rPr>
      </w:pPr>
      <w:r w:rsidRPr="00654CB9">
        <w:rPr>
          <w:rFonts w:asciiTheme="minorHAnsi" w:eastAsia="DengXian" w:hAnsiTheme="minorHAnsi"/>
          <w:b/>
          <w:noProof/>
          <w:kern w:val="2"/>
          <w:sz w:val="22"/>
        </w:rPr>
        <mc:AlternateContent>
          <mc:Choice Requires="wps">
            <w:drawing>
              <wp:inline distT="0" distB="0" distL="0" distR="0" wp14:anchorId="45245640" wp14:editId="1E0DBAC8">
                <wp:extent cx="3756660" cy="1394460"/>
                <wp:effectExtent l="0" t="0" r="15240" b="1524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6660" cy="1394460"/>
                        </a:xfrm>
                        <a:prstGeom prst="rect">
                          <a:avLst/>
                        </a:prstGeom>
                        <a:solidFill>
                          <a:srgbClr val="FFFFFF"/>
                        </a:solidFill>
                        <a:ln w="9525">
                          <a:solidFill>
                            <a:srgbClr val="000000"/>
                          </a:solidFill>
                          <a:miter lim="800000"/>
                          <a:headEnd/>
                          <a:tailEnd/>
                        </a:ln>
                      </wps:spPr>
                      <wps:txbx>
                        <w:txbxContent>
                          <w:p w14:paraId="12A75964" w14:textId="77777777" w:rsidR="00654CB9" w:rsidRDefault="00654CB9" w:rsidP="00654CB9">
                            <w:pPr>
                              <w:keepNext/>
                              <w:spacing w:after="0" w:line="240" w:lineRule="auto"/>
                              <w:contextualSpacing/>
                              <w:jc w:val="center"/>
                            </w:pPr>
                            <w:r w:rsidRPr="00DC18DD">
                              <w:rPr>
                                <w:b/>
                                <w:szCs w:val="24"/>
                              </w:rPr>
                              <w:object w:dxaOrig="4319" w:dyaOrig="975" w14:anchorId="3A420ADB">
                                <v:shape id="_x0000_i1036" type="#_x0000_t75" style="width:210.4pt;height:47.7pt" o:ole="">
                                  <v:imagedata r:id="rId124" o:title=""/>
                                </v:shape>
                                <o:OLEObject Type="Embed" ProgID="ChemDraw.Document.6.0" ShapeID="_x0000_i1036" DrawAspect="Content" ObjectID="_1713353474" r:id="rId125"/>
                              </w:object>
                            </w:r>
                          </w:p>
                          <w:p w14:paraId="391CFF09" w14:textId="00488703" w:rsidR="00654CB9" w:rsidRDefault="00654CB9" w:rsidP="00DF51F5">
                            <w:pPr>
                              <w:pStyle w:val="Caption"/>
                            </w:pPr>
                            <w:r>
                              <w:t xml:space="preserve">Scheme </w:t>
                            </w:r>
                            <w:r w:rsidRPr="00315F70">
                              <w:rPr>
                                <w:rFonts w:cs="Times New Roman"/>
                                <w:szCs w:val="24"/>
                              </w:rPr>
                              <w:t>2.</w:t>
                            </w:r>
                            <w:fldSimple w:instr=" SEQ Scheme \* ARABIC ">
                              <w:r w:rsidR="00AA5AAC">
                                <w:rPr>
                                  <w:noProof/>
                                </w:rPr>
                                <w:t>3</w:t>
                              </w:r>
                            </w:fldSimple>
                            <w:r>
                              <w:t>.</w:t>
                            </w:r>
                          </w:p>
                          <w:p w14:paraId="2870CE78" w14:textId="77777777" w:rsidR="00654CB9" w:rsidRPr="00DC18DD" w:rsidRDefault="00654CB9" w:rsidP="00654CB9">
                            <w:pPr>
                              <w:spacing w:after="0" w:line="240" w:lineRule="auto"/>
                              <w:contextualSpacing/>
                              <w:rPr>
                                <w:rFonts w:cs="Times New Roman"/>
                                <w:iCs/>
                                <w:color w:val="000000"/>
                                <w:szCs w:val="24"/>
                                <w:shd w:val="clear" w:color="auto" w:fill="FFFFFF"/>
                              </w:rPr>
                            </w:pPr>
                            <w:r w:rsidRPr="00DC18DD">
                              <w:rPr>
                                <w:rFonts w:cs="Times New Roman"/>
                                <w:szCs w:val="24"/>
                              </w:rPr>
                              <w:t>Reagents and conditions:</w:t>
                            </w:r>
                            <w:r w:rsidRPr="00DC18DD">
                              <w:rPr>
                                <w:rFonts w:cs="Times New Roman"/>
                                <w:b/>
                                <w:szCs w:val="24"/>
                              </w:rPr>
                              <w:t xml:space="preserve"> </w:t>
                            </w:r>
                            <w:r w:rsidRPr="00DC18DD">
                              <w:rPr>
                                <w:rFonts w:cs="Times New Roman"/>
                                <w:szCs w:val="24"/>
                              </w:rPr>
                              <w:t>(a) 1 M HCl, H</w:t>
                            </w:r>
                            <w:r w:rsidRPr="00DC18DD">
                              <w:rPr>
                                <w:rFonts w:cs="Times New Roman"/>
                                <w:szCs w:val="24"/>
                                <w:vertAlign w:val="subscript"/>
                              </w:rPr>
                              <w:t>2</w:t>
                            </w:r>
                            <w:r w:rsidRPr="00DC18DD">
                              <w:rPr>
                                <w:rFonts w:cs="Times New Roman"/>
                                <w:szCs w:val="24"/>
                              </w:rPr>
                              <w:t>O, 120 °C, 32-66%</w:t>
                            </w:r>
                          </w:p>
                        </w:txbxContent>
                      </wps:txbx>
                      <wps:bodyPr rot="0" vert="horz" wrap="square" lIns="91440" tIns="45720" rIns="91440" bIns="45720" anchor="t" anchorCtr="0">
                        <a:noAutofit/>
                      </wps:bodyPr>
                    </wps:wsp>
                  </a:graphicData>
                </a:graphic>
              </wp:inline>
            </w:drawing>
          </mc:Choice>
          <mc:Fallback>
            <w:pict>
              <v:shape w14:anchorId="45245640" id="_x0000_s1057" type="#_x0000_t202" style="width:295.8pt;height:10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">
                <v:textbox>
                  <w:txbxContent>
                    <w:p w14:paraId="12A75964" w14:textId="77777777" w:rsidR="00654CB9" w:rsidRDefault="00654CB9" w:rsidP="00654CB9">
                      <w:pPr>
                        <w:keepNext/>
                        <w:spacing w:after="0" w:line="240" w:lineRule="auto"/>
                        <w:contextualSpacing/>
                        <w:jc w:val="center"/>
                      </w:pPr>
                      <w:r w:rsidRPr="00DC18DD">
                        <w:rPr>
                          <w:b/>
                          <w:szCs w:val="24"/>
                        </w:rPr>
                        <w:object w:dxaOrig="4319" w:dyaOrig="975" w14:anchorId="3A420ADB">
                          <v:shape id="_x0000_i1036" type="#_x0000_t75" style="width:210.4pt;height:47.7pt" o:ole="">
                            <v:imagedata r:id="rId124" o:title=""/>
                          </v:shape>
                          <o:OLEObject Type="Embed" ProgID="ChemDraw.Document.6.0" ShapeID="_x0000_i1036" DrawAspect="Content" ObjectID="_1713353474" r:id="rId126"/>
                        </w:object>
                      </w:r>
                    </w:p>
                    <w:p w14:paraId="391CFF09" w14:textId="00488703" w:rsidR="00654CB9" w:rsidRDefault="00654CB9" w:rsidP="00DF51F5">
                      <w:pPr>
                        <w:pStyle w:val="Caption"/>
                      </w:pPr>
                      <w:r>
                        <w:t xml:space="preserve">Scheme </w:t>
                      </w:r>
                      <w:r w:rsidRPr="00315F70">
                        <w:rPr>
                          <w:rFonts w:cs="Times New Roman"/>
                          <w:szCs w:val="24"/>
                        </w:rPr>
                        <w:t>2.</w:t>
                      </w:r>
                      <w:fldSimple w:instr=" SEQ Scheme \* ARABIC ">
                        <w:r w:rsidR="00AA5AAC">
                          <w:rPr>
                            <w:noProof/>
                          </w:rPr>
                          <w:t>3</w:t>
                        </w:r>
                      </w:fldSimple>
                      <w:r>
                        <w:t>.</w:t>
                      </w:r>
                    </w:p>
                    <w:p w14:paraId="2870CE78" w14:textId="77777777" w:rsidR="00654CB9" w:rsidRPr="00DC18DD" w:rsidRDefault="00654CB9" w:rsidP="00654CB9">
                      <w:pPr>
                        <w:spacing w:after="0" w:line="240" w:lineRule="auto"/>
                        <w:contextualSpacing/>
                        <w:rPr>
                          <w:rFonts w:cs="Times New Roman"/>
                          <w:iCs/>
                          <w:color w:val="000000"/>
                          <w:szCs w:val="24"/>
                          <w:shd w:val="clear" w:color="auto" w:fill="FFFFFF"/>
                        </w:rPr>
                      </w:pPr>
                      <w:r w:rsidRPr="00DC18DD">
                        <w:rPr>
                          <w:rFonts w:cs="Times New Roman"/>
                          <w:szCs w:val="24"/>
                        </w:rPr>
                        <w:t>Reagents and conditions:</w:t>
                      </w:r>
                      <w:r w:rsidRPr="00DC18DD">
                        <w:rPr>
                          <w:rFonts w:cs="Times New Roman"/>
                          <w:b/>
                          <w:szCs w:val="24"/>
                        </w:rPr>
                        <w:t xml:space="preserve"> </w:t>
                      </w:r>
                      <w:r w:rsidRPr="00DC18DD">
                        <w:rPr>
                          <w:rFonts w:cs="Times New Roman"/>
                          <w:szCs w:val="24"/>
                        </w:rPr>
                        <w:t>(a) 1 M HCl, H</w:t>
                      </w:r>
                      <w:r w:rsidRPr="00DC18DD">
                        <w:rPr>
                          <w:rFonts w:cs="Times New Roman"/>
                          <w:szCs w:val="24"/>
                          <w:vertAlign w:val="subscript"/>
                        </w:rPr>
                        <w:t>2</w:t>
                      </w:r>
                      <w:r w:rsidRPr="00DC18DD">
                        <w:rPr>
                          <w:rFonts w:cs="Times New Roman"/>
                          <w:szCs w:val="24"/>
                        </w:rPr>
                        <w:t>O, 120 °C, 32-66%</w:t>
                      </w:r>
                    </w:p>
                  </w:txbxContent>
                </v:textbox>
                <w10:anchorlock/>
              </v:shape>
            </w:pict>
          </mc:Fallback>
        </mc:AlternateContent>
      </w:r>
    </w:p>
    <w:p w14:paraId="5EF446FF" w14:textId="77777777" w:rsidR="00654CB9" w:rsidRPr="00654CB9" w:rsidRDefault="00654CB9" w:rsidP="00654CB9">
      <w:pPr>
        <w:spacing w:after="0"/>
        <w:ind w:firstLine="720"/>
        <w:rPr>
          <w:rFonts w:eastAsia="DengXian" w:cs="Times New Roman"/>
          <w:color w:val="000000"/>
          <w:kern w:val="2"/>
          <w:szCs w:val="24"/>
        </w:rPr>
      </w:pPr>
      <w:r w:rsidRPr="00654CB9">
        <w:rPr>
          <w:rFonts w:eastAsia="DengXian" w:cs="Times New Roman"/>
          <w:b/>
          <w:color w:val="000000"/>
          <w:kern w:val="2"/>
          <w:szCs w:val="24"/>
        </w:rPr>
        <w:t xml:space="preserve">General procedure to prepare ketones iii. </w:t>
      </w:r>
      <w:r w:rsidRPr="00654CB9">
        <w:rPr>
          <w:rFonts w:eastAsia="DengXian" w:cs="Times New Roman"/>
          <w:color w:val="000000"/>
          <w:kern w:val="2"/>
          <w:szCs w:val="24"/>
        </w:rPr>
        <w:t xml:space="preserve">A mixture of a substituted </w:t>
      </w:r>
      <w:proofErr w:type="spellStart"/>
      <w:r w:rsidRPr="00654CB9">
        <w:rPr>
          <w:rFonts w:eastAsia="DengXian" w:cs="Times New Roman"/>
          <w:color w:val="000000"/>
          <w:kern w:val="2"/>
          <w:szCs w:val="24"/>
        </w:rPr>
        <w:t>phenylhydrazine</w:t>
      </w:r>
      <w:proofErr w:type="spellEnd"/>
      <w:r w:rsidRPr="00654CB9">
        <w:rPr>
          <w:rFonts w:eastAsia="DengXian" w:cs="Times New Roman"/>
          <w:color w:val="000000"/>
          <w:kern w:val="2"/>
          <w:szCs w:val="24"/>
        </w:rPr>
        <w:t xml:space="preserve"> </w:t>
      </w:r>
      <w:r w:rsidRPr="00654CB9">
        <w:rPr>
          <w:rFonts w:eastAsia="DengXian" w:cs="Times New Roman"/>
          <w:b/>
          <w:color w:val="000000"/>
          <w:kern w:val="2"/>
          <w:szCs w:val="24"/>
        </w:rPr>
        <w:t>i</w:t>
      </w:r>
      <w:r w:rsidRPr="00654CB9">
        <w:rPr>
          <w:rFonts w:eastAsia="DengXian" w:cs="Times New Roman"/>
          <w:color w:val="000000"/>
          <w:kern w:val="2"/>
          <w:szCs w:val="24"/>
        </w:rPr>
        <w:t xml:space="preserve"> (3.0 mmol), 1,2-cyclohexanedione </w:t>
      </w:r>
      <w:r w:rsidRPr="00654CB9">
        <w:rPr>
          <w:rFonts w:eastAsia="DengXian" w:cs="Times New Roman"/>
          <w:b/>
          <w:color w:val="000000"/>
          <w:kern w:val="2"/>
          <w:szCs w:val="24"/>
        </w:rPr>
        <w:t>ii</w:t>
      </w:r>
      <w:r w:rsidRPr="00654CB9">
        <w:rPr>
          <w:rFonts w:eastAsia="DengXian" w:cs="Times New Roman"/>
          <w:color w:val="000000"/>
          <w:kern w:val="2"/>
          <w:szCs w:val="24"/>
        </w:rPr>
        <w:t xml:space="preserve"> (6.0 mmol), and water (50 mL) was stirred at room temperature (23 °C) in a 250 mL round bottom flask. After 16 h, 10 mL of aqueous 1 M HCl was </w:t>
      </w:r>
      <w:proofErr w:type="gramStart"/>
      <w:r w:rsidRPr="00654CB9">
        <w:rPr>
          <w:rFonts w:eastAsia="DengXian" w:cs="Times New Roman"/>
          <w:color w:val="000000"/>
          <w:kern w:val="2"/>
          <w:szCs w:val="24"/>
        </w:rPr>
        <w:t>added</w:t>
      </w:r>
      <w:proofErr w:type="gramEnd"/>
      <w:r w:rsidRPr="00654CB9">
        <w:rPr>
          <w:rFonts w:eastAsia="DengXian" w:cs="Times New Roman"/>
          <w:color w:val="000000"/>
          <w:kern w:val="2"/>
          <w:szCs w:val="24"/>
        </w:rPr>
        <w:t xml:space="preserve"> and the reaction was heated to reflux. After 12 h, the reaction was refrigerated to induce crystallization. The resulting solid was filtered and air dried to provide the crude product. The desired product was purified by flash column chromatography (SiO</w:t>
      </w:r>
      <w:r w:rsidRPr="00654CB9">
        <w:rPr>
          <w:rFonts w:eastAsia="DengXian" w:cs="Times New Roman"/>
          <w:color w:val="000000"/>
          <w:kern w:val="2"/>
          <w:szCs w:val="24"/>
          <w:vertAlign w:val="subscript"/>
        </w:rPr>
        <w:t>2</w:t>
      </w:r>
      <w:r w:rsidRPr="00654CB9">
        <w:rPr>
          <w:rFonts w:eastAsia="DengXian" w:cs="Times New Roman"/>
          <w:color w:val="000000"/>
          <w:kern w:val="2"/>
          <w:szCs w:val="24"/>
        </w:rPr>
        <w:t xml:space="preserve">) using 20-30% ethyl acetate in hexanes as the eluent. </w:t>
      </w:r>
      <w:r w:rsidRPr="00654CB9">
        <w:rPr>
          <w:rFonts w:eastAsia="DengXian" w:cs="Times New Roman"/>
          <w:color w:val="000000"/>
          <w:kern w:val="2"/>
          <w:szCs w:val="24"/>
          <w:vertAlign w:val="superscript"/>
        </w:rPr>
        <w:t>1</w:t>
      </w:r>
      <w:r w:rsidRPr="00654CB9">
        <w:rPr>
          <w:rFonts w:eastAsia="DengXian" w:cs="Times New Roman"/>
          <w:color w:val="000000"/>
          <w:kern w:val="2"/>
          <w:szCs w:val="24"/>
        </w:rPr>
        <w:t xml:space="preserve">H and </w:t>
      </w:r>
      <w:r w:rsidRPr="00654CB9">
        <w:rPr>
          <w:rFonts w:eastAsia="DengXian" w:cs="Times New Roman"/>
          <w:color w:val="000000"/>
          <w:kern w:val="2"/>
          <w:szCs w:val="24"/>
          <w:vertAlign w:val="superscript"/>
        </w:rPr>
        <w:t>13</w:t>
      </w:r>
      <w:r w:rsidRPr="00654CB9">
        <w:rPr>
          <w:rFonts w:eastAsia="DengXian" w:cs="Times New Roman"/>
          <w:color w:val="000000"/>
          <w:kern w:val="2"/>
          <w:szCs w:val="24"/>
        </w:rPr>
        <w:t>C NMR spectra for products were compared to literature values to confirm structure.</w:t>
      </w:r>
    </w:p>
    <w:p w14:paraId="5C5485D1" w14:textId="77777777" w:rsidR="00654CB9" w:rsidRPr="00654CB9" w:rsidRDefault="00654CB9" w:rsidP="00654CB9">
      <w:pPr>
        <w:spacing w:after="0"/>
        <w:ind w:left="1440" w:firstLine="720"/>
        <w:rPr>
          <w:rFonts w:eastAsia="DengXian" w:cs="Times New Roman"/>
          <w:b/>
          <w:color w:val="000000"/>
          <w:kern w:val="2"/>
          <w:szCs w:val="24"/>
        </w:rPr>
      </w:pPr>
      <w:r w:rsidRPr="00654CB9">
        <w:rPr>
          <w:rFonts w:eastAsia="DengXian" w:cs="Times New Roman"/>
          <w:b/>
          <w:noProof/>
          <w:color w:val="000000"/>
          <w:kern w:val="2"/>
          <w:szCs w:val="24"/>
        </w:rPr>
        <w:lastRenderedPageBreak/>
        <mc:AlternateContent>
          <mc:Choice Requires="wps">
            <w:drawing>
              <wp:inline distT="0" distB="0" distL="0" distR="0" wp14:anchorId="0FC342DB" wp14:editId="50E887E0">
                <wp:extent cx="3215640" cy="1409700"/>
                <wp:effectExtent l="0" t="0" r="22860" b="1905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409700"/>
                        </a:xfrm>
                        <a:prstGeom prst="rect">
                          <a:avLst/>
                        </a:prstGeom>
                        <a:solidFill>
                          <a:srgbClr val="FFFFFF"/>
                        </a:solidFill>
                        <a:ln w="9525">
                          <a:solidFill>
                            <a:srgbClr val="000000"/>
                          </a:solidFill>
                          <a:miter lim="800000"/>
                          <a:headEnd/>
                          <a:tailEnd/>
                        </a:ln>
                      </wps:spPr>
                      <wps:txbx>
                        <w:txbxContent>
                          <w:p w14:paraId="40535577" w14:textId="77777777" w:rsidR="00654CB9" w:rsidRDefault="00654CB9" w:rsidP="00654CB9">
                            <w:pPr>
                              <w:keepNext/>
                              <w:spacing w:after="0"/>
                              <w:jc w:val="center"/>
                            </w:pPr>
                            <w:r w:rsidRPr="00DC18DD">
                              <w:rPr>
                                <w:rFonts w:asciiTheme="minorHAnsi" w:hAnsiTheme="minorHAnsi"/>
                                <w:szCs w:val="24"/>
                              </w:rPr>
                              <w:object w:dxaOrig="3672" w:dyaOrig="976" w14:anchorId="3F552403">
                                <v:shape id="_x0000_i1037" type="#_x0000_t75" style="width:179.55pt;height:47.7pt" o:ole="">
                                  <v:imagedata r:id="rId127" o:title=""/>
                                </v:shape>
                                <o:OLEObject Type="Embed" ProgID="ChemDraw.Document.6.0" ShapeID="_x0000_i1037" DrawAspect="Content" ObjectID="_1713353475" r:id="rId128"/>
                              </w:object>
                            </w:r>
                          </w:p>
                          <w:p w14:paraId="58028FEB" w14:textId="69EDC19A" w:rsidR="00654CB9" w:rsidRDefault="00654CB9" w:rsidP="00DF51F5">
                            <w:pPr>
                              <w:pStyle w:val="Caption"/>
                            </w:pPr>
                            <w:r>
                              <w:t xml:space="preserve">Scheme </w:t>
                            </w:r>
                            <w:r w:rsidRPr="00315F70">
                              <w:rPr>
                                <w:rFonts w:cs="Times New Roman"/>
                                <w:szCs w:val="24"/>
                              </w:rPr>
                              <w:t>2.</w:t>
                            </w:r>
                            <w:fldSimple w:instr=" SEQ Scheme \* ARABIC ">
                              <w:r w:rsidR="00AA5AAC">
                                <w:rPr>
                                  <w:noProof/>
                                </w:rPr>
                                <w:t>4</w:t>
                              </w:r>
                            </w:fldSimple>
                            <w:r>
                              <w:t xml:space="preserve">. </w:t>
                            </w:r>
                          </w:p>
                          <w:p w14:paraId="75581477" w14:textId="77777777" w:rsidR="00654CB9" w:rsidRDefault="00654CB9" w:rsidP="00654CB9">
                            <w:pPr>
                              <w:spacing w:after="0"/>
                            </w:pPr>
                            <w:r w:rsidRPr="00DC18DD">
                              <w:rPr>
                                <w:rFonts w:cs="Times New Roman"/>
                                <w:szCs w:val="24"/>
                              </w:rPr>
                              <w:t>Reagents and conditions:</w:t>
                            </w:r>
                            <w:r w:rsidRPr="00DC18DD">
                              <w:rPr>
                                <w:rFonts w:cs="Times New Roman"/>
                                <w:b/>
                                <w:szCs w:val="24"/>
                              </w:rPr>
                              <w:t xml:space="preserve"> </w:t>
                            </w:r>
                            <w:r w:rsidRPr="00DC18DD">
                              <w:rPr>
                                <w:rFonts w:cs="Times New Roman"/>
                                <w:szCs w:val="24"/>
                              </w:rPr>
                              <w:t>(a) NH</w:t>
                            </w:r>
                            <w:r w:rsidRPr="00DC18DD">
                              <w:rPr>
                                <w:rFonts w:cs="Times New Roman"/>
                                <w:szCs w:val="24"/>
                                <w:vertAlign w:val="subscript"/>
                              </w:rPr>
                              <w:t>4</w:t>
                            </w:r>
                            <w:r w:rsidRPr="00DC18DD">
                              <w:rPr>
                                <w:rFonts w:cs="Times New Roman"/>
                                <w:szCs w:val="24"/>
                              </w:rPr>
                              <w:t>OAc, NaCNBH</w:t>
                            </w:r>
                            <w:r w:rsidRPr="00DC18DD">
                              <w:rPr>
                                <w:rFonts w:cs="Times New Roman"/>
                                <w:szCs w:val="24"/>
                                <w:vertAlign w:val="subscript"/>
                              </w:rPr>
                              <w:t>3</w:t>
                            </w:r>
                            <w:r w:rsidRPr="00DC18DD">
                              <w:rPr>
                                <w:rFonts w:cs="Times New Roman"/>
                                <w:szCs w:val="24"/>
                              </w:rPr>
                              <w:t>, MeOH, 60 °C, 73-94%.</w:t>
                            </w:r>
                          </w:p>
                        </w:txbxContent>
                      </wps:txbx>
                      <wps:bodyPr rot="0" vert="horz" wrap="square" lIns="91440" tIns="45720" rIns="91440" bIns="45720" anchor="t" anchorCtr="0">
                        <a:noAutofit/>
                      </wps:bodyPr>
                    </wps:wsp>
                  </a:graphicData>
                </a:graphic>
              </wp:inline>
            </w:drawing>
          </mc:Choice>
          <mc:Fallback>
            <w:pict>
              <v:shape w14:anchorId="0FC342DB" id="_x0000_s1058" type="#_x0000_t202" style="width:253.2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">
                <v:textbox>
                  <w:txbxContent>
                    <w:p w14:paraId="40535577" w14:textId="77777777" w:rsidR="00654CB9" w:rsidRDefault="00654CB9" w:rsidP="00654CB9">
                      <w:pPr>
                        <w:keepNext/>
                        <w:spacing w:after="0"/>
                        <w:jc w:val="center"/>
                      </w:pPr>
                      <w:r w:rsidRPr="00DC18DD">
                        <w:rPr>
                          <w:rFonts w:asciiTheme="minorHAnsi" w:hAnsiTheme="minorHAnsi"/>
                          <w:szCs w:val="24"/>
                        </w:rPr>
                        <w:object w:dxaOrig="3672" w:dyaOrig="976" w14:anchorId="3F552403">
                          <v:shape id="_x0000_i1037" type="#_x0000_t75" style="width:179.55pt;height:47.7pt" o:ole="">
                            <v:imagedata r:id="rId127" o:title=""/>
                          </v:shape>
                          <o:OLEObject Type="Embed" ProgID="ChemDraw.Document.6.0" ShapeID="_x0000_i1037" DrawAspect="Content" ObjectID="_1713353475" r:id="rId129"/>
                        </w:object>
                      </w:r>
                    </w:p>
                    <w:p w14:paraId="58028FEB" w14:textId="69EDC19A" w:rsidR="00654CB9" w:rsidRDefault="00654CB9" w:rsidP="00DF51F5">
                      <w:pPr>
                        <w:pStyle w:val="Caption"/>
                      </w:pPr>
                      <w:r>
                        <w:t xml:space="preserve">Scheme </w:t>
                      </w:r>
                      <w:r w:rsidRPr="00315F70">
                        <w:rPr>
                          <w:rFonts w:cs="Times New Roman"/>
                          <w:szCs w:val="24"/>
                        </w:rPr>
                        <w:t>2.</w:t>
                      </w:r>
                      <w:fldSimple w:instr=" SEQ Scheme \* ARABIC ">
                        <w:r w:rsidR="00AA5AAC">
                          <w:rPr>
                            <w:noProof/>
                          </w:rPr>
                          <w:t>4</w:t>
                        </w:r>
                      </w:fldSimple>
                      <w:r>
                        <w:t xml:space="preserve">. </w:t>
                      </w:r>
                    </w:p>
                    <w:p w14:paraId="75581477" w14:textId="77777777" w:rsidR="00654CB9" w:rsidRDefault="00654CB9" w:rsidP="00654CB9">
                      <w:pPr>
                        <w:spacing w:after="0"/>
                      </w:pPr>
                      <w:r w:rsidRPr="00DC18DD">
                        <w:rPr>
                          <w:rFonts w:cs="Times New Roman"/>
                          <w:szCs w:val="24"/>
                        </w:rPr>
                        <w:t>Reagents and conditions:</w:t>
                      </w:r>
                      <w:r w:rsidRPr="00DC18DD">
                        <w:rPr>
                          <w:rFonts w:cs="Times New Roman"/>
                          <w:b/>
                          <w:szCs w:val="24"/>
                        </w:rPr>
                        <w:t xml:space="preserve"> </w:t>
                      </w:r>
                      <w:r w:rsidRPr="00DC18DD">
                        <w:rPr>
                          <w:rFonts w:cs="Times New Roman"/>
                          <w:szCs w:val="24"/>
                        </w:rPr>
                        <w:t>(a) NH</w:t>
                      </w:r>
                      <w:r w:rsidRPr="00DC18DD">
                        <w:rPr>
                          <w:rFonts w:cs="Times New Roman"/>
                          <w:szCs w:val="24"/>
                          <w:vertAlign w:val="subscript"/>
                        </w:rPr>
                        <w:t>4</w:t>
                      </w:r>
                      <w:r w:rsidRPr="00DC18DD">
                        <w:rPr>
                          <w:rFonts w:cs="Times New Roman"/>
                          <w:szCs w:val="24"/>
                        </w:rPr>
                        <w:t>OAc, NaCNBH</w:t>
                      </w:r>
                      <w:r w:rsidRPr="00DC18DD">
                        <w:rPr>
                          <w:rFonts w:cs="Times New Roman"/>
                          <w:szCs w:val="24"/>
                          <w:vertAlign w:val="subscript"/>
                        </w:rPr>
                        <w:t>3</w:t>
                      </w:r>
                      <w:r w:rsidRPr="00DC18DD">
                        <w:rPr>
                          <w:rFonts w:cs="Times New Roman"/>
                          <w:szCs w:val="24"/>
                        </w:rPr>
                        <w:t>, MeOH, 60 °C, 73-94%.</w:t>
                      </w:r>
                    </w:p>
                  </w:txbxContent>
                </v:textbox>
                <w10:anchorlock/>
              </v:shape>
            </w:pict>
          </mc:Fallback>
        </mc:AlternateContent>
      </w:r>
    </w:p>
    <w:p w14:paraId="319E9352" w14:textId="77777777" w:rsidR="00654CB9" w:rsidRPr="00654CB9" w:rsidRDefault="00654CB9" w:rsidP="00654CB9">
      <w:pPr>
        <w:spacing w:after="0"/>
        <w:ind w:firstLine="720"/>
        <w:rPr>
          <w:rFonts w:eastAsia="DengXian" w:cs="Times New Roman"/>
          <w:color w:val="000000"/>
          <w:kern w:val="2"/>
          <w:szCs w:val="24"/>
        </w:rPr>
      </w:pPr>
      <w:r w:rsidRPr="00654CB9">
        <w:rPr>
          <w:rFonts w:eastAsia="DengXian" w:cs="Times New Roman"/>
          <w:b/>
          <w:color w:val="000000"/>
          <w:kern w:val="2"/>
          <w:szCs w:val="24"/>
        </w:rPr>
        <w:t>General procedure to prepare racemic amines iv (</w:t>
      </w:r>
      <w:r w:rsidRPr="00654CB9">
        <w:rPr>
          <w:rFonts w:eastAsia="Times New Roman" w:cs="Times New Roman"/>
          <w:b/>
          <w:bCs/>
          <w:szCs w:val="24"/>
        </w:rPr>
        <w:t>2.</w:t>
      </w:r>
      <w:r w:rsidRPr="00654CB9">
        <w:rPr>
          <w:rFonts w:eastAsia="DengXian" w:cs="Times New Roman"/>
          <w:b/>
          <w:color w:val="000000"/>
          <w:kern w:val="2"/>
          <w:szCs w:val="24"/>
        </w:rPr>
        <w:t xml:space="preserve">1 - </w:t>
      </w:r>
      <w:r w:rsidRPr="00654CB9">
        <w:rPr>
          <w:rFonts w:eastAsia="Times New Roman" w:cs="Times New Roman"/>
          <w:b/>
          <w:bCs/>
          <w:szCs w:val="24"/>
        </w:rPr>
        <w:t>2.</w:t>
      </w:r>
      <w:r w:rsidRPr="00654CB9">
        <w:rPr>
          <w:rFonts w:eastAsia="DengXian" w:cs="Times New Roman"/>
          <w:b/>
          <w:color w:val="000000"/>
          <w:kern w:val="2"/>
          <w:szCs w:val="24"/>
        </w:rPr>
        <w:t xml:space="preserve">20). </w:t>
      </w:r>
      <w:r w:rsidRPr="00654CB9">
        <w:rPr>
          <w:rFonts w:eastAsia="DengXian" w:cs="Times New Roman"/>
          <w:color w:val="000000"/>
          <w:kern w:val="2"/>
          <w:szCs w:val="24"/>
        </w:rPr>
        <w:t>Solid NH</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OAc (5.0 mmol) was added to a stirring solution of requisite ketone </w:t>
      </w:r>
      <w:r w:rsidRPr="00654CB9">
        <w:rPr>
          <w:rFonts w:eastAsia="DengXian" w:cs="Times New Roman"/>
          <w:b/>
          <w:color w:val="000000"/>
          <w:kern w:val="2"/>
          <w:szCs w:val="24"/>
        </w:rPr>
        <w:t>iii</w:t>
      </w:r>
      <w:r w:rsidRPr="00654CB9">
        <w:rPr>
          <w:rFonts w:eastAsia="DengXian" w:cs="Times New Roman"/>
          <w:color w:val="000000"/>
          <w:kern w:val="2"/>
          <w:szCs w:val="24"/>
        </w:rPr>
        <w:t xml:space="preserve"> (0.5 mmol) dissolved in 20 mL solvent grade CH</w:t>
      </w:r>
      <w:r w:rsidRPr="00654CB9">
        <w:rPr>
          <w:rFonts w:eastAsia="DengXian" w:cs="Times New Roman"/>
          <w:color w:val="000000"/>
          <w:kern w:val="2"/>
          <w:szCs w:val="24"/>
          <w:vertAlign w:val="subscript"/>
        </w:rPr>
        <w:t>3</w:t>
      </w:r>
      <w:r w:rsidRPr="00654CB9">
        <w:rPr>
          <w:rFonts w:eastAsia="DengXian" w:cs="Times New Roman"/>
          <w:color w:val="000000"/>
          <w:kern w:val="2"/>
          <w:szCs w:val="24"/>
        </w:rPr>
        <w:t xml:space="preserve">OH, and this mixture was allowed to stir at room temperature (23 °C) for 3-6 h. Upon complete consumption of </w:t>
      </w:r>
      <w:r w:rsidRPr="00654CB9">
        <w:rPr>
          <w:rFonts w:eastAsia="DengXian" w:cs="Times New Roman"/>
          <w:b/>
          <w:color w:val="000000"/>
          <w:kern w:val="2"/>
          <w:szCs w:val="24"/>
        </w:rPr>
        <w:t>iii</w:t>
      </w:r>
      <w:r w:rsidRPr="00654CB9">
        <w:rPr>
          <w:rFonts w:eastAsia="DengXian" w:cs="Times New Roman"/>
          <w:color w:val="000000"/>
          <w:kern w:val="2"/>
          <w:szCs w:val="24"/>
        </w:rPr>
        <w:t>, as determined by thin layer chromatography, solid NaCNBH</w:t>
      </w:r>
      <w:r w:rsidRPr="00654CB9">
        <w:rPr>
          <w:rFonts w:eastAsia="DengXian" w:cs="Times New Roman"/>
          <w:color w:val="000000"/>
          <w:kern w:val="2"/>
          <w:szCs w:val="24"/>
          <w:vertAlign w:val="subscript"/>
        </w:rPr>
        <w:t>3</w:t>
      </w:r>
      <w:r w:rsidRPr="00654CB9">
        <w:rPr>
          <w:rFonts w:eastAsia="DengXian" w:cs="Times New Roman"/>
          <w:color w:val="000000"/>
          <w:kern w:val="2"/>
          <w:szCs w:val="24"/>
        </w:rPr>
        <w:t xml:space="preserve"> (2.5 mmol) was </w:t>
      </w:r>
      <w:proofErr w:type="gramStart"/>
      <w:r w:rsidRPr="00654CB9">
        <w:rPr>
          <w:rFonts w:eastAsia="DengXian" w:cs="Times New Roman"/>
          <w:color w:val="000000"/>
          <w:kern w:val="2"/>
          <w:szCs w:val="24"/>
        </w:rPr>
        <w:t>added</w:t>
      </w:r>
      <w:proofErr w:type="gramEnd"/>
      <w:r w:rsidRPr="00654CB9">
        <w:rPr>
          <w:rFonts w:eastAsia="DengXian" w:cs="Times New Roman"/>
          <w:color w:val="000000"/>
          <w:kern w:val="2"/>
          <w:szCs w:val="24"/>
        </w:rPr>
        <w:t xml:space="preserve"> and the temperature was raised to 60 °C. After stirring 12-16 h, the reaction was cooled to room temperature (23 °C) and treated with an aqueous 1 M HCl solution. The mixture was extracted with ethyl acetate, and the combined organic layers were washed with brine and dried over anhydrous Na</w:t>
      </w:r>
      <w:r w:rsidRPr="00654CB9">
        <w:rPr>
          <w:rFonts w:eastAsia="DengXian" w:cs="Times New Roman"/>
          <w:color w:val="000000"/>
          <w:kern w:val="2"/>
          <w:szCs w:val="24"/>
          <w:vertAlign w:val="subscript"/>
        </w:rPr>
        <w:t>2</w:t>
      </w:r>
      <w:r w:rsidRPr="00654CB9">
        <w:rPr>
          <w:rFonts w:eastAsia="DengXian" w:cs="Times New Roman"/>
          <w:color w:val="000000"/>
          <w:kern w:val="2"/>
          <w:szCs w:val="24"/>
        </w:rPr>
        <w:t>SO</w:t>
      </w:r>
      <w:r w:rsidRPr="00654CB9">
        <w:rPr>
          <w:rFonts w:eastAsia="DengXian" w:cs="Times New Roman"/>
          <w:color w:val="000000"/>
          <w:kern w:val="2"/>
          <w:szCs w:val="24"/>
          <w:vertAlign w:val="subscript"/>
        </w:rPr>
        <w:t>4</w:t>
      </w:r>
      <w:r w:rsidRPr="00654CB9">
        <w:rPr>
          <w:rFonts w:eastAsia="DengXian" w:cs="Times New Roman"/>
          <w:color w:val="000000"/>
          <w:kern w:val="2"/>
          <w:szCs w:val="24"/>
        </w:rPr>
        <w:t>, filtered, and concentrated under reduced pressure to afford the crude product. The desired product was purified by flash column chromatography (SiO</w:t>
      </w:r>
      <w:r w:rsidRPr="00654CB9">
        <w:rPr>
          <w:rFonts w:eastAsia="DengXian" w:cs="Times New Roman"/>
          <w:color w:val="000000"/>
          <w:kern w:val="2"/>
          <w:szCs w:val="24"/>
          <w:vertAlign w:val="subscript"/>
        </w:rPr>
        <w:t>2</w:t>
      </w:r>
      <w:r w:rsidRPr="00654CB9">
        <w:rPr>
          <w:rFonts w:eastAsia="DengXian" w:cs="Times New Roman"/>
          <w:color w:val="000000"/>
          <w:kern w:val="2"/>
          <w:szCs w:val="24"/>
        </w:rPr>
        <w:t>) using CH</w:t>
      </w:r>
      <w:r w:rsidRPr="00654CB9">
        <w:rPr>
          <w:rFonts w:eastAsia="DengXian" w:cs="Times New Roman"/>
          <w:color w:val="000000"/>
          <w:kern w:val="2"/>
          <w:szCs w:val="24"/>
          <w:vertAlign w:val="subscript"/>
        </w:rPr>
        <w:t>2</w:t>
      </w:r>
      <w:r w:rsidRPr="00654CB9">
        <w:rPr>
          <w:rFonts w:eastAsia="DengXian" w:cs="Times New Roman"/>
          <w:color w:val="000000"/>
          <w:kern w:val="2"/>
          <w:szCs w:val="24"/>
        </w:rPr>
        <w:t>Cl</w:t>
      </w:r>
      <w:r w:rsidRPr="00654CB9">
        <w:rPr>
          <w:rFonts w:eastAsia="DengXian" w:cs="Times New Roman"/>
          <w:color w:val="000000"/>
          <w:kern w:val="2"/>
          <w:szCs w:val="24"/>
          <w:vertAlign w:val="subscript"/>
        </w:rPr>
        <w:t>2</w:t>
      </w:r>
      <w:r w:rsidRPr="00654CB9">
        <w:rPr>
          <w:rFonts w:eastAsia="DengXian" w:cs="Times New Roman"/>
          <w:color w:val="000000"/>
          <w:kern w:val="2"/>
          <w:szCs w:val="24"/>
        </w:rPr>
        <w:t xml:space="preserve"> and CH</w:t>
      </w:r>
      <w:r w:rsidRPr="00654CB9">
        <w:rPr>
          <w:rFonts w:eastAsia="DengXian" w:cs="Times New Roman"/>
          <w:color w:val="000000"/>
          <w:kern w:val="2"/>
          <w:szCs w:val="24"/>
          <w:vertAlign w:val="subscript"/>
        </w:rPr>
        <w:t>3</w:t>
      </w:r>
      <w:r w:rsidRPr="00654CB9">
        <w:rPr>
          <w:rFonts w:eastAsia="DengXian" w:cs="Times New Roman"/>
          <w:color w:val="000000"/>
          <w:kern w:val="2"/>
          <w:szCs w:val="24"/>
        </w:rPr>
        <w:t xml:space="preserve">OH as the eluent. </w:t>
      </w:r>
      <w:r w:rsidRPr="00654CB9">
        <w:rPr>
          <w:rFonts w:eastAsia="DengXian" w:cs="Times New Roman"/>
          <w:color w:val="000000"/>
          <w:kern w:val="2"/>
          <w:szCs w:val="24"/>
          <w:vertAlign w:val="superscript"/>
        </w:rPr>
        <w:t>1</w:t>
      </w:r>
      <w:r w:rsidRPr="00654CB9">
        <w:rPr>
          <w:rFonts w:eastAsia="DengXian" w:cs="Times New Roman"/>
          <w:color w:val="000000"/>
          <w:kern w:val="2"/>
          <w:szCs w:val="24"/>
        </w:rPr>
        <w:t xml:space="preserve">H and </w:t>
      </w:r>
      <w:r w:rsidRPr="00654CB9">
        <w:rPr>
          <w:rFonts w:eastAsia="DengXian" w:cs="Times New Roman"/>
          <w:color w:val="000000"/>
          <w:kern w:val="2"/>
          <w:szCs w:val="24"/>
          <w:vertAlign w:val="superscript"/>
        </w:rPr>
        <w:t>13</w:t>
      </w:r>
      <w:r w:rsidRPr="00654CB9">
        <w:rPr>
          <w:rFonts w:eastAsia="DengXian" w:cs="Times New Roman"/>
          <w:color w:val="000000"/>
          <w:kern w:val="2"/>
          <w:szCs w:val="24"/>
        </w:rPr>
        <w:t xml:space="preserve">C NMR spectra for products were compared to literature values to confirm structure except as included below. </w:t>
      </w:r>
    </w:p>
    <w:p w14:paraId="2B8675F3" w14:textId="77777777" w:rsidR="00654CB9" w:rsidRPr="00654CB9" w:rsidRDefault="00654CB9" w:rsidP="00654CB9">
      <w:pPr>
        <w:spacing w:after="0"/>
        <w:ind w:firstLine="720"/>
        <w:rPr>
          <w:rFonts w:eastAsia="DengXian" w:cs="Times New Roman"/>
          <w:color w:val="000000"/>
          <w:kern w:val="2"/>
          <w:szCs w:val="24"/>
        </w:rPr>
      </w:pPr>
      <w:r w:rsidRPr="00654CB9">
        <w:rPr>
          <w:rFonts w:eastAsia="DengXian" w:cs="Times New Roman"/>
          <w:b/>
          <w:bCs/>
          <w:color w:val="000000"/>
          <w:kern w:val="2"/>
          <w:szCs w:val="24"/>
        </w:rPr>
        <w:t>6-fluoro-2,3,4,9-tetrahydro-1H-carbazol-1-amine (</w:t>
      </w:r>
      <w:r w:rsidRPr="00654CB9">
        <w:rPr>
          <w:rFonts w:eastAsia="Times New Roman" w:cs="Times New Roman"/>
          <w:b/>
          <w:bCs/>
          <w:szCs w:val="24"/>
        </w:rPr>
        <w:t>2.</w:t>
      </w:r>
      <w:r w:rsidRPr="00654CB9">
        <w:rPr>
          <w:rFonts w:eastAsia="DengXian" w:cs="Times New Roman"/>
          <w:b/>
          <w:bCs/>
          <w:color w:val="000000"/>
          <w:kern w:val="2"/>
          <w:szCs w:val="24"/>
        </w:rPr>
        <w:t>6):</w:t>
      </w:r>
      <w:r w:rsidRPr="00654CB9">
        <w:rPr>
          <w:rFonts w:eastAsia="DengXian" w:cs="Times New Roman"/>
          <w:color w:val="000000"/>
          <w:kern w:val="2"/>
          <w:szCs w:val="24"/>
        </w:rPr>
        <w:t xml:space="preserve"> Yield 26%, white amorphous solid. </w:t>
      </w:r>
      <w:r w:rsidRPr="00654CB9">
        <w:rPr>
          <w:rFonts w:eastAsia="DengXian" w:cs="Times New Roman"/>
          <w:color w:val="000000"/>
          <w:kern w:val="2"/>
          <w:szCs w:val="24"/>
          <w:vertAlign w:val="superscript"/>
        </w:rPr>
        <w:t>1</w:t>
      </w:r>
      <w:r w:rsidRPr="00654CB9">
        <w:rPr>
          <w:rFonts w:eastAsia="DengXian" w:cs="Times New Roman"/>
          <w:color w:val="000000"/>
          <w:kern w:val="2"/>
          <w:szCs w:val="24"/>
        </w:rPr>
        <w:t>H NMR (400 MHz, Methanol-d4) δ 7.29 – 7.20 (m, 1H), 7.05 (dd, J = 9.8, 2.5 Hz, 1H), 6.82 (</w:t>
      </w:r>
      <w:proofErr w:type="spellStart"/>
      <w:r w:rsidRPr="00654CB9">
        <w:rPr>
          <w:rFonts w:eastAsia="DengXian" w:cs="Times New Roman"/>
          <w:color w:val="000000"/>
          <w:kern w:val="2"/>
          <w:szCs w:val="24"/>
        </w:rPr>
        <w:t>ddd</w:t>
      </w:r>
      <w:proofErr w:type="spellEnd"/>
      <w:r w:rsidRPr="00654CB9">
        <w:rPr>
          <w:rFonts w:eastAsia="DengXian" w:cs="Times New Roman"/>
          <w:color w:val="000000"/>
          <w:kern w:val="2"/>
          <w:szCs w:val="24"/>
        </w:rPr>
        <w:t xml:space="preserve">, J = 9.6, 8.7, 2.5 Hz, 1H), 4.10 (dd, J = 7.1, 5.5 Hz, 1H), 2.74 – 2.60 (m, 3H), 2.25 – 2.13 (m, 1H), 2.13 – 2.00 (m, 1H), 1.91 – 1.67 (m, 2H). </w:t>
      </w:r>
      <w:r w:rsidRPr="00654CB9">
        <w:rPr>
          <w:rFonts w:eastAsia="DengXian" w:cs="Times New Roman"/>
          <w:color w:val="000000"/>
          <w:kern w:val="2"/>
          <w:szCs w:val="24"/>
          <w:vertAlign w:val="superscript"/>
        </w:rPr>
        <w:t>13</w:t>
      </w:r>
      <w:r w:rsidRPr="00654CB9">
        <w:rPr>
          <w:rFonts w:eastAsia="DengXian" w:cs="Times New Roman"/>
          <w:color w:val="000000"/>
          <w:kern w:val="2"/>
          <w:szCs w:val="24"/>
        </w:rPr>
        <w:t>C NMR (101 MHz, Methanol-d4) δ 158.9 (d, J = 232.0 Hz), 140.0, 134.3, 128.9 (d, J = 9.3 Hz), 112.4 (d, J = 9.7 Hz), 111.4 (d, J = 5.2 Hz), 110.0 (d, J = 26.4 Hz), 103.7 (d, J = 23.3 Hz), 46.6, 34.1, 22.2, 22.0.</w:t>
      </w:r>
    </w:p>
    <w:p w14:paraId="6067B7DA" w14:textId="77777777" w:rsidR="00654CB9" w:rsidRPr="00654CB9" w:rsidRDefault="00654CB9" w:rsidP="00654CB9">
      <w:pPr>
        <w:spacing w:after="0"/>
        <w:ind w:firstLine="720"/>
        <w:rPr>
          <w:rFonts w:eastAsia="DengXian" w:cs="Times New Roman"/>
          <w:color w:val="000000"/>
          <w:kern w:val="2"/>
          <w:szCs w:val="24"/>
        </w:rPr>
      </w:pPr>
      <w:r w:rsidRPr="00654CB9">
        <w:rPr>
          <w:rFonts w:eastAsia="DengXian" w:cs="Times New Roman"/>
          <w:b/>
          <w:color w:val="000000"/>
          <w:kern w:val="2"/>
          <w:szCs w:val="24"/>
        </w:rPr>
        <w:t>5-fluoro-2,3,4,9-tetrahydro-1H-carbazol-1-amine (</w:t>
      </w:r>
      <w:r w:rsidRPr="00654CB9">
        <w:rPr>
          <w:rFonts w:eastAsia="Times New Roman" w:cs="Times New Roman"/>
          <w:b/>
          <w:bCs/>
          <w:szCs w:val="24"/>
        </w:rPr>
        <w:t>2.</w:t>
      </w:r>
      <w:r w:rsidRPr="00654CB9">
        <w:rPr>
          <w:rFonts w:eastAsia="DengXian" w:cs="Times New Roman"/>
          <w:b/>
          <w:color w:val="000000"/>
          <w:kern w:val="2"/>
          <w:szCs w:val="24"/>
        </w:rPr>
        <w:t>14):</w:t>
      </w:r>
      <w:r w:rsidRPr="00654CB9">
        <w:rPr>
          <w:rFonts w:eastAsia="DengXian" w:cs="Times New Roman"/>
          <w:color w:val="000000"/>
          <w:kern w:val="2"/>
          <w:szCs w:val="24"/>
        </w:rPr>
        <w:t xml:space="preserve"> Yield 49%, white amorphous solid. </w:t>
      </w:r>
      <w:r w:rsidRPr="00654CB9">
        <w:rPr>
          <w:rFonts w:eastAsia="DengXian" w:cs="Times New Roman"/>
          <w:color w:val="000000"/>
          <w:kern w:val="2"/>
          <w:szCs w:val="24"/>
          <w:vertAlign w:val="superscript"/>
        </w:rPr>
        <w:t>1</w:t>
      </w:r>
      <w:r w:rsidRPr="00654CB9">
        <w:rPr>
          <w:rFonts w:eastAsia="DengXian" w:cs="Times New Roman"/>
          <w:color w:val="000000"/>
          <w:kern w:val="2"/>
          <w:szCs w:val="24"/>
        </w:rPr>
        <w:t>H NMR (500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7.20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8.2 Hz, 1H), 7.10 (td,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8.0, 5.1 Hz, 1H), </w:t>
      </w:r>
      <w:r w:rsidRPr="00654CB9">
        <w:rPr>
          <w:rFonts w:eastAsia="DengXian" w:cs="Times New Roman"/>
          <w:color w:val="000000"/>
          <w:kern w:val="2"/>
          <w:szCs w:val="24"/>
        </w:rPr>
        <w:lastRenderedPageBreak/>
        <w:t xml:space="preserve">6.70 (dd,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11.0, 7.8 Hz, 1H), 4.62 (t,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5.0 Hz, 1H), 3.03 (dt,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16.4, 5.3 Hz, 1H), 2.95 – 2.85 (m, 1H), 2.33 – 2.22 (m, 1H), 2.14 – 1.94 (m, 3H). </w:t>
      </w:r>
      <w:r w:rsidRPr="00654CB9">
        <w:rPr>
          <w:rFonts w:eastAsia="DengXian" w:cs="Times New Roman"/>
          <w:color w:val="000000"/>
          <w:kern w:val="2"/>
          <w:szCs w:val="24"/>
          <w:vertAlign w:val="superscript"/>
        </w:rPr>
        <w:t>13</w:t>
      </w:r>
      <w:r w:rsidRPr="00654CB9">
        <w:rPr>
          <w:rFonts w:eastAsia="DengXian" w:cs="Times New Roman"/>
          <w:color w:val="000000"/>
          <w:kern w:val="2"/>
          <w:szCs w:val="24"/>
        </w:rPr>
        <w:t>C NMR (126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158.8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245.1 Hz), 140.8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11.5 Hz), 129.1, 124.4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7.8 Hz), 116.6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20.7 Hz), 113.3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2.3 Hz), 108.8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3.5 Hz), 105.2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19.1 Hz), 45.8, 29.0, 23.0, 20.2.</w:t>
      </w:r>
    </w:p>
    <w:p w14:paraId="06051877" w14:textId="77777777" w:rsidR="00654CB9" w:rsidRPr="00654CB9" w:rsidRDefault="00654CB9" w:rsidP="00654CB9">
      <w:pPr>
        <w:spacing w:after="0"/>
        <w:ind w:firstLine="720"/>
        <w:rPr>
          <w:rFonts w:eastAsia="DengXian" w:cs="Times New Roman"/>
          <w:color w:val="000000"/>
          <w:kern w:val="2"/>
          <w:szCs w:val="24"/>
        </w:rPr>
      </w:pPr>
      <w:r w:rsidRPr="00654CB9">
        <w:rPr>
          <w:rFonts w:eastAsia="DengXian" w:cs="Times New Roman"/>
          <w:b/>
          <w:color w:val="000000"/>
          <w:kern w:val="2"/>
          <w:szCs w:val="24"/>
        </w:rPr>
        <w:t>5-(trifluoromethyl)-2,3,4,9-tetrahydro-1H-carbazol-1-amine (</w:t>
      </w:r>
      <w:r w:rsidRPr="00654CB9">
        <w:rPr>
          <w:rFonts w:eastAsia="Times New Roman" w:cs="Times New Roman"/>
          <w:b/>
          <w:bCs/>
          <w:szCs w:val="24"/>
        </w:rPr>
        <w:t>2.</w:t>
      </w:r>
      <w:r w:rsidRPr="00654CB9">
        <w:rPr>
          <w:rFonts w:eastAsia="DengXian" w:cs="Times New Roman"/>
          <w:b/>
          <w:color w:val="000000"/>
          <w:kern w:val="2"/>
          <w:szCs w:val="24"/>
        </w:rPr>
        <w:t xml:space="preserve">15): </w:t>
      </w:r>
      <w:r w:rsidRPr="00654CB9">
        <w:rPr>
          <w:rFonts w:eastAsia="DengXian" w:cs="Times New Roman"/>
          <w:color w:val="000000"/>
          <w:kern w:val="2"/>
          <w:szCs w:val="24"/>
        </w:rPr>
        <w:t xml:space="preserve">Yield 67%, white amorphous solid. </w:t>
      </w:r>
      <w:r w:rsidRPr="00654CB9">
        <w:rPr>
          <w:rFonts w:eastAsia="DengXian" w:cs="Times New Roman"/>
          <w:color w:val="000000"/>
          <w:kern w:val="2"/>
          <w:szCs w:val="24"/>
          <w:vertAlign w:val="superscript"/>
        </w:rPr>
        <w:t>1</w:t>
      </w:r>
      <w:r w:rsidRPr="00654CB9">
        <w:rPr>
          <w:rFonts w:eastAsia="DengXian" w:cs="Times New Roman"/>
          <w:color w:val="000000"/>
          <w:kern w:val="2"/>
          <w:szCs w:val="24"/>
        </w:rPr>
        <w:t>H NMR (500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7.69 (dt,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8.2, 0.8 Hz, 1H), 7.43 (dt,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7.4, 0.8 Hz, 1H), 7.29 (</w:t>
      </w:r>
      <w:proofErr w:type="spellStart"/>
      <w:r w:rsidRPr="00654CB9">
        <w:rPr>
          <w:rFonts w:eastAsia="DengXian" w:cs="Times New Roman"/>
          <w:color w:val="000000"/>
          <w:kern w:val="2"/>
          <w:szCs w:val="24"/>
        </w:rPr>
        <w:t>ddd</w:t>
      </w:r>
      <w:proofErr w:type="spellEnd"/>
      <w:r w:rsidRPr="00654CB9">
        <w:rPr>
          <w:rFonts w:eastAsia="DengXian" w:cs="Times New Roman"/>
          <w:color w:val="000000"/>
          <w:kern w:val="2"/>
          <w:szCs w:val="24"/>
        </w:rPr>
        <w:t xml:space="preserve">,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8.2, 7.5, 0.8 Hz, 1H), 4.71 (t,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5.2 Hz, 1H), 2.97 (dt,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16.5, 5.4 Hz, 1H), 2.87 – 2.77 (m, 1H), 2.34 – 2.24 (m, 1H), 2.16 – 1.95 (m, 3H). </w:t>
      </w:r>
      <w:r w:rsidRPr="00654CB9">
        <w:rPr>
          <w:rFonts w:eastAsia="DengXian" w:cs="Times New Roman"/>
          <w:color w:val="000000"/>
          <w:kern w:val="2"/>
          <w:szCs w:val="24"/>
          <w:vertAlign w:val="superscript"/>
        </w:rPr>
        <w:t>13</w:t>
      </w:r>
      <w:r w:rsidRPr="00654CB9">
        <w:rPr>
          <w:rFonts w:eastAsia="DengXian" w:cs="Times New Roman"/>
          <w:color w:val="000000"/>
          <w:kern w:val="2"/>
          <w:szCs w:val="24"/>
        </w:rPr>
        <w:t>C NMR (151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139.2, 131.6, 126.3 (q,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270.6 Hz), 123.2, 122.7, 122.3 (q,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65.5, 32.7 Hz), 118.5 (q,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6.3 Hz), 117.0, 113.6, 46.0, 28.71 23.2, 20.3.</w:t>
      </w:r>
    </w:p>
    <w:p w14:paraId="0C8840C9" w14:textId="77777777" w:rsidR="00654CB9" w:rsidRPr="00654CB9" w:rsidRDefault="00654CB9" w:rsidP="00654CB9">
      <w:pPr>
        <w:spacing w:after="0"/>
        <w:ind w:firstLine="720"/>
        <w:rPr>
          <w:rFonts w:eastAsia="DengXian" w:cs="Times New Roman"/>
          <w:color w:val="000000"/>
          <w:kern w:val="2"/>
          <w:szCs w:val="24"/>
        </w:rPr>
      </w:pPr>
      <w:r w:rsidRPr="00654CB9">
        <w:rPr>
          <w:rFonts w:eastAsia="DengXian" w:cs="Times New Roman"/>
          <w:b/>
          <w:color w:val="000000"/>
          <w:kern w:val="2"/>
          <w:szCs w:val="24"/>
        </w:rPr>
        <w:t>7-fluoro-2,3,4,9-tetrahydro-1H-carbazol-1-amine (</w:t>
      </w:r>
      <w:r w:rsidRPr="00654CB9">
        <w:rPr>
          <w:rFonts w:eastAsia="Times New Roman" w:cs="Times New Roman"/>
          <w:b/>
          <w:bCs/>
          <w:szCs w:val="24"/>
        </w:rPr>
        <w:t>2.</w:t>
      </w:r>
      <w:r w:rsidRPr="00654CB9">
        <w:rPr>
          <w:rFonts w:eastAsia="DengXian" w:cs="Times New Roman"/>
          <w:b/>
          <w:color w:val="000000"/>
          <w:kern w:val="2"/>
          <w:szCs w:val="24"/>
        </w:rPr>
        <w:t>16):</w:t>
      </w:r>
      <w:r w:rsidRPr="00654CB9">
        <w:rPr>
          <w:rFonts w:eastAsia="DengXian" w:cs="Times New Roman"/>
          <w:color w:val="000000"/>
          <w:kern w:val="2"/>
          <w:szCs w:val="24"/>
        </w:rPr>
        <w:t xml:space="preserve"> Yield 39%, white amorphous solid. </w:t>
      </w:r>
      <w:r w:rsidRPr="00654CB9">
        <w:rPr>
          <w:rFonts w:eastAsia="DengXian" w:cs="Times New Roman"/>
          <w:color w:val="000000"/>
          <w:kern w:val="2"/>
          <w:szCs w:val="24"/>
          <w:vertAlign w:val="superscript"/>
        </w:rPr>
        <w:t>1</w:t>
      </w:r>
      <w:r w:rsidRPr="00654CB9">
        <w:rPr>
          <w:rFonts w:eastAsia="DengXian" w:cs="Times New Roman"/>
          <w:color w:val="000000"/>
          <w:kern w:val="2"/>
          <w:szCs w:val="24"/>
        </w:rPr>
        <w:t>H NMR (500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7.45 (dd,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8.6, 5.3 Hz, 1H), 7.11 (dd,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9.9, 2.3 Hz, 1H), 6.88 – 6.79 (m, 1H), 4.63 (t,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5.1 Hz, 1H), 2.84 (dt,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16.0, 5.3 Hz, 1H), 2.77 – 2.66 (m, 1H), 2.33 – 2.22 (m, 1H), 2.15 – 1.93 (m, 3H). </w:t>
      </w:r>
      <w:r w:rsidRPr="00654CB9">
        <w:rPr>
          <w:rFonts w:eastAsia="DengXian" w:cs="Times New Roman"/>
          <w:color w:val="000000"/>
          <w:kern w:val="2"/>
          <w:szCs w:val="24"/>
          <w:vertAlign w:val="superscript"/>
        </w:rPr>
        <w:t>13</w:t>
      </w:r>
      <w:r w:rsidRPr="00654CB9">
        <w:rPr>
          <w:rFonts w:eastAsia="DengXian" w:cs="Times New Roman"/>
          <w:color w:val="000000"/>
          <w:kern w:val="2"/>
          <w:szCs w:val="24"/>
        </w:rPr>
        <w:t>C NMR (126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161.7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236.8 Hz), 138.3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12.6 Hz), 129.5, 124.6, 120.7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10.4 Hz), 115.3, 108.9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25.0 Hz), 98.5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26.3 Hz), 45.9, 29.3, 21.4, 20.2. </w:t>
      </w:r>
    </w:p>
    <w:p w14:paraId="622A114B" w14:textId="77777777" w:rsidR="00654CB9" w:rsidRPr="00654CB9" w:rsidRDefault="00654CB9" w:rsidP="00654CB9">
      <w:pPr>
        <w:spacing w:after="0"/>
        <w:ind w:firstLine="720"/>
        <w:rPr>
          <w:rFonts w:eastAsia="DengXian" w:cs="Times New Roman"/>
          <w:color w:val="000000"/>
          <w:kern w:val="2"/>
          <w:szCs w:val="24"/>
        </w:rPr>
      </w:pPr>
      <w:r w:rsidRPr="00654CB9">
        <w:rPr>
          <w:rFonts w:eastAsia="DengXian" w:cs="Times New Roman"/>
          <w:b/>
          <w:color w:val="000000"/>
          <w:kern w:val="2"/>
          <w:szCs w:val="24"/>
        </w:rPr>
        <w:t>7-(trifluoromethyl)-2,3,4,9-tetrahydro-1H-carbazol-1-amine (</w:t>
      </w:r>
      <w:r w:rsidRPr="00654CB9">
        <w:rPr>
          <w:rFonts w:eastAsia="Times New Roman" w:cs="Times New Roman"/>
          <w:b/>
          <w:bCs/>
          <w:szCs w:val="24"/>
        </w:rPr>
        <w:t>2.</w:t>
      </w:r>
      <w:r w:rsidRPr="00654CB9">
        <w:rPr>
          <w:rFonts w:eastAsia="DengXian" w:cs="Times New Roman"/>
          <w:b/>
          <w:color w:val="000000"/>
          <w:kern w:val="2"/>
          <w:szCs w:val="24"/>
        </w:rPr>
        <w:t>17):</w:t>
      </w:r>
      <w:r w:rsidRPr="00654CB9">
        <w:rPr>
          <w:rFonts w:eastAsia="DengXian" w:cs="Times New Roman"/>
          <w:color w:val="000000"/>
          <w:kern w:val="2"/>
          <w:szCs w:val="24"/>
        </w:rPr>
        <w:t xml:space="preserve"> Yield 85%, white amorphous solid. </w:t>
      </w:r>
      <w:r w:rsidRPr="00654CB9">
        <w:rPr>
          <w:rFonts w:eastAsia="DengXian" w:cs="Times New Roman"/>
          <w:color w:val="000000"/>
          <w:kern w:val="2"/>
          <w:szCs w:val="24"/>
          <w:vertAlign w:val="superscript"/>
        </w:rPr>
        <w:t>1</w:t>
      </w:r>
      <w:r w:rsidRPr="00654CB9">
        <w:rPr>
          <w:rFonts w:eastAsia="DengXian" w:cs="Times New Roman"/>
          <w:color w:val="000000"/>
          <w:kern w:val="2"/>
          <w:szCs w:val="24"/>
        </w:rPr>
        <w:t>H NMR (600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7.74 – 7.70 (m, 1H), 7.64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8.4 Hz, 1H), 7.29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8.3 Hz, 1H), 4.68 – 4.63 (m, 1H), 2.90 – 2.83 (m, 1H), 2.76 (dt,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15.3, 6.8 Hz, 1H), 2.33 – 2.24 (m, 1H), 2.14 – 1.95 (m, 3H). </w:t>
      </w:r>
      <w:r w:rsidRPr="00654CB9">
        <w:rPr>
          <w:rFonts w:eastAsia="DengXian" w:cs="Times New Roman"/>
          <w:color w:val="000000"/>
          <w:kern w:val="2"/>
          <w:szCs w:val="24"/>
          <w:vertAlign w:val="superscript"/>
        </w:rPr>
        <w:t>13</w:t>
      </w:r>
      <w:r w:rsidRPr="00654CB9">
        <w:rPr>
          <w:rFonts w:eastAsia="DengXian" w:cs="Times New Roman"/>
          <w:color w:val="000000"/>
          <w:kern w:val="2"/>
          <w:szCs w:val="24"/>
        </w:rPr>
        <w:t>C NMR (151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137.1, 132.2, 130.2, 126.7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270.9 Hz), 125.8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32.7 Hz), 120.4, 116.8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3.9 Hz), 115.4, 110.0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4.7 Hz), 45.8, 29.2, 21.3, 20.1. </w:t>
      </w:r>
    </w:p>
    <w:p w14:paraId="02E665E2" w14:textId="77777777" w:rsidR="00654CB9" w:rsidRPr="00654CB9" w:rsidRDefault="00654CB9" w:rsidP="00654CB9">
      <w:pPr>
        <w:spacing w:after="0"/>
        <w:ind w:firstLine="720"/>
        <w:rPr>
          <w:rFonts w:eastAsia="DengXian" w:cs="Times New Roman"/>
          <w:color w:val="000000"/>
          <w:kern w:val="2"/>
          <w:szCs w:val="24"/>
        </w:rPr>
      </w:pPr>
      <w:r w:rsidRPr="00654CB9">
        <w:rPr>
          <w:rFonts w:eastAsia="DengXian" w:cs="Times New Roman"/>
          <w:b/>
          <w:color w:val="000000"/>
          <w:kern w:val="2"/>
          <w:szCs w:val="24"/>
        </w:rPr>
        <w:lastRenderedPageBreak/>
        <w:t>8-fluoro-2,3,4,9-tetrahydro-1H-carbazol-1-amine (</w:t>
      </w:r>
      <w:r w:rsidRPr="00654CB9">
        <w:rPr>
          <w:rFonts w:eastAsia="Times New Roman" w:cs="Times New Roman"/>
          <w:b/>
          <w:bCs/>
          <w:szCs w:val="24"/>
        </w:rPr>
        <w:t>2.</w:t>
      </w:r>
      <w:r w:rsidRPr="00654CB9">
        <w:rPr>
          <w:rFonts w:eastAsia="DengXian" w:cs="Times New Roman"/>
          <w:b/>
          <w:color w:val="000000"/>
          <w:kern w:val="2"/>
          <w:szCs w:val="24"/>
        </w:rPr>
        <w:t>18):</w:t>
      </w:r>
      <w:r w:rsidRPr="00654CB9">
        <w:rPr>
          <w:rFonts w:eastAsia="DengXian" w:cs="Times New Roman"/>
          <w:color w:val="000000"/>
          <w:kern w:val="2"/>
          <w:szCs w:val="24"/>
        </w:rPr>
        <w:t xml:space="preserve"> Yield 55%, white amorphous solid. </w:t>
      </w:r>
      <w:r w:rsidRPr="00654CB9">
        <w:rPr>
          <w:rFonts w:eastAsia="DengXian" w:cs="Times New Roman"/>
          <w:color w:val="000000"/>
          <w:kern w:val="2"/>
          <w:szCs w:val="24"/>
          <w:vertAlign w:val="superscript"/>
        </w:rPr>
        <w:t>1</w:t>
      </w:r>
      <w:r w:rsidRPr="00654CB9">
        <w:rPr>
          <w:rFonts w:eastAsia="DengXian" w:cs="Times New Roman"/>
          <w:color w:val="000000"/>
          <w:kern w:val="2"/>
          <w:szCs w:val="24"/>
        </w:rPr>
        <w:t>H NMR (500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7.34 – 7.28 (m, 1H), 7.01 (td,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7.9, 4.7 Hz, 1H), 6.96 – 6.88 (m, 1H), 4.67 (t,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5.2 Hz, 1H), 2.91 – 2.81 (m, 1H), 2.81 – 2.70 (m, 1H), 2.37 – 2.25 (m, 1H), 2.16 – 1.95 (m, 3H). </w:t>
      </w:r>
      <w:r w:rsidRPr="00654CB9">
        <w:rPr>
          <w:rFonts w:eastAsia="DengXian" w:cs="Times New Roman"/>
          <w:color w:val="000000"/>
          <w:kern w:val="2"/>
          <w:szCs w:val="24"/>
          <w:vertAlign w:val="superscript"/>
        </w:rPr>
        <w:t>13</w:t>
      </w:r>
      <w:r w:rsidRPr="00654CB9">
        <w:rPr>
          <w:rFonts w:eastAsia="DengXian" w:cs="Times New Roman"/>
          <w:color w:val="000000"/>
          <w:kern w:val="2"/>
          <w:szCs w:val="24"/>
        </w:rPr>
        <w:t>C NMR (126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151.0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243.2 Hz), 131.7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5.5 Hz), 130.2, 126.2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13.3 Hz), 120.8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6.0 Hz), 116.0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2.4 Hz), 115.8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3.4 Hz), 108.5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16.3 Hz), 46.0, 29.3, 21.5, 20.3. </w:t>
      </w:r>
    </w:p>
    <w:p w14:paraId="5BDF3756" w14:textId="77777777" w:rsidR="00654CB9" w:rsidRPr="00654CB9" w:rsidRDefault="00654CB9" w:rsidP="00654CB9">
      <w:pPr>
        <w:spacing w:after="0"/>
        <w:ind w:firstLine="720"/>
        <w:rPr>
          <w:rFonts w:eastAsia="DengXian" w:cs="Times New Roman"/>
          <w:color w:val="000000"/>
          <w:kern w:val="2"/>
          <w:szCs w:val="24"/>
        </w:rPr>
      </w:pPr>
      <w:r w:rsidRPr="00654CB9">
        <w:rPr>
          <w:rFonts w:eastAsia="DengXian" w:cs="Times New Roman"/>
          <w:b/>
          <w:color w:val="000000"/>
          <w:kern w:val="2"/>
          <w:szCs w:val="24"/>
        </w:rPr>
        <w:t>8-(trifluoromethyl)-2,3,4,9-tetrahydro-1H-carbazol-1-amine (</w:t>
      </w:r>
      <w:r w:rsidRPr="00654CB9">
        <w:rPr>
          <w:rFonts w:eastAsia="Times New Roman" w:cs="Times New Roman"/>
          <w:b/>
          <w:bCs/>
          <w:szCs w:val="24"/>
        </w:rPr>
        <w:t>2.</w:t>
      </w:r>
      <w:r w:rsidRPr="00654CB9">
        <w:rPr>
          <w:rFonts w:eastAsia="DengXian" w:cs="Times New Roman"/>
          <w:b/>
          <w:color w:val="000000"/>
          <w:kern w:val="2"/>
          <w:szCs w:val="24"/>
        </w:rPr>
        <w:t>19):</w:t>
      </w:r>
      <w:r w:rsidRPr="00654CB9">
        <w:rPr>
          <w:rFonts w:eastAsia="DengXian" w:cs="Times New Roman"/>
          <w:color w:val="000000"/>
          <w:kern w:val="2"/>
          <w:szCs w:val="24"/>
        </w:rPr>
        <w:t xml:space="preserve"> Yield 99%, yellow amorphous solid. </w:t>
      </w:r>
      <w:r w:rsidRPr="00654CB9">
        <w:rPr>
          <w:rFonts w:eastAsia="DengXian" w:cs="Times New Roman"/>
          <w:color w:val="000000"/>
          <w:kern w:val="2"/>
          <w:szCs w:val="24"/>
          <w:vertAlign w:val="superscript"/>
        </w:rPr>
        <w:t>1</w:t>
      </w:r>
      <w:r w:rsidRPr="00654CB9">
        <w:rPr>
          <w:rFonts w:eastAsia="DengXian" w:cs="Times New Roman"/>
          <w:color w:val="000000"/>
          <w:kern w:val="2"/>
          <w:szCs w:val="24"/>
        </w:rPr>
        <w:t>H NMR (400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7.55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7.8 Hz, 1H), 7.29 (d,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7.5 Hz, 1H), 7.01 (t,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7.7 Hz, 1H), 4.03 (t, 1H), 2.61 (dt,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9.6, 3.5 Hz, 2H), 2.17 – 2.04 (m, 1H), 2.02 – 1.86 (m, 1H), 1.80 – 1.58 (m, 2H). </w:t>
      </w:r>
      <w:r w:rsidRPr="00654CB9">
        <w:rPr>
          <w:rFonts w:eastAsia="DengXian" w:cs="Times New Roman"/>
          <w:color w:val="000000"/>
          <w:kern w:val="2"/>
          <w:szCs w:val="24"/>
          <w:vertAlign w:val="superscript"/>
        </w:rPr>
        <w:t>13</w:t>
      </w:r>
      <w:r w:rsidRPr="00654CB9">
        <w:rPr>
          <w:rFonts w:eastAsia="DengXian" w:cs="Times New Roman"/>
          <w:color w:val="000000"/>
          <w:kern w:val="2"/>
          <w:szCs w:val="24"/>
        </w:rPr>
        <w:t>C NMR (101 MHz, Methanol-</w:t>
      </w:r>
      <w:r w:rsidRPr="00654CB9">
        <w:rPr>
          <w:rFonts w:eastAsia="DengXian" w:cs="Times New Roman"/>
          <w:i/>
          <w:iCs/>
          <w:color w:val="000000"/>
          <w:kern w:val="2"/>
          <w:szCs w:val="24"/>
        </w:rPr>
        <w:t>d</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δ 139.5, 132.8, 130.3, 126.6 (q,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270.7 Hz), 123.4, 119.5 (q,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4.8 Hz), 119.0, 113.9 (q, </w:t>
      </w:r>
      <w:r w:rsidRPr="00654CB9">
        <w:rPr>
          <w:rFonts w:eastAsia="DengXian" w:cs="Times New Roman"/>
          <w:i/>
          <w:iCs/>
          <w:color w:val="000000"/>
          <w:kern w:val="2"/>
          <w:szCs w:val="24"/>
        </w:rPr>
        <w:t>J</w:t>
      </w:r>
      <w:r w:rsidRPr="00654CB9">
        <w:rPr>
          <w:rFonts w:eastAsia="DengXian" w:cs="Times New Roman"/>
          <w:color w:val="000000"/>
          <w:kern w:val="2"/>
          <w:szCs w:val="24"/>
        </w:rPr>
        <w:t xml:space="preserve"> = 32.5 Hz), 112.0, 46.3, 33.8, 22.1, 21.8. </w:t>
      </w:r>
    </w:p>
    <w:p w14:paraId="1D5ACCD7" w14:textId="77777777" w:rsidR="00654CB9" w:rsidRPr="00654CB9" w:rsidRDefault="00654CB9" w:rsidP="00654CB9">
      <w:pPr>
        <w:spacing w:after="0"/>
        <w:rPr>
          <w:rFonts w:eastAsia="DengXian" w:cs="Times New Roman"/>
          <w:b/>
          <w:color w:val="000000"/>
          <w:kern w:val="2"/>
          <w:szCs w:val="24"/>
        </w:rPr>
      </w:pPr>
      <w:r w:rsidRPr="00654CB9">
        <w:rPr>
          <w:rFonts w:eastAsia="DengXian" w:cs="Times New Roman"/>
          <w:b/>
          <w:noProof/>
          <w:color w:val="000000"/>
          <w:kern w:val="2"/>
          <w:szCs w:val="24"/>
        </w:rPr>
        <mc:AlternateContent>
          <mc:Choice Requires="wps">
            <w:drawing>
              <wp:inline distT="0" distB="0" distL="0" distR="0" wp14:anchorId="03B17EAF" wp14:editId="4B55BF0A">
                <wp:extent cx="5943600" cy="1453902"/>
                <wp:effectExtent l="0" t="0" r="19050" b="1333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53902"/>
                        </a:xfrm>
                        <a:prstGeom prst="rect">
                          <a:avLst/>
                        </a:prstGeom>
                        <a:solidFill>
                          <a:srgbClr val="FFFFFF"/>
                        </a:solidFill>
                        <a:ln w="9525">
                          <a:solidFill>
                            <a:srgbClr val="000000"/>
                          </a:solidFill>
                          <a:miter lim="800000"/>
                          <a:headEnd/>
                          <a:tailEnd/>
                        </a:ln>
                      </wps:spPr>
                      <wps:txbx>
                        <w:txbxContent>
                          <w:p w14:paraId="30645C87" w14:textId="5554ECAF" w:rsidR="00654CB9" w:rsidRDefault="00666BE3" w:rsidP="00654CB9">
                            <w:pPr>
                              <w:keepNext/>
                              <w:spacing w:after="0" w:line="240" w:lineRule="auto"/>
                            </w:pPr>
                            <w:r w:rsidRPr="00DC18DD">
                              <w:rPr>
                                <w:rFonts w:asciiTheme="minorHAnsi" w:hAnsiTheme="minorHAnsi"/>
                                <w:szCs w:val="24"/>
                              </w:rPr>
                              <w:object w:dxaOrig="9582" w:dyaOrig="1137" w14:anchorId="1F057BA0">
                                <v:shape id="_x0000_i1038" type="#_x0000_t75" style="width:458.65pt;height:53.3pt" o:ole="">
                                  <v:imagedata r:id="rId112" o:title=""/>
                                </v:shape>
                                <o:OLEObject Type="Embed" ProgID="ChemDraw.Document.6.0" ShapeID="_x0000_i1038" DrawAspect="Content" ObjectID="_1713353476" r:id="rId130"/>
                              </w:object>
                            </w:r>
                          </w:p>
                          <w:p w14:paraId="153E71C0" w14:textId="5C46A3C6" w:rsidR="00654CB9" w:rsidRDefault="00654CB9" w:rsidP="00DF51F5">
                            <w:pPr>
                              <w:pStyle w:val="Caption"/>
                            </w:pPr>
                            <w:r>
                              <w:t xml:space="preserve">Scheme </w:t>
                            </w:r>
                            <w:r w:rsidRPr="00B1411C">
                              <w:rPr>
                                <w:rFonts w:cs="Times New Roman"/>
                                <w:szCs w:val="24"/>
                              </w:rPr>
                              <w:t>2.</w:t>
                            </w:r>
                            <w:fldSimple w:instr=" SEQ Scheme \* ARABIC ">
                              <w:r w:rsidR="00AA5AAC">
                                <w:rPr>
                                  <w:noProof/>
                                </w:rPr>
                                <w:t>5</w:t>
                              </w:r>
                            </w:fldSimple>
                            <w:r>
                              <w:t xml:space="preserve">. </w:t>
                            </w:r>
                          </w:p>
                          <w:p w14:paraId="179E89E6" w14:textId="77777777" w:rsidR="00654CB9" w:rsidRPr="00666BE3" w:rsidRDefault="00654CB9" w:rsidP="00654CB9">
                            <w:pPr>
                              <w:spacing w:after="0" w:line="240" w:lineRule="auto"/>
                              <w:contextualSpacing/>
                              <w:rPr>
                                <w:rFonts w:cs="Times New Roman"/>
                                <w:i/>
                                <w:iCs/>
                                <w:color w:val="000000"/>
                                <w:szCs w:val="24"/>
                                <w:shd w:val="clear" w:color="auto" w:fill="FFFFFF"/>
                              </w:rPr>
                            </w:pPr>
                            <w:r w:rsidRPr="00666BE3">
                              <w:rPr>
                                <w:rStyle w:val="Emphasis"/>
                                <w:rFonts w:cs="Times New Roman"/>
                                <w:i w:val="0"/>
                                <w:iCs w:val="0"/>
                                <w:color w:val="000000"/>
                                <w:szCs w:val="24"/>
                                <w:shd w:val="clear" w:color="auto" w:fill="FFFFFF"/>
                              </w:rPr>
                              <w:t>Reagents and conditions: (a) t-</w:t>
                            </w:r>
                            <w:proofErr w:type="spellStart"/>
                            <w:r w:rsidRPr="00666BE3">
                              <w:rPr>
                                <w:rStyle w:val="Emphasis"/>
                                <w:rFonts w:cs="Times New Roman"/>
                                <w:i w:val="0"/>
                                <w:iCs w:val="0"/>
                                <w:color w:val="000000"/>
                                <w:szCs w:val="24"/>
                                <w:shd w:val="clear" w:color="auto" w:fill="FFFFFF"/>
                              </w:rPr>
                              <w:t>butanesulfinamide</w:t>
                            </w:r>
                            <w:proofErr w:type="spellEnd"/>
                            <w:r w:rsidRPr="00666BE3">
                              <w:rPr>
                                <w:rStyle w:val="Emphasis"/>
                                <w:rFonts w:cs="Times New Roman"/>
                                <w:i w:val="0"/>
                                <w:iCs w:val="0"/>
                                <w:color w:val="000000"/>
                                <w:szCs w:val="24"/>
                                <w:shd w:val="clear" w:color="auto" w:fill="FFFFFF"/>
                              </w:rPr>
                              <w:t xml:space="preserve">, </w:t>
                            </w:r>
                            <w:proofErr w:type="spellStart"/>
                            <w:proofErr w:type="gramStart"/>
                            <w:r w:rsidRPr="00666BE3">
                              <w:rPr>
                                <w:rStyle w:val="Emphasis"/>
                                <w:rFonts w:cs="Times New Roman"/>
                                <w:i w:val="0"/>
                                <w:iCs w:val="0"/>
                                <w:color w:val="000000"/>
                                <w:szCs w:val="24"/>
                                <w:shd w:val="clear" w:color="auto" w:fill="FFFFFF"/>
                              </w:rPr>
                              <w:t>Ti</w:t>
                            </w:r>
                            <w:proofErr w:type="spellEnd"/>
                            <w:r w:rsidRPr="00666BE3">
                              <w:rPr>
                                <w:rStyle w:val="Emphasis"/>
                                <w:rFonts w:cs="Times New Roman"/>
                                <w:i w:val="0"/>
                                <w:iCs w:val="0"/>
                                <w:color w:val="000000"/>
                                <w:szCs w:val="24"/>
                                <w:shd w:val="clear" w:color="auto" w:fill="FFFFFF"/>
                              </w:rPr>
                              <w:t>(</w:t>
                            </w:r>
                            <w:proofErr w:type="spellStart"/>
                            <w:proofErr w:type="gramEnd"/>
                            <w:r w:rsidRPr="00666BE3">
                              <w:rPr>
                                <w:rStyle w:val="Emphasis"/>
                                <w:rFonts w:cs="Times New Roman"/>
                                <w:i w:val="0"/>
                                <w:iCs w:val="0"/>
                                <w:color w:val="000000"/>
                                <w:szCs w:val="24"/>
                                <w:shd w:val="clear" w:color="auto" w:fill="FFFFFF"/>
                              </w:rPr>
                              <w:t>OEt</w:t>
                            </w:r>
                            <w:proofErr w:type="spellEnd"/>
                            <w:r w:rsidRPr="00666BE3">
                              <w:rPr>
                                <w:rStyle w:val="Emphasis"/>
                                <w:rFonts w:cs="Times New Roman"/>
                                <w:i w:val="0"/>
                                <w:iCs w:val="0"/>
                                <w:color w:val="000000"/>
                                <w:szCs w:val="24"/>
                                <w:shd w:val="clear" w:color="auto" w:fill="FFFFFF"/>
                              </w:rPr>
                              <w:t>)</w:t>
                            </w:r>
                            <w:r w:rsidRPr="00666BE3">
                              <w:rPr>
                                <w:rStyle w:val="Emphasis"/>
                                <w:rFonts w:cs="Times New Roman"/>
                                <w:i w:val="0"/>
                                <w:iCs w:val="0"/>
                                <w:color w:val="000000"/>
                                <w:szCs w:val="24"/>
                                <w:shd w:val="clear" w:color="auto" w:fill="FFFFFF"/>
                                <w:vertAlign w:val="subscript"/>
                              </w:rPr>
                              <w:t>4</w:t>
                            </w:r>
                            <w:r w:rsidRPr="00666BE3">
                              <w:rPr>
                                <w:rStyle w:val="Emphasis"/>
                                <w:rFonts w:cs="Times New Roman"/>
                                <w:i w:val="0"/>
                                <w:iCs w:val="0"/>
                                <w:color w:val="000000"/>
                                <w:szCs w:val="24"/>
                                <w:shd w:val="clear" w:color="auto" w:fill="FFFFFF"/>
                              </w:rPr>
                              <w:t>, toluene, reflux, 84%; (b) NaBH</w:t>
                            </w:r>
                            <w:r w:rsidRPr="00666BE3">
                              <w:rPr>
                                <w:rStyle w:val="Emphasis"/>
                                <w:rFonts w:cs="Times New Roman"/>
                                <w:i w:val="0"/>
                                <w:iCs w:val="0"/>
                                <w:color w:val="000000"/>
                                <w:szCs w:val="24"/>
                                <w:shd w:val="clear" w:color="auto" w:fill="FFFFFF"/>
                                <w:vertAlign w:val="subscript"/>
                              </w:rPr>
                              <w:t>4</w:t>
                            </w:r>
                            <w:r w:rsidRPr="00666BE3">
                              <w:rPr>
                                <w:rStyle w:val="Emphasis"/>
                                <w:rFonts w:cs="Times New Roman"/>
                                <w:i w:val="0"/>
                                <w:iCs w:val="0"/>
                                <w:color w:val="000000"/>
                                <w:szCs w:val="24"/>
                                <w:shd w:val="clear" w:color="auto" w:fill="FFFFFF"/>
                              </w:rPr>
                              <w:t xml:space="preserve">, THF, -78 °C; (c) </w:t>
                            </w:r>
                            <w:proofErr w:type="spellStart"/>
                            <w:r w:rsidRPr="00666BE3">
                              <w:rPr>
                                <w:rStyle w:val="Emphasis"/>
                                <w:rFonts w:cs="Times New Roman"/>
                                <w:i w:val="0"/>
                                <w:iCs w:val="0"/>
                                <w:color w:val="000000"/>
                                <w:szCs w:val="24"/>
                                <w:shd w:val="clear" w:color="auto" w:fill="FFFFFF"/>
                              </w:rPr>
                              <w:t>HCl▪dioxane</w:t>
                            </w:r>
                            <w:proofErr w:type="spellEnd"/>
                            <w:r w:rsidRPr="00666BE3">
                              <w:rPr>
                                <w:rStyle w:val="Emphasis"/>
                                <w:rFonts w:cs="Times New Roman"/>
                                <w:i w:val="0"/>
                                <w:iCs w:val="0"/>
                                <w:color w:val="000000"/>
                                <w:szCs w:val="24"/>
                                <w:shd w:val="clear" w:color="auto" w:fill="FFFFFF"/>
                              </w:rPr>
                              <w:t xml:space="preserve">, MeOH, 23 °C 99%. </w:t>
                            </w:r>
                          </w:p>
                        </w:txbxContent>
                      </wps:txbx>
                      <wps:bodyPr rot="0" vert="horz" wrap="square" lIns="91440" tIns="45720" rIns="91440" bIns="45720" anchor="t" anchorCtr="0">
                        <a:noAutofit/>
                      </wps:bodyPr>
                    </wps:wsp>
                  </a:graphicData>
                </a:graphic>
              </wp:inline>
            </w:drawing>
          </mc:Choice>
          <mc:Fallback>
            <w:pict>
              <v:shape w14:anchorId="03B17EAF" id="_x0000_s1059" type="#_x0000_t202" style="width:468pt;height:1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">
                <v:textbox>
                  <w:txbxContent>
                    <w:p w14:paraId="30645C87" w14:textId="5554ECAF" w:rsidR="00654CB9" w:rsidRDefault="00666BE3" w:rsidP="00654CB9">
                      <w:pPr>
                        <w:keepNext/>
                        <w:spacing w:after="0" w:line="240" w:lineRule="auto"/>
                      </w:pPr>
                      <w:r w:rsidRPr="00DC18DD">
                        <w:rPr>
                          <w:rFonts w:asciiTheme="minorHAnsi" w:hAnsiTheme="minorHAnsi"/>
                          <w:szCs w:val="24"/>
                        </w:rPr>
                        <w:object w:dxaOrig="9582" w:dyaOrig="1137" w14:anchorId="1F057BA0">
                          <v:shape id="_x0000_i1038" type="#_x0000_t75" style="width:458.65pt;height:53.3pt" o:ole="">
                            <v:imagedata r:id="rId112" o:title=""/>
                          </v:shape>
                          <o:OLEObject Type="Embed" ProgID="ChemDraw.Document.6.0" ShapeID="_x0000_i1038" DrawAspect="Content" ObjectID="_1713353476" r:id="rId131"/>
                        </w:object>
                      </w:r>
                    </w:p>
                    <w:p w14:paraId="153E71C0" w14:textId="5C46A3C6" w:rsidR="00654CB9" w:rsidRDefault="00654CB9" w:rsidP="00DF51F5">
                      <w:pPr>
                        <w:pStyle w:val="Caption"/>
                      </w:pPr>
                      <w:r>
                        <w:t xml:space="preserve">Scheme </w:t>
                      </w:r>
                      <w:r w:rsidRPr="00B1411C">
                        <w:rPr>
                          <w:rFonts w:cs="Times New Roman"/>
                          <w:szCs w:val="24"/>
                        </w:rPr>
                        <w:t>2.</w:t>
                      </w:r>
                      <w:fldSimple w:instr=" SEQ Scheme \* ARABIC ">
                        <w:r w:rsidR="00AA5AAC">
                          <w:rPr>
                            <w:noProof/>
                          </w:rPr>
                          <w:t>5</w:t>
                        </w:r>
                      </w:fldSimple>
                      <w:r>
                        <w:t xml:space="preserve">. </w:t>
                      </w:r>
                    </w:p>
                    <w:p w14:paraId="179E89E6" w14:textId="77777777" w:rsidR="00654CB9" w:rsidRPr="00666BE3" w:rsidRDefault="00654CB9" w:rsidP="00654CB9">
                      <w:pPr>
                        <w:spacing w:after="0" w:line="240" w:lineRule="auto"/>
                        <w:contextualSpacing/>
                        <w:rPr>
                          <w:rFonts w:cs="Times New Roman"/>
                          <w:i/>
                          <w:iCs/>
                          <w:color w:val="000000"/>
                          <w:szCs w:val="24"/>
                          <w:shd w:val="clear" w:color="auto" w:fill="FFFFFF"/>
                        </w:rPr>
                      </w:pPr>
                      <w:r w:rsidRPr="00666BE3">
                        <w:rPr>
                          <w:rStyle w:val="Emphasis"/>
                          <w:rFonts w:cs="Times New Roman"/>
                          <w:i w:val="0"/>
                          <w:iCs w:val="0"/>
                          <w:color w:val="000000"/>
                          <w:szCs w:val="24"/>
                          <w:shd w:val="clear" w:color="auto" w:fill="FFFFFF"/>
                        </w:rPr>
                        <w:t>Reagents and conditions: (a) t-</w:t>
                      </w:r>
                      <w:proofErr w:type="spellStart"/>
                      <w:r w:rsidRPr="00666BE3">
                        <w:rPr>
                          <w:rStyle w:val="Emphasis"/>
                          <w:rFonts w:cs="Times New Roman"/>
                          <w:i w:val="0"/>
                          <w:iCs w:val="0"/>
                          <w:color w:val="000000"/>
                          <w:szCs w:val="24"/>
                          <w:shd w:val="clear" w:color="auto" w:fill="FFFFFF"/>
                        </w:rPr>
                        <w:t>butanesulfinamide</w:t>
                      </w:r>
                      <w:proofErr w:type="spellEnd"/>
                      <w:r w:rsidRPr="00666BE3">
                        <w:rPr>
                          <w:rStyle w:val="Emphasis"/>
                          <w:rFonts w:cs="Times New Roman"/>
                          <w:i w:val="0"/>
                          <w:iCs w:val="0"/>
                          <w:color w:val="000000"/>
                          <w:szCs w:val="24"/>
                          <w:shd w:val="clear" w:color="auto" w:fill="FFFFFF"/>
                        </w:rPr>
                        <w:t xml:space="preserve">, </w:t>
                      </w:r>
                      <w:proofErr w:type="spellStart"/>
                      <w:proofErr w:type="gramStart"/>
                      <w:r w:rsidRPr="00666BE3">
                        <w:rPr>
                          <w:rStyle w:val="Emphasis"/>
                          <w:rFonts w:cs="Times New Roman"/>
                          <w:i w:val="0"/>
                          <w:iCs w:val="0"/>
                          <w:color w:val="000000"/>
                          <w:szCs w:val="24"/>
                          <w:shd w:val="clear" w:color="auto" w:fill="FFFFFF"/>
                        </w:rPr>
                        <w:t>Ti</w:t>
                      </w:r>
                      <w:proofErr w:type="spellEnd"/>
                      <w:r w:rsidRPr="00666BE3">
                        <w:rPr>
                          <w:rStyle w:val="Emphasis"/>
                          <w:rFonts w:cs="Times New Roman"/>
                          <w:i w:val="0"/>
                          <w:iCs w:val="0"/>
                          <w:color w:val="000000"/>
                          <w:szCs w:val="24"/>
                          <w:shd w:val="clear" w:color="auto" w:fill="FFFFFF"/>
                        </w:rPr>
                        <w:t>(</w:t>
                      </w:r>
                      <w:proofErr w:type="spellStart"/>
                      <w:proofErr w:type="gramEnd"/>
                      <w:r w:rsidRPr="00666BE3">
                        <w:rPr>
                          <w:rStyle w:val="Emphasis"/>
                          <w:rFonts w:cs="Times New Roman"/>
                          <w:i w:val="0"/>
                          <w:iCs w:val="0"/>
                          <w:color w:val="000000"/>
                          <w:szCs w:val="24"/>
                          <w:shd w:val="clear" w:color="auto" w:fill="FFFFFF"/>
                        </w:rPr>
                        <w:t>OEt</w:t>
                      </w:r>
                      <w:proofErr w:type="spellEnd"/>
                      <w:r w:rsidRPr="00666BE3">
                        <w:rPr>
                          <w:rStyle w:val="Emphasis"/>
                          <w:rFonts w:cs="Times New Roman"/>
                          <w:i w:val="0"/>
                          <w:iCs w:val="0"/>
                          <w:color w:val="000000"/>
                          <w:szCs w:val="24"/>
                          <w:shd w:val="clear" w:color="auto" w:fill="FFFFFF"/>
                        </w:rPr>
                        <w:t>)</w:t>
                      </w:r>
                      <w:r w:rsidRPr="00666BE3">
                        <w:rPr>
                          <w:rStyle w:val="Emphasis"/>
                          <w:rFonts w:cs="Times New Roman"/>
                          <w:i w:val="0"/>
                          <w:iCs w:val="0"/>
                          <w:color w:val="000000"/>
                          <w:szCs w:val="24"/>
                          <w:shd w:val="clear" w:color="auto" w:fill="FFFFFF"/>
                          <w:vertAlign w:val="subscript"/>
                        </w:rPr>
                        <w:t>4</w:t>
                      </w:r>
                      <w:r w:rsidRPr="00666BE3">
                        <w:rPr>
                          <w:rStyle w:val="Emphasis"/>
                          <w:rFonts w:cs="Times New Roman"/>
                          <w:i w:val="0"/>
                          <w:iCs w:val="0"/>
                          <w:color w:val="000000"/>
                          <w:szCs w:val="24"/>
                          <w:shd w:val="clear" w:color="auto" w:fill="FFFFFF"/>
                        </w:rPr>
                        <w:t>, toluene, reflux, 84%; (b) NaBH</w:t>
                      </w:r>
                      <w:r w:rsidRPr="00666BE3">
                        <w:rPr>
                          <w:rStyle w:val="Emphasis"/>
                          <w:rFonts w:cs="Times New Roman"/>
                          <w:i w:val="0"/>
                          <w:iCs w:val="0"/>
                          <w:color w:val="000000"/>
                          <w:szCs w:val="24"/>
                          <w:shd w:val="clear" w:color="auto" w:fill="FFFFFF"/>
                          <w:vertAlign w:val="subscript"/>
                        </w:rPr>
                        <w:t>4</w:t>
                      </w:r>
                      <w:r w:rsidRPr="00666BE3">
                        <w:rPr>
                          <w:rStyle w:val="Emphasis"/>
                          <w:rFonts w:cs="Times New Roman"/>
                          <w:i w:val="0"/>
                          <w:iCs w:val="0"/>
                          <w:color w:val="000000"/>
                          <w:szCs w:val="24"/>
                          <w:shd w:val="clear" w:color="auto" w:fill="FFFFFF"/>
                        </w:rPr>
                        <w:t xml:space="preserve">, THF, -78 °C; (c) </w:t>
                      </w:r>
                      <w:proofErr w:type="spellStart"/>
                      <w:r w:rsidRPr="00666BE3">
                        <w:rPr>
                          <w:rStyle w:val="Emphasis"/>
                          <w:rFonts w:cs="Times New Roman"/>
                          <w:i w:val="0"/>
                          <w:iCs w:val="0"/>
                          <w:color w:val="000000"/>
                          <w:szCs w:val="24"/>
                          <w:shd w:val="clear" w:color="auto" w:fill="FFFFFF"/>
                        </w:rPr>
                        <w:t>HCl▪dioxane</w:t>
                      </w:r>
                      <w:proofErr w:type="spellEnd"/>
                      <w:r w:rsidRPr="00666BE3">
                        <w:rPr>
                          <w:rStyle w:val="Emphasis"/>
                          <w:rFonts w:cs="Times New Roman"/>
                          <w:i w:val="0"/>
                          <w:iCs w:val="0"/>
                          <w:color w:val="000000"/>
                          <w:szCs w:val="24"/>
                          <w:shd w:val="clear" w:color="auto" w:fill="FFFFFF"/>
                        </w:rPr>
                        <w:t xml:space="preserve">, MeOH, 23 °C 99%. </w:t>
                      </w:r>
                    </w:p>
                  </w:txbxContent>
                </v:textbox>
                <w10:anchorlock/>
              </v:shape>
            </w:pict>
          </mc:Fallback>
        </mc:AlternateContent>
      </w:r>
    </w:p>
    <w:p w14:paraId="3F71227B" w14:textId="77777777" w:rsidR="00654CB9" w:rsidRPr="00654CB9" w:rsidRDefault="00654CB9" w:rsidP="00654CB9">
      <w:pPr>
        <w:spacing w:after="0"/>
        <w:ind w:firstLine="720"/>
        <w:rPr>
          <w:rFonts w:eastAsia="DengXian" w:cs="Times New Roman"/>
          <w:color w:val="000000"/>
          <w:kern w:val="2"/>
          <w:szCs w:val="24"/>
        </w:rPr>
      </w:pPr>
      <w:r w:rsidRPr="00654CB9">
        <w:rPr>
          <w:rFonts w:eastAsia="DengXian" w:cs="Times New Roman"/>
          <w:b/>
          <w:color w:val="000000"/>
          <w:kern w:val="2"/>
          <w:szCs w:val="24"/>
        </w:rPr>
        <w:t>General procedure to prepare enantiopure amines vii (</w:t>
      </w:r>
      <w:r w:rsidRPr="00654CB9">
        <w:rPr>
          <w:rFonts w:eastAsia="Times New Roman" w:cs="Times New Roman"/>
          <w:b/>
          <w:bCs/>
          <w:szCs w:val="24"/>
        </w:rPr>
        <w:t>2.</w:t>
      </w:r>
      <w:r w:rsidRPr="00654CB9">
        <w:rPr>
          <w:rFonts w:eastAsia="DengXian" w:cs="Times New Roman"/>
          <w:b/>
          <w:color w:val="000000"/>
          <w:kern w:val="2"/>
          <w:szCs w:val="24"/>
        </w:rPr>
        <w:t xml:space="preserve">23, </w:t>
      </w:r>
      <w:r w:rsidRPr="00654CB9">
        <w:rPr>
          <w:rFonts w:eastAsia="Times New Roman" w:cs="Times New Roman"/>
          <w:b/>
          <w:bCs/>
          <w:szCs w:val="24"/>
        </w:rPr>
        <w:t>2.</w:t>
      </w:r>
      <w:r w:rsidRPr="00654CB9">
        <w:rPr>
          <w:rFonts w:eastAsia="DengXian" w:cs="Times New Roman"/>
          <w:b/>
          <w:color w:val="000000"/>
          <w:kern w:val="2"/>
          <w:szCs w:val="24"/>
        </w:rPr>
        <w:t xml:space="preserve">24, and </w:t>
      </w:r>
      <w:r w:rsidRPr="00654CB9">
        <w:rPr>
          <w:rFonts w:eastAsia="Times New Roman" w:cs="Times New Roman"/>
          <w:b/>
          <w:bCs/>
          <w:szCs w:val="24"/>
        </w:rPr>
        <w:t>2.</w:t>
      </w:r>
      <w:r w:rsidRPr="00654CB9">
        <w:rPr>
          <w:rFonts w:eastAsia="DengXian" w:cs="Times New Roman"/>
          <w:b/>
          <w:color w:val="000000"/>
          <w:kern w:val="2"/>
          <w:szCs w:val="24"/>
        </w:rPr>
        <w:t xml:space="preserve">26). </w:t>
      </w:r>
      <w:r w:rsidRPr="00654CB9">
        <w:rPr>
          <w:rFonts w:eastAsia="DengXian" w:cs="Times New Roman"/>
          <w:color w:val="000000"/>
          <w:kern w:val="2"/>
          <w:szCs w:val="24"/>
        </w:rPr>
        <w:t xml:space="preserve">Titanium (IV) ethoxide was added to a stirring mixture of requisite ketone </w:t>
      </w:r>
      <w:r w:rsidRPr="00654CB9">
        <w:rPr>
          <w:rFonts w:eastAsia="DengXian" w:cs="Times New Roman"/>
          <w:b/>
          <w:color w:val="000000"/>
          <w:kern w:val="2"/>
          <w:szCs w:val="24"/>
        </w:rPr>
        <w:t>iii</w:t>
      </w:r>
      <w:r w:rsidRPr="00654CB9">
        <w:rPr>
          <w:rFonts w:eastAsia="DengXian" w:cs="Times New Roman"/>
          <w:color w:val="000000"/>
          <w:kern w:val="2"/>
          <w:szCs w:val="24"/>
        </w:rPr>
        <w:t xml:space="preserve"> (0.5 mmol) and </w:t>
      </w:r>
      <w:r w:rsidRPr="00654CB9">
        <w:rPr>
          <w:rFonts w:eastAsia="DengXian" w:cs="Times New Roman"/>
          <w:i/>
          <w:color w:val="000000"/>
          <w:kern w:val="2"/>
          <w:szCs w:val="24"/>
        </w:rPr>
        <w:t>t</w:t>
      </w:r>
      <w:r w:rsidRPr="00654CB9">
        <w:rPr>
          <w:rFonts w:eastAsia="DengXian" w:cs="Times New Roman"/>
          <w:color w:val="000000"/>
          <w:kern w:val="2"/>
          <w:szCs w:val="24"/>
        </w:rPr>
        <w:t xml:space="preserve">-butyl </w:t>
      </w:r>
      <w:proofErr w:type="spellStart"/>
      <w:r w:rsidRPr="00654CB9">
        <w:rPr>
          <w:rFonts w:eastAsia="DengXian" w:cs="Times New Roman"/>
          <w:color w:val="000000"/>
          <w:kern w:val="2"/>
          <w:szCs w:val="24"/>
        </w:rPr>
        <w:t>sulfinamide</w:t>
      </w:r>
      <w:proofErr w:type="spellEnd"/>
      <w:r w:rsidRPr="00654CB9">
        <w:rPr>
          <w:rFonts w:eastAsia="DengXian" w:cs="Times New Roman"/>
          <w:color w:val="000000"/>
          <w:kern w:val="2"/>
          <w:szCs w:val="24"/>
        </w:rPr>
        <w:t xml:space="preserve"> (0.5 mmol) in 10 mL toluene. The heterogeneous mixture was heated at reflux and stirred for 12 h before cooling to room temperature (23 °C). The reaction was quenched with brine and filtered over celite. The filtrate was extracted with </w:t>
      </w:r>
      <w:proofErr w:type="gramStart"/>
      <w:r w:rsidRPr="00654CB9">
        <w:rPr>
          <w:rFonts w:eastAsia="DengXian" w:cs="Times New Roman"/>
          <w:color w:val="000000"/>
          <w:kern w:val="2"/>
          <w:szCs w:val="24"/>
        </w:rPr>
        <w:t>CH</w:t>
      </w:r>
      <w:r w:rsidRPr="00654CB9">
        <w:rPr>
          <w:rFonts w:eastAsia="DengXian" w:cs="Times New Roman"/>
          <w:color w:val="000000"/>
          <w:kern w:val="2"/>
          <w:szCs w:val="24"/>
          <w:vertAlign w:val="subscript"/>
        </w:rPr>
        <w:t>2</w:t>
      </w:r>
      <w:r w:rsidRPr="00654CB9">
        <w:rPr>
          <w:rFonts w:eastAsia="DengXian" w:cs="Times New Roman"/>
          <w:color w:val="000000"/>
          <w:kern w:val="2"/>
          <w:szCs w:val="24"/>
        </w:rPr>
        <w:t>Cl</w:t>
      </w:r>
      <w:r w:rsidRPr="00654CB9">
        <w:rPr>
          <w:rFonts w:eastAsia="DengXian" w:cs="Times New Roman"/>
          <w:color w:val="000000"/>
          <w:kern w:val="2"/>
          <w:szCs w:val="24"/>
          <w:vertAlign w:val="subscript"/>
        </w:rPr>
        <w:t>2</w:t>
      </w:r>
      <w:proofErr w:type="gramEnd"/>
      <w:r w:rsidRPr="00654CB9">
        <w:rPr>
          <w:rFonts w:eastAsia="DengXian" w:cs="Times New Roman"/>
          <w:color w:val="000000"/>
          <w:kern w:val="2"/>
          <w:szCs w:val="24"/>
        </w:rPr>
        <w:t xml:space="preserve"> and the organics were combined, dried over anhydrous Na</w:t>
      </w:r>
      <w:r w:rsidRPr="00654CB9">
        <w:rPr>
          <w:rFonts w:eastAsia="DengXian" w:cs="Times New Roman"/>
          <w:color w:val="000000"/>
          <w:kern w:val="2"/>
          <w:szCs w:val="24"/>
          <w:vertAlign w:val="subscript"/>
        </w:rPr>
        <w:t>2</w:t>
      </w:r>
      <w:r w:rsidRPr="00654CB9">
        <w:rPr>
          <w:rFonts w:eastAsia="DengXian" w:cs="Times New Roman"/>
          <w:color w:val="000000"/>
          <w:kern w:val="2"/>
          <w:szCs w:val="24"/>
        </w:rPr>
        <w:t>SO</w:t>
      </w:r>
      <w:r w:rsidRPr="00654CB9">
        <w:rPr>
          <w:rFonts w:eastAsia="DengXian" w:cs="Times New Roman"/>
          <w:color w:val="000000"/>
          <w:kern w:val="2"/>
          <w:szCs w:val="24"/>
          <w:vertAlign w:val="subscript"/>
        </w:rPr>
        <w:t>4</w:t>
      </w:r>
      <w:r w:rsidRPr="00654CB9">
        <w:rPr>
          <w:rFonts w:eastAsia="DengXian" w:cs="Times New Roman"/>
          <w:color w:val="000000"/>
          <w:kern w:val="2"/>
          <w:szCs w:val="24"/>
        </w:rPr>
        <w:t>, filtered, and concentrated in vacuo. The crude product was purified by flash column chromatography (SiO</w:t>
      </w:r>
      <w:r w:rsidRPr="00654CB9">
        <w:rPr>
          <w:rFonts w:eastAsia="DengXian" w:cs="Times New Roman"/>
          <w:color w:val="000000"/>
          <w:kern w:val="2"/>
          <w:szCs w:val="24"/>
          <w:vertAlign w:val="subscript"/>
        </w:rPr>
        <w:t>2</w:t>
      </w:r>
      <w:r w:rsidRPr="00654CB9">
        <w:rPr>
          <w:rFonts w:eastAsia="DengXian" w:cs="Times New Roman"/>
          <w:color w:val="000000"/>
          <w:kern w:val="2"/>
          <w:szCs w:val="24"/>
        </w:rPr>
        <w:t xml:space="preserve">) using 10-50% ethyl acetate in hexanes as the eluent, to </w:t>
      </w:r>
      <w:r w:rsidRPr="00654CB9">
        <w:rPr>
          <w:rFonts w:eastAsia="DengXian" w:cs="Times New Roman"/>
          <w:color w:val="000000"/>
          <w:kern w:val="2"/>
          <w:szCs w:val="24"/>
        </w:rPr>
        <w:lastRenderedPageBreak/>
        <w:t xml:space="preserve">afford pure compound </w:t>
      </w:r>
      <w:r w:rsidRPr="00654CB9">
        <w:rPr>
          <w:rFonts w:eastAsia="DengXian" w:cs="Times New Roman"/>
          <w:b/>
          <w:color w:val="000000"/>
          <w:kern w:val="2"/>
          <w:szCs w:val="24"/>
        </w:rPr>
        <w:t>v</w:t>
      </w:r>
      <w:r w:rsidRPr="00654CB9">
        <w:rPr>
          <w:rFonts w:eastAsia="DengXian" w:cs="Times New Roman"/>
          <w:color w:val="000000"/>
          <w:kern w:val="2"/>
          <w:szCs w:val="24"/>
        </w:rPr>
        <w:t xml:space="preserve">. Compound </w:t>
      </w:r>
      <w:r w:rsidRPr="00654CB9">
        <w:rPr>
          <w:rFonts w:eastAsia="DengXian" w:cs="Times New Roman"/>
          <w:b/>
          <w:color w:val="000000"/>
          <w:kern w:val="2"/>
          <w:szCs w:val="24"/>
        </w:rPr>
        <w:t>v</w:t>
      </w:r>
      <w:r w:rsidRPr="00654CB9">
        <w:rPr>
          <w:rFonts w:eastAsia="DengXian" w:cs="Times New Roman"/>
          <w:color w:val="000000"/>
          <w:kern w:val="2"/>
          <w:szCs w:val="24"/>
        </w:rPr>
        <w:t xml:space="preserve"> was dissolved in anhydrous THF under nitrogen atmosphere and cooled to -78 °C. Solid NaBH</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(1.5 mmol) was added, and the mixture was stirred at -78 °C for 4 h, warmed to 0 °C and stirred 8-12 h. The reaction was quenched with saturated aqueous NH</w:t>
      </w:r>
      <w:r w:rsidRPr="00654CB9">
        <w:rPr>
          <w:rFonts w:eastAsia="DengXian" w:cs="Times New Roman"/>
          <w:color w:val="000000"/>
          <w:kern w:val="2"/>
          <w:szCs w:val="24"/>
          <w:vertAlign w:val="subscript"/>
        </w:rPr>
        <w:t>4</w:t>
      </w:r>
      <w:r w:rsidRPr="00654CB9">
        <w:rPr>
          <w:rFonts w:eastAsia="DengXian" w:cs="Times New Roman"/>
          <w:color w:val="000000"/>
          <w:kern w:val="2"/>
          <w:szCs w:val="24"/>
        </w:rPr>
        <w:t>Cl and extracted with CH</w:t>
      </w:r>
      <w:r w:rsidRPr="00654CB9">
        <w:rPr>
          <w:rFonts w:eastAsia="DengXian" w:cs="Times New Roman"/>
          <w:color w:val="000000"/>
          <w:kern w:val="2"/>
          <w:szCs w:val="24"/>
          <w:vertAlign w:val="subscript"/>
        </w:rPr>
        <w:t>2</w:t>
      </w:r>
      <w:r w:rsidRPr="00654CB9">
        <w:rPr>
          <w:rFonts w:eastAsia="DengXian" w:cs="Times New Roman"/>
          <w:color w:val="000000"/>
          <w:kern w:val="2"/>
          <w:szCs w:val="24"/>
        </w:rPr>
        <w:t>Cl</w:t>
      </w:r>
      <w:r w:rsidRPr="00654CB9">
        <w:rPr>
          <w:rFonts w:eastAsia="DengXian" w:cs="Times New Roman"/>
          <w:color w:val="000000"/>
          <w:kern w:val="2"/>
          <w:szCs w:val="24"/>
          <w:vertAlign w:val="subscript"/>
        </w:rPr>
        <w:t>2</w:t>
      </w:r>
      <w:r w:rsidRPr="00654CB9">
        <w:rPr>
          <w:rFonts w:eastAsia="DengXian" w:cs="Times New Roman"/>
          <w:color w:val="000000"/>
          <w:kern w:val="2"/>
          <w:szCs w:val="24"/>
        </w:rPr>
        <w:t>. The organics were combined, dried over anhydrous Na</w:t>
      </w:r>
      <w:r w:rsidRPr="00654CB9">
        <w:rPr>
          <w:rFonts w:eastAsia="DengXian" w:cs="Times New Roman"/>
          <w:color w:val="000000"/>
          <w:kern w:val="2"/>
          <w:szCs w:val="24"/>
          <w:vertAlign w:val="subscript"/>
        </w:rPr>
        <w:t>2</w:t>
      </w:r>
      <w:r w:rsidRPr="00654CB9">
        <w:rPr>
          <w:rFonts w:eastAsia="DengXian" w:cs="Times New Roman"/>
          <w:color w:val="000000"/>
          <w:kern w:val="2"/>
          <w:szCs w:val="24"/>
        </w:rPr>
        <w:t>SO</w:t>
      </w:r>
      <w:r w:rsidRPr="00654CB9">
        <w:rPr>
          <w:rFonts w:eastAsia="DengXian" w:cs="Times New Roman"/>
          <w:color w:val="000000"/>
          <w:kern w:val="2"/>
          <w:szCs w:val="24"/>
          <w:vertAlign w:val="subscript"/>
        </w:rPr>
        <w:t>4</w:t>
      </w:r>
      <w:r w:rsidRPr="00654CB9">
        <w:rPr>
          <w:rFonts w:eastAsia="DengXian" w:cs="Times New Roman"/>
          <w:color w:val="000000"/>
          <w:kern w:val="2"/>
          <w:szCs w:val="24"/>
        </w:rPr>
        <w:t xml:space="preserve">, filtered, and concentrated in vacuo to afford </w:t>
      </w:r>
      <w:r w:rsidRPr="00654CB9">
        <w:rPr>
          <w:rFonts w:eastAsia="DengXian" w:cs="Times New Roman"/>
          <w:b/>
          <w:color w:val="000000"/>
          <w:kern w:val="2"/>
          <w:szCs w:val="24"/>
        </w:rPr>
        <w:t>vi</w:t>
      </w:r>
      <w:r w:rsidRPr="00654CB9">
        <w:rPr>
          <w:rFonts w:eastAsia="DengXian" w:cs="Times New Roman"/>
          <w:color w:val="000000"/>
          <w:kern w:val="2"/>
          <w:szCs w:val="24"/>
        </w:rPr>
        <w:t xml:space="preserve">. To remove Ellman’s chiral </w:t>
      </w:r>
      <w:proofErr w:type="spellStart"/>
      <w:r w:rsidRPr="00654CB9">
        <w:rPr>
          <w:rFonts w:eastAsia="DengXian" w:cs="Times New Roman"/>
          <w:color w:val="000000"/>
          <w:kern w:val="2"/>
          <w:szCs w:val="24"/>
        </w:rPr>
        <w:t>auxillary</w:t>
      </w:r>
      <w:proofErr w:type="spellEnd"/>
      <w:r w:rsidRPr="00654CB9">
        <w:rPr>
          <w:rFonts w:eastAsia="DengXian" w:cs="Times New Roman"/>
          <w:color w:val="000000"/>
          <w:kern w:val="2"/>
          <w:szCs w:val="24"/>
        </w:rPr>
        <w:t xml:space="preserve">, </w:t>
      </w:r>
      <w:r w:rsidRPr="00654CB9">
        <w:rPr>
          <w:rFonts w:eastAsia="DengXian" w:cs="Times New Roman"/>
          <w:b/>
          <w:color w:val="000000"/>
          <w:kern w:val="2"/>
          <w:szCs w:val="24"/>
        </w:rPr>
        <w:t>vi</w:t>
      </w:r>
      <w:r w:rsidRPr="00654CB9">
        <w:rPr>
          <w:rFonts w:eastAsia="DengXian" w:cs="Times New Roman"/>
          <w:color w:val="000000"/>
          <w:kern w:val="2"/>
          <w:szCs w:val="24"/>
        </w:rPr>
        <w:t xml:space="preserve"> was dissolved in 2 mL anhydrous CH</w:t>
      </w:r>
      <w:r w:rsidRPr="00654CB9">
        <w:rPr>
          <w:rFonts w:eastAsia="DengXian" w:cs="Times New Roman"/>
          <w:color w:val="000000"/>
          <w:kern w:val="2"/>
          <w:szCs w:val="24"/>
          <w:vertAlign w:val="subscript"/>
        </w:rPr>
        <w:t>3</w:t>
      </w:r>
      <w:r w:rsidRPr="00654CB9">
        <w:rPr>
          <w:rFonts w:eastAsia="DengXian" w:cs="Times New Roman"/>
          <w:color w:val="000000"/>
          <w:kern w:val="2"/>
          <w:szCs w:val="24"/>
        </w:rPr>
        <w:t>OH and 4 M HCl in dioxane (3.0 mmol) was added at room temperature (23 °C), stirred for 16 h, and the solvent was removed by evaporation under reduced pressure. An aqueous 2 M HCl solution was added to the remaining residue, and the mixture was extracted with ethyl acetate. The aqueous layer was basified with an aqueous buffer solution of NH</w:t>
      </w:r>
      <w:r w:rsidRPr="00654CB9">
        <w:rPr>
          <w:rFonts w:eastAsia="DengXian" w:cs="Times New Roman"/>
          <w:color w:val="000000"/>
          <w:kern w:val="2"/>
          <w:szCs w:val="24"/>
          <w:vertAlign w:val="subscript"/>
        </w:rPr>
        <w:t>3</w:t>
      </w:r>
      <w:r w:rsidRPr="00654CB9">
        <w:rPr>
          <w:rFonts w:eastAsia="DengXian" w:cs="Times New Roman"/>
          <w:color w:val="000000"/>
          <w:kern w:val="2"/>
          <w:szCs w:val="24"/>
        </w:rPr>
        <w:t>/NH</w:t>
      </w:r>
      <w:r w:rsidRPr="00654CB9">
        <w:rPr>
          <w:rFonts w:eastAsia="DengXian" w:cs="Times New Roman"/>
          <w:color w:val="000000"/>
          <w:kern w:val="2"/>
          <w:szCs w:val="24"/>
          <w:vertAlign w:val="subscript"/>
        </w:rPr>
        <w:t>4</w:t>
      </w:r>
      <w:r w:rsidRPr="00654CB9">
        <w:rPr>
          <w:rFonts w:eastAsia="DengXian" w:cs="Times New Roman"/>
          <w:color w:val="000000"/>
          <w:kern w:val="2"/>
          <w:szCs w:val="24"/>
        </w:rPr>
        <w:t>Cl and extracted with CH</w:t>
      </w:r>
      <w:r w:rsidRPr="00654CB9">
        <w:rPr>
          <w:rFonts w:eastAsia="DengXian" w:cs="Times New Roman"/>
          <w:color w:val="000000"/>
          <w:kern w:val="2"/>
          <w:szCs w:val="24"/>
          <w:vertAlign w:val="subscript"/>
        </w:rPr>
        <w:t>2</w:t>
      </w:r>
      <w:r w:rsidRPr="00654CB9">
        <w:rPr>
          <w:rFonts w:eastAsia="DengXian" w:cs="Times New Roman"/>
          <w:color w:val="000000"/>
          <w:kern w:val="2"/>
          <w:szCs w:val="24"/>
        </w:rPr>
        <w:t>Cl</w:t>
      </w:r>
      <w:r w:rsidRPr="00654CB9">
        <w:rPr>
          <w:rFonts w:eastAsia="DengXian" w:cs="Times New Roman"/>
          <w:color w:val="000000"/>
          <w:kern w:val="2"/>
          <w:szCs w:val="24"/>
          <w:vertAlign w:val="subscript"/>
        </w:rPr>
        <w:t>2</w:t>
      </w:r>
      <w:r w:rsidRPr="00654CB9">
        <w:rPr>
          <w:rFonts w:eastAsia="DengXian" w:cs="Times New Roman"/>
          <w:color w:val="000000"/>
          <w:kern w:val="2"/>
          <w:szCs w:val="24"/>
        </w:rPr>
        <w:t xml:space="preserve"> to afford final enantiopure compound </w:t>
      </w:r>
      <w:r w:rsidRPr="00654CB9">
        <w:rPr>
          <w:rFonts w:eastAsia="DengXian" w:cs="Times New Roman"/>
          <w:b/>
          <w:color w:val="000000"/>
          <w:kern w:val="2"/>
          <w:szCs w:val="24"/>
        </w:rPr>
        <w:t>vii</w:t>
      </w:r>
      <w:r w:rsidRPr="00654CB9">
        <w:rPr>
          <w:rFonts w:eastAsia="DengXian" w:cs="Times New Roman"/>
          <w:color w:val="000000"/>
          <w:kern w:val="2"/>
          <w:szCs w:val="24"/>
        </w:rPr>
        <w:t xml:space="preserve">. </w:t>
      </w:r>
    </w:p>
    <w:p w14:paraId="7244A25F" w14:textId="77777777" w:rsidR="00654CB9" w:rsidRPr="00654CB9" w:rsidRDefault="00654CB9" w:rsidP="00654CB9">
      <w:pPr>
        <w:spacing w:after="0"/>
        <w:ind w:firstLine="720"/>
        <w:rPr>
          <w:rFonts w:cs="Times New Roman"/>
          <w:szCs w:val="24"/>
        </w:rPr>
      </w:pPr>
      <w:r w:rsidRPr="00654CB9">
        <w:rPr>
          <w:rFonts w:cs="Times New Roman"/>
          <w:b/>
          <w:szCs w:val="24"/>
        </w:rPr>
        <w:t>(</w:t>
      </w:r>
      <w:r w:rsidRPr="00654CB9">
        <w:rPr>
          <w:rFonts w:cs="Times New Roman"/>
          <w:b/>
          <w:i/>
          <w:szCs w:val="24"/>
        </w:rPr>
        <w:t>R</w:t>
      </w:r>
      <w:r w:rsidRPr="00654CB9">
        <w:rPr>
          <w:rFonts w:cs="Times New Roman"/>
          <w:b/>
          <w:szCs w:val="24"/>
        </w:rPr>
        <w:t>)-6-fluoro-2,3,4,9-tetrahydro-1H-carbazol-1-amine (</w:t>
      </w:r>
      <w:r w:rsidRPr="00654CB9">
        <w:rPr>
          <w:rFonts w:cs="Times New Roman"/>
          <w:b/>
          <w:bCs/>
          <w:szCs w:val="24"/>
        </w:rPr>
        <w:t>2.</w:t>
      </w:r>
      <w:r w:rsidRPr="00654CB9">
        <w:rPr>
          <w:rFonts w:cs="Times New Roman"/>
          <w:b/>
          <w:szCs w:val="24"/>
        </w:rPr>
        <w:t>23):</w:t>
      </w:r>
      <w:r w:rsidRPr="00654CB9">
        <w:rPr>
          <w:rFonts w:cs="Times New Roman"/>
          <w:szCs w:val="24"/>
        </w:rPr>
        <w:t xml:space="preserve"> Yield 26%, white amorphous solid. </w:t>
      </w:r>
      <w:r w:rsidRPr="00654CB9">
        <w:rPr>
          <w:rFonts w:cs="Times New Roman"/>
          <w:szCs w:val="24"/>
          <w:vertAlign w:val="superscript"/>
        </w:rPr>
        <w:t>1</w:t>
      </w:r>
      <w:r w:rsidRPr="00654CB9">
        <w:rPr>
          <w:rFonts w:cs="Times New Roman"/>
          <w:szCs w:val="24"/>
        </w:rPr>
        <w:t>H NMR (400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7.29 – 7.20 (m, 1H), 7.05 (dd, </w:t>
      </w:r>
      <w:r w:rsidRPr="00654CB9">
        <w:rPr>
          <w:rFonts w:cs="Times New Roman"/>
          <w:i/>
          <w:iCs/>
          <w:szCs w:val="24"/>
        </w:rPr>
        <w:t>J</w:t>
      </w:r>
      <w:r w:rsidRPr="00654CB9">
        <w:rPr>
          <w:rFonts w:cs="Times New Roman"/>
          <w:szCs w:val="24"/>
        </w:rPr>
        <w:t xml:space="preserve"> = 9.8, 2.5 Hz, 1H), 6.82 (</w:t>
      </w:r>
      <w:proofErr w:type="spellStart"/>
      <w:r w:rsidRPr="00654CB9">
        <w:rPr>
          <w:rFonts w:cs="Times New Roman"/>
          <w:szCs w:val="24"/>
        </w:rPr>
        <w:t>ddd</w:t>
      </w:r>
      <w:proofErr w:type="spellEnd"/>
      <w:r w:rsidRPr="00654CB9">
        <w:rPr>
          <w:rFonts w:cs="Times New Roman"/>
          <w:szCs w:val="24"/>
        </w:rPr>
        <w:t xml:space="preserve">, </w:t>
      </w:r>
      <w:r w:rsidRPr="00654CB9">
        <w:rPr>
          <w:rFonts w:cs="Times New Roman"/>
          <w:i/>
          <w:iCs/>
          <w:szCs w:val="24"/>
        </w:rPr>
        <w:t>J</w:t>
      </w:r>
      <w:r w:rsidRPr="00654CB9">
        <w:rPr>
          <w:rFonts w:cs="Times New Roman"/>
          <w:szCs w:val="24"/>
        </w:rPr>
        <w:t xml:space="preserve"> = 9.6, 8.7, 2.5 Hz, 1H), 4.10 (dd, </w:t>
      </w:r>
      <w:r w:rsidRPr="00654CB9">
        <w:rPr>
          <w:rFonts w:cs="Times New Roman"/>
          <w:i/>
          <w:iCs/>
          <w:szCs w:val="24"/>
        </w:rPr>
        <w:t>J</w:t>
      </w:r>
      <w:r w:rsidRPr="00654CB9">
        <w:rPr>
          <w:rFonts w:cs="Times New Roman"/>
          <w:szCs w:val="24"/>
        </w:rPr>
        <w:t xml:space="preserve"> = 7.1, 5.5 Hz, 1H), 2.74 – 2.60 (m, 3H), 2.25 – 2.13 (m, 1H), 2.13 – 2.00 (m, 1H), 1.91 – 1.67 (m, 2H). </w:t>
      </w:r>
      <w:r w:rsidRPr="00654CB9">
        <w:rPr>
          <w:rFonts w:cs="Times New Roman"/>
          <w:szCs w:val="24"/>
          <w:vertAlign w:val="superscript"/>
        </w:rPr>
        <w:t>13</w:t>
      </w:r>
      <w:r w:rsidRPr="00654CB9">
        <w:rPr>
          <w:rFonts w:cs="Times New Roman"/>
          <w:szCs w:val="24"/>
        </w:rPr>
        <w:t>C NMR (101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158.9 (d, </w:t>
      </w:r>
      <w:r w:rsidRPr="00654CB9">
        <w:rPr>
          <w:rFonts w:cs="Times New Roman"/>
          <w:i/>
          <w:iCs/>
          <w:szCs w:val="24"/>
        </w:rPr>
        <w:t>J</w:t>
      </w:r>
      <w:r w:rsidRPr="00654CB9">
        <w:rPr>
          <w:rFonts w:cs="Times New Roman"/>
          <w:szCs w:val="24"/>
        </w:rPr>
        <w:t xml:space="preserve"> = 232.0 Hz), 140.0, 134.3, 128.9 (d, </w:t>
      </w:r>
      <w:r w:rsidRPr="00654CB9">
        <w:rPr>
          <w:rFonts w:cs="Times New Roman"/>
          <w:i/>
          <w:iCs/>
          <w:szCs w:val="24"/>
        </w:rPr>
        <w:t>J</w:t>
      </w:r>
      <w:r w:rsidRPr="00654CB9">
        <w:rPr>
          <w:rFonts w:cs="Times New Roman"/>
          <w:szCs w:val="24"/>
        </w:rPr>
        <w:t xml:space="preserve"> = 9.3 Hz), 112.4 (d, </w:t>
      </w:r>
      <w:r w:rsidRPr="00654CB9">
        <w:rPr>
          <w:rFonts w:cs="Times New Roman"/>
          <w:i/>
          <w:iCs/>
          <w:szCs w:val="24"/>
        </w:rPr>
        <w:t>J</w:t>
      </w:r>
      <w:r w:rsidRPr="00654CB9">
        <w:rPr>
          <w:rFonts w:cs="Times New Roman"/>
          <w:szCs w:val="24"/>
        </w:rPr>
        <w:t xml:space="preserve"> = 9.7 Hz), 111.4 (d, </w:t>
      </w:r>
      <w:r w:rsidRPr="00654CB9">
        <w:rPr>
          <w:rFonts w:cs="Times New Roman"/>
          <w:i/>
          <w:iCs/>
          <w:szCs w:val="24"/>
        </w:rPr>
        <w:t>J</w:t>
      </w:r>
      <w:r w:rsidRPr="00654CB9">
        <w:rPr>
          <w:rFonts w:cs="Times New Roman"/>
          <w:szCs w:val="24"/>
        </w:rPr>
        <w:t xml:space="preserve"> = 5.2 Hz), 110.0 (d, </w:t>
      </w:r>
      <w:r w:rsidRPr="00654CB9">
        <w:rPr>
          <w:rFonts w:cs="Times New Roman"/>
          <w:i/>
          <w:iCs/>
          <w:szCs w:val="24"/>
        </w:rPr>
        <w:t>J</w:t>
      </w:r>
      <w:r w:rsidRPr="00654CB9">
        <w:rPr>
          <w:rFonts w:cs="Times New Roman"/>
          <w:szCs w:val="24"/>
        </w:rPr>
        <w:t xml:space="preserve"> = 26.4 Hz), 103.7 (d, </w:t>
      </w:r>
      <w:r w:rsidRPr="00654CB9">
        <w:rPr>
          <w:rFonts w:cs="Times New Roman"/>
          <w:i/>
          <w:iCs/>
          <w:szCs w:val="24"/>
        </w:rPr>
        <w:t>J</w:t>
      </w:r>
      <w:r w:rsidRPr="00654CB9">
        <w:rPr>
          <w:rFonts w:cs="Times New Roman"/>
          <w:szCs w:val="24"/>
        </w:rPr>
        <w:t xml:space="preserve"> = 23.3 Hz), 46.6, 34.1, 22.2, 22.0. [α] = +2.5 (c = 2.0 mg/mL, CH</w:t>
      </w:r>
      <w:r w:rsidRPr="00654CB9">
        <w:rPr>
          <w:rFonts w:cs="Times New Roman"/>
          <w:szCs w:val="24"/>
          <w:vertAlign w:val="subscript"/>
        </w:rPr>
        <w:t>3</w:t>
      </w:r>
      <w:r w:rsidRPr="00654CB9">
        <w:rPr>
          <w:rFonts w:cs="Times New Roman"/>
          <w:szCs w:val="24"/>
        </w:rPr>
        <w:t>OH)</w:t>
      </w:r>
    </w:p>
    <w:p w14:paraId="4E16009C" w14:textId="77777777" w:rsidR="00654CB9" w:rsidRPr="00654CB9" w:rsidRDefault="00654CB9" w:rsidP="00654CB9">
      <w:pPr>
        <w:spacing w:after="0"/>
        <w:ind w:firstLine="720"/>
        <w:rPr>
          <w:rFonts w:cs="Times New Roman"/>
          <w:szCs w:val="24"/>
        </w:rPr>
      </w:pPr>
      <w:r w:rsidRPr="00654CB9">
        <w:rPr>
          <w:rFonts w:cs="Times New Roman"/>
          <w:b/>
          <w:szCs w:val="24"/>
        </w:rPr>
        <w:t>(</w:t>
      </w:r>
      <w:r w:rsidRPr="00654CB9">
        <w:rPr>
          <w:rFonts w:cs="Times New Roman"/>
          <w:b/>
          <w:i/>
          <w:szCs w:val="24"/>
        </w:rPr>
        <w:t>S</w:t>
      </w:r>
      <w:r w:rsidRPr="00654CB9">
        <w:rPr>
          <w:rFonts w:cs="Times New Roman"/>
          <w:b/>
          <w:szCs w:val="24"/>
        </w:rPr>
        <w:t>)-6-fluoro-2,3,4,9-tetrahydro-1H-carbazol-1-amine (</w:t>
      </w:r>
      <w:r w:rsidRPr="00654CB9">
        <w:rPr>
          <w:rFonts w:cs="Times New Roman"/>
          <w:b/>
          <w:bCs/>
          <w:szCs w:val="24"/>
        </w:rPr>
        <w:t>2.</w:t>
      </w:r>
      <w:r w:rsidRPr="00654CB9">
        <w:rPr>
          <w:rFonts w:cs="Times New Roman"/>
          <w:b/>
          <w:szCs w:val="24"/>
        </w:rPr>
        <w:t>24):</w:t>
      </w:r>
      <w:r w:rsidRPr="00654CB9">
        <w:rPr>
          <w:rFonts w:cs="Times New Roman"/>
          <w:szCs w:val="24"/>
        </w:rPr>
        <w:t xml:space="preserve"> Yield 26%, white amorphous solid. </w:t>
      </w:r>
      <w:r w:rsidRPr="00654CB9">
        <w:rPr>
          <w:rFonts w:cs="Times New Roman"/>
          <w:szCs w:val="24"/>
          <w:vertAlign w:val="superscript"/>
        </w:rPr>
        <w:t>1</w:t>
      </w:r>
      <w:r w:rsidRPr="00654CB9">
        <w:rPr>
          <w:rFonts w:cs="Times New Roman"/>
          <w:szCs w:val="24"/>
        </w:rPr>
        <w:t>H NMR (400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7.29 – 7.20 (m, 1H), 7.05 (dd, </w:t>
      </w:r>
      <w:r w:rsidRPr="00654CB9">
        <w:rPr>
          <w:rFonts w:cs="Times New Roman"/>
          <w:i/>
          <w:iCs/>
          <w:szCs w:val="24"/>
        </w:rPr>
        <w:t>J</w:t>
      </w:r>
      <w:r w:rsidRPr="00654CB9">
        <w:rPr>
          <w:rFonts w:cs="Times New Roman"/>
          <w:szCs w:val="24"/>
        </w:rPr>
        <w:t xml:space="preserve"> = 9.8, 2.5 Hz, 1H), 6.82 (</w:t>
      </w:r>
      <w:proofErr w:type="spellStart"/>
      <w:r w:rsidRPr="00654CB9">
        <w:rPr>
          <w:rFonts w:cs="Times New Roman"/>
          <w:szCs w:val="24"/>
        </w:rPr>
        <w:t>ddd</w:t>
      </w:r>
      <w:proofErr w:type="spellEnd"/>
      <w:r w:rsidRPr="00654CB9">
        <w:rPr>
          <w:rFonts w:cs="Times New Roman"/>
          <w:szCs w:val="24"/>
        </w:rPr>
        <w:t xml:space="preserve">, </w:t>
      </w:r>
      <w:r w:rsidRPr="00654CB9">
        <w:rPr>
          <w:rFonts w:cs="Times New Roman"/>
          <w:i/>
          <w:iCs/>
          <w:szCs w:val="24"/>
        </w:rPr>
        <w:t>J</w:t>
      </w:r>
      <w:r w:rsidRPr="00654CB9">
        <w:rPr>
          <w:rFonts w:cs="Times New Roman"/>
          <w:szCs w:val="24"/>
        </w:rPr>
        <w:t xml:space="preserve"> = 9.6, 8.7, 2.5 Hz, 1H), 4.10 (dd, </w:t>
      </w:r>
      <w:r w:rsidRPr="00654CB9">
        <w:rPr>
          <w:rFonts w:cs="Times New Roman"/>
          <w:i/>
          <w:iCs/>
          <w:szCs w:val="24"/>
        </w:rPr>
        <w:t>J</w:t>
      </w:r>
      <w:r w:rsidRPr="00654CB9">
        <w:rPr>
          <w:rFonts w:cs="Times New Roman"/>
          <w:szCs w:val="24"/>
        </w:rPr>
        <w:t xml:space="preserve"> = 7.1, 5.5 Hz, 1H), 2.74 – 2.60 (m, 3H), 2.25 – 2.13 (m, 1H), 2.13 – 2.00 (m, 1H), 1.91 – 1.67 (m, 2H). </w:t>
      </w:r>
      <w:r w:rsidRPr="00654CB9">
        <w:rPr>
          <w:rFonts w:cs="Times New Roman"/>
          <w:szCs w:val="24"/>
          <w:vertAlign w:val="superscript"/>
        </w:rPr>
        <w:t>13</w:t>
      </w:r>
      <w:r w:rsidRPr="00654CB9">
        <w:rPr>
          <w:rFonts w:cs="Times New Roman"/>
          <w:szCs w:val="24"/>
        </w:rPr>
        <w:t>C NMR (101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158.9 (d, </w:t>
      </w:r>
      <w:r w:rsidRPr="00654CB9">
        <w:rPr>
          <w:rFonts w:cs="Times New Roman"/>
          <w:i/>
          <w:iCs/>
          <w:szCs w:val="24"/>
        </w:rPr>
        <w:t>J</w:t>
      </w:r>
      <w:r w:rsidRPr="00654CB9">
        <w:rPr>
          <w:rFonts w:cs="Times New Roman"/>
          <w:szCs w:val="24"/>
        </w:rPr>
        <w:t xml:space="preserve"> = 232.0 Hz), 140.0, 134.3, 128.9 (d, </w:t>
      </w:r>
      <w:r w:rsidRPr="00654CB9">
        <w:rPr>
          <w:rFonts w:cs="Times New Roman"/>
          <w:i/>
          <w:iCs/>
          <w:szCs w:val="24"/>
        </w:rPr>
        <w:t>J</w:t>
      </w:r>
      <w:r w:rsidRPr="00654CB9">
        <w:rPr>
          <w:rFonts w:cs="Times New Roman"/>
          <w:szCs w:val="24"/>
        </w:rPr>
        <w:t xml:space="preserve"> = 9.3 Hz), 112.4 (d, </w:t>
      </w:r>
      <w:r w:rsidRPr="00654CB9">
        <w:rPr>
          <w:rFonts w:cs="Times New Roman"/>
          <w:i/>
          <w:iCs/>
          <w:szCs w:val="24"/>
        </w:rPr>
        <w:t>J</w:t>
      </w:r>
      <w:r w:rsidRPr="00654CB9">
        <w:rPr>
          <w:rFonts w:cs="Times New Roman"/>
          <w:szCs w:val="24"/>
        </w:rPr>
        <w:t xml:space="preserve"> = 9.7 Hz), 111.4 (d, </w:t>
      </w:r>
      <w:r w:rsidRPr="00654CB9">
        <w:rPr>
          <w:rFonts w:cs="Times New Roman"/>
          <w:i/>
          <w:iCs/>
          <w:szCs w:val="24"/>
        </w:rPr>
        <w:t>J</w:t>
      </w:r>
      <w:r w:rsidRPr="00654CB9">
        <w:rPr>
          <w:rFonts w:cs="Times New Roman"/>
          <w:szCs w:val="24"/>
        </w:rPr>
        <w:t xml:space="preserve"> = </w:t>
      </w:r>
      <w:r w:rsidRPr="00654CB9">
        <w:rPr>
          <w:rFonts w:cs="Times New Roman"/>
          <w:szCs w:val="24"/>
        </w:rPr>
        <w:lastRenderedPageBreak/>
        <w:t xml:space="preserve">5.2 Hz), 110.0 (d, </w:t>
      </w:r>
      <w:r w:rsidRPr="00654CB9">
        <w:rPr>
          <w:rFonts w:cs="Times New Roman"/>
          <w:i/>
          <w:iCs/>
          <w:szCs w:val="24"/>
        </w:rPr>
        <w:t>J</w:t>
      </w:r>
      <w:r w:rsidRPr="00654CB9">
        <w:rPr>
          <w:rFonts w:cs="Times New Roman"/>
          <w:szCs w:val="24"/>
        </w:rPr>
        <w:t xml:space="preserve"> = 26.4 Hz), 103.7 (d, </w:t>
      </w:r>
      <w:r w:rsidRPr="00654CB9">
        <w:rPr>
          <w:rFonts w:cs="Times New Roman"/>
          <w:i/>
          <w:iCs/>
          <w:szCs w:val="24"/>
        </w:rPr>
        <w:t>J</w:t>
      </w:r>
      <w:r w:rsidRPr="00654CB9">
        <w:rPr>
          <w:rFonts w:cs="Times New Roman"/>
          <w:szCs w:val="24"/>
        </w:rPr>
        <w:t xml:space="preserve"> = 23.3 Hz), 46.6, 34.1, 22.2, 22.0. [α] = –2.25 (c = 1.33 mg/mL, CH</w:t>
      </w:r>
      <w:r w:rsidRPr="00654CB9">
        <w:rPr>
          <w:rFonts w:cs="Times New Roman"/>
          <w:szCs w:val="24"/>
          <w:vertAlign w:val="subscript"/>
        </w:rPr>
        <w:t>3</w:t>
      </w:r>
      <w:r w:rsidRPr="00654CB9">
        <w:rPr>
          <w:rFonts w:cs="Times New Roman"/>
          <w:szCs w:val="24"/>
        </w:rPr>
        <w:t>OH)</w:t>
      </w:r>
    </w:p>
    <w:p w14:paraId="3D22424E" w14:textId="77777777" w:rsidR="00654CB9" w:rsidRPr="00654CB9" w:rsidRDefault="00654CB9" w:rsidP="00D86FFB">
      <w:pPr>
        <w:spacing w:after="0"/>
        <w:ind w:firstLine="720"/>
        <w:rPr>
          <w:rFonts w:cs="Times New Roman"/>
          <w:szCs w:val="24"/>
        </w:rPr>
      </w:pPr>
      <w:r w:rsidRPr="00654CB9">
        <w:rPr>
          <w:rFonts w:cs="Times New Roman"/>
          <w:b/>
          <w:szCs w:val="24"/>
        </w:rPr>
        <w:t>(</w:t>
      </w:r>
      <w:r w:rsidRPr="00654CB9">
        <w:rPr>
          <w:rFonts w:cs="Times New Roman"/>
          <w:b/>
          <w:i/>
          <w:szCs w:val="24"/>
        </w:rPr>
        <w:t>R</w:t>
      </w:r>
      <w:r w:rsidRPr="00654CB9">
        <w:rPr>
          <w:rFonts w:cs="Times New Roman"/>
          <w:b/>
          <w:szCs w:val="24"/>
        </w:rPr>
        <w:t>)-6,7-difluoro-2,3,4,9-tetrahydro-1H-carbazol-1-amine (</w:t>
      </w:r>
      <w:r w:rsidRPr="00654CB9">
        <w:rPr>
          <w:rFonts w:cs="Times New Roman"/>
          <w:b/>
          <w:bCs/>
          <w:szCs w:val="24"/>
        </w:rPr>
        <w:t>2.</w:t>
      </w:r>
      <w:r w:rsidRPr="00654CB9">
        <w:rPr>
          <w:rFonts w:cs="Times New Roman"/>
          <w:b/>
          <w:szCs w:val="24"/>
        </w:rPr>
        <w:t>26):</w:t>
      </w:r>
      <w:r w:rsidRPr="00654CB9">
        <w:rPr>
          <w:rFonts w:cs="Times New Roman"/>
          <w:szCs w:val="24"/>
        </w:rPr>
        <w:t xml:space="preserve"> Yield 72%, yellow amorphous solid. </w:t>
      </w:r>
      <w:r w:rsidRPr="00654CB9">
        <w:rPr>
          <w:rFonts w:cs="Times New Roman"/>
          <w:szCs w:val="24"/>
          <w:vertAlign w:val="superscript"/>
        </w:rPr>
        <w:t>1</w:t>
      </w:r>
      <w:r w:rsidRPr="00654CB9">
        <w:rPr>
          <w:rFonts w:cs="Times New Roman"/>
          <w:szCs w:val="24"/>
        </w:rPr>
        <w:t>H NMR (500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7.37 – 7.25 (m, 2H), 4.62 (t, </w:t>
      </w:r>
      <w:r w:rsidRPr="00654CB9">
        <w:rPr>
          <w:rFonts w:cs="Times New Roman"/>
          <w:i/>
          <w:iCs/>
          <w:szCs w:val="24"/>
        </w:rPr>
        <w:t>J</w:t>
      </w:r>
      <w:r w:rsidRPr="00654CB9">
        <w:rPr>
          <w:rFonts w:cs="Times New Roman"/>
          <w:szCs w:val="24"/>
        </w:rPr>
        <w:t xml:space="preserve"> = 5.0 Hz, 1H), 2.82 (dt, </w:t>
      </w:r>
      <w:r w:rsidRPr="00654CB9">
        <w:rPr>
          <w:rFonts w:cs="Times New Roman"/>
          <w:i/>
          <w:iCs/>
          <w:szCs w:val="24"/>
        </w:rPr>
        <w:t>J</w:t>
      </w:r>
      <w:r w:rsidRPr="00654CB9">
        <w:rPr>
          <w:rFonts w:cs="Times New Roman"/>
          <w:szCs w:val="24"/>
        </w:rPr>
        <w:t xml:space="preserve"> = 16.0, 5.3 Hz, 1H), 2.75 – 2.65 (m, 1H), 2.33 – 2.22 (m, 1H), 2.15 – 1.94 (m, 3H).</w:t>
      </w:r>
      <w:r w:rsidRPr="00654CB9">
        <w:rPr>
          <w:rFonts w:cs="Times New Roman"/>
          <w:szCs w:val="24"/>
          <w:vertAlign w:val="superscript"/>
        </w:rPr>
        <w:t xml:space="preserve"> 13</w:t>
      </w:r>
      <w:r w:rsidRPr="00654CB9">
        <w:rPr>
          <w:rFonts w:cs="Times New Roman"/>
          <w:szCs w:val="24"/>
        </w:rPr>
        <w:t>C NMR (126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148.3 (dd, </w:t>
      </w:r>
      <w:r w:rsidRPr="00654CB9">
        <w:rPr>
          <w:rFonts w:cs="Times New Roman"/>
          <w:i/>
          <w:iCs/>
          <w:szCs w:val="24"/>
        </w:rPr>
        <w:t>J</w:t>
      </w:r>
      <w:r w:rsidRPr="00654CB9">
        <w:rPr>
          <w:rFonts w:cs="Times New Roman"/>
          <w:szCs w:val="24"/>
        </w:rPr>
        <w:t xml:space="preserve"> = 239.8, 15.8 Hz), 146.2 (dd, </w:t>
      </w:r>
      <w:r w:rsidRPr="00654CB9">
        <w:rPr>
          <w:rFonts w:cs="Times New Roman"/>
          <w:i/>
          <w:iCs/>
          <w:szCs w:val="24"/>
        </w:rPr>
        <w:t>J</w:t>
      </w:r>
      <w:r w:rsidRPr="00654CB9">
        <w:rPr>
          <w:rFonts w:cs="Times New Roman"/>
          <w:szCs w:val="24"/>
        </w:rPr>
        <w:t xml:space="preserve"> = 236.9, 15.1 Hz), 132.0 (d, </w:t>
      </w:r>
      <w:r w:rsidRPr="00654CB9">
        <w:rPr>
          <w:rFonts w:cs="Times New Roman"/>
          <w:i/>
          <w:iCs/>
          <w:szCs w:val="24"/>
        </w:rPr>
        <w:t>J</w:t>
      </w:r>
      <w:r w:rsidRPr="00654CB9">
        <w:rPr>
          <w:rFonts w:cs="Times New Roman"/>
          <w:szCs w:val="24"/>
        </w:rPr>
        <w:t xml:space="preserve"> = 10.6 Hz), 129.4 (d, </w:t>
      </w:r>
      <w:r w:rsidRPr="00654CB9">
        <w:rPr>
          <w:rFonts w:cs="Times New Roman"/>
          <w:i/>
          <w:iCs/>
          <w:szCs w:val="24"/>
        </w:rPr>
        <w:t>J</w:t>
      </w:r>
      <w:r w:rsidRPr="00654CB9">
        <w:rPr>
          <w:rFonts w:cs="Times New Roman"/>
          <w:szCs w:val="24"/>
        </w:rPr>
        <w:t xml:space="preserve"> = 3.8 Hz), 121.8 (d, </w:t>
      </w:r>
      <w:r w:rsidRPr="00654CB9">
        <w:rPr>
          <w:rFonts w:cs="Times New Roman"/>
          <w:i/>
          <w:iCs/>
          <w:szCs w:val="24"/>
        </w:rPr>
        <w:t>J</w:t>
      </w:r>
      <w:r w:rsidRPr="00654CB9">
        <w:rPr>
          <w:rFonts w:cs="Times New Roman"/>
          <w:szCs w:val="24"/>
        </w:rPr>
        <w:t xml:space="preserve"> = 8.2 Hz), 114.0 (d, </w:t>
      </w:r>
      <w:r w:rsidRPr="00654CB9">
        <w:rPr>
          <w:rFonts w:cs="Times New Roman"/>
          <w:i/>
          <w:iCs/>
          <w:szCs w:val="24"/>
        </w:rPr>
        <w:t>J</w:t>
      </w:r>
      <w:r w:rsidRPr="00654CB9">
        <w:rPr>
          <w:rFonts w:cs="Times New Roman"/>
          <w:szCs w:val="24"/>
        </w:rPr>
        <w:t xml:space="preserve"> = 4.7 Hz), 104.9 (d, </w:t>
      </w:r>
      <w:r w:rsidRPr="00654CB9">
        <w:rPr>
          <w:rFonts w:cs="Times New Roman"/>
          <w:i/>
          <w:iCs/>
          <w:szCs w:val="24"/>
        </w:rPr>
        <w:t>J</w:t>
      </w:r>
      <w:r w:rsidRPr="00654CB9">
        <w:rPr>
          <w:rFonts w:cs="Times New Roman"/>
          <w:szCs w:val="24"/>
        </w:rPr>
        <w:t xml:space="preserve"> = 18.6 Hz), 99.0 (d, </w:t>
      </w:r>
      <w:r w:rsidRPr="00654CB9">
        <w:rPr>
          <w:rFonts w:cs="Times New Roman"/>
          <w:i/>
          <w:iCs/>
          <w:szCs w:val="24"/>
        </w:rPr>
        <w:t>J</w:t>
      </w:r>
      <w:r w:rsidRPr="00654CB9">
        <w:rPr>
          <w:rFonts w:cs="Times New Roman"/>
          <w:szCs w:val="24"/>
        </w:rPr>
        <w:t xml:space="preserve"> = 22.0 Hz), 44.4, 27.8, 19.9, 18.6. [α] = –3.75 (c = 0.53 mg/mL, CH</w:t>
      </w:r>
      <w:r w:rsidRPr="00654CB9">
        <w:rPr>
          <w:rFonts w:cs="Times New Roman"/>
          <w:szCs w:val="24"/>
          <w:vertAlign w:val="subscript"/>
        </w:rPr>
        <w:t>3</w:t>
      </w:r>
      <w:r w:rsidRPr="00654CB9">
        <w:rPr>
          <w:rFonts w:cs="Times New Roman"/>
          <w:szCs w:val="24"/>
        </w:rPr>
        <w:t>OH)</w:t>
      </w:r>
    </w:p>
    <w:p w14:paraId="665677CF" w14:textId="77777777" w:rsidR="00654CB9" w:rsidRPr="00654CB9" w:rsidRDefault="00654CB9" w:rsidP="00654CB9">
      <w:pPr>
        <w:spacing w:after="0"/>
        <w:ind w:left="720" w:firstLine="720"/>
        <w:rPr>
          <w:rFonts w:eastAsia="DengXian" w:cs="Times New Roman"/>
          <w:b/>
          <w:color w:val="000000"/>
          <w:kern w:val="2"/>
          <w:szCs w:val="24"/>
        </w:rPr>
      </w:pPr>
      <w:r w:rsidRPr="00654CB9">
        <w:rPr>
          <w:rFonts w:eastAsia="DengXian" w:cs="Times New Roman"/>
          <w:b/>
          <w:noProof/>
          <w:color w:val="000000"/>
          <w:kern w:val="2"/>
          <w:szCs w:val="24"/>
        </w:rPr>
        <mc:AlternateContent>
          <mc:Choice Requires="wps">
            <w:drawing>
              <wp:inline distT="0" distB="0" distL="0" distR="0" wp14:anchorId="338EB6B4" wp14:editId="718D754D">
                <wp:extent cx="4000500" cy="1542553"/>
                <wp:effectExtent l="0" t="0" r="19050" b="19685"/>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542553"/>
                        </a:xfrm>
                        <a:prstGeom prst="rect">
                          <a:avLst/>
                        </a:prstGeom>
                        <a:solidFill>
                          <a:srgbClr val="FFFFFF"/>
                        </a:solidFill>
                        <a:ln w="9525">
                          <a:solidFill>
                            <a:srgbClr val="000000"/>
                          </a:solidFill>
                          <a:miter lim="800000"/>
                          <a:headEnd/>
                          <a:tailEnd/>
                        </a:ln>
                      </wps:spPr>
                      <wps:txbx>
                        <w:txbxContent>
                          <w:p w14:paraId="208C84AC" w14:textId="7A62DDC8" w:rsidR="00654CB9" w:rsidRDefault="009653EB" w:rsidP="00654CB9">
                            <w:pPr>
                              <w:keepNext/>
                              <w:spacing w:after="0" w:line="240" w:lineRule="auto"/>
                              <w:jc w:val="center"/>
                            </w:pPr>
                            <w:r w:rsidRPr="00DC18DD">
                              <w:rPr>
                                <w:rFonts w:asciiTheme="minorHAnsi" w:hAnsiTheme="minorHAnsi"/>
                                <w:szCs w:val="24"/>
                              </w:rPr>
                              <w:object w:dxaOrig="4398" w:dyaOrig="979" w14:anchorId="4D25070E">
                                <v:shape id="_x0000_i1039" type="#_x0000_t75" style="width:273.5pt;height:62.2pt" o:ole="">
                                  <v:imagedata r:id="rId132" o:title=""/>
                                </v:shape>
                                <o:OLEObject Type="Embed" ProgID="ChemDraw.Document.6.0" ShapeID="_x0000_i1039" DrawAspect="Content" ObjectID="_1713353477" r:id="rId133"/>
                              </w:object>
                            </w:r>
                          </w:p>
                          <w:p w14:paraId="49CA7321" w14:textId="36380A9B" w:rsidR="00654CB9" w:rsidRDefault="00654CB9" w:rsidP="00DF51F5">
                            <w:pPr>
                              <w:pStyle w:val="Caption"/>
                            </w:pPr>
                            <w:r>
                              <w:t xml:space="preserve">Scheme </w:t>
                            </w:r>
                            <w:r w:rsidRPr="00B1411C">
                              <w:rPr>
                                <w:rFonts w:cs="Times New Roman"/>
                                <w:szCs w:val="24"/>
                              </w:rPr>
                              <w:t>2.</w:t>
                            </w:r>
                            <w:fldSimple w:instr=" SEQ Scheme \* ARABIC ">
                              <w:r w:rsidR="00AA5AAC">
                                <w:rPr>
                                  <w:noProof/>
                                </w:rPr>
                                <w:t>6</w:t>
                              </w:r>
                            </w:fldSimple>
                            <w:r>
                              <w:t xml:space="preserve">. </w:t>
                            </w:r>
                          </w:p>
                          <w:p w14:paraId="76AF9F1D" w14:textId="77777777" w:rsidR="00654CB9" w:rsidRPr="00DC18DD" w:rsidRDefault="00654CB9" w:rsidP="00654CB9">
                            <w:pPr>
                              <w:pStyle w:val="NormalWeb"/>
                              <w:spacing w:before="0" w:beforeAutospacing="0" w:after="0" w:afterAutospacing="0"/>
                              <w:jc w:val="both"/>
                              <w:rPr>
                                <w:rFonts w:eastAsia="DengXian"/>
                                <w:color w:val="000000"/>
                                <w:kern w:val="2"/>
                              </w:rPr>
                            </w:pPr>
                            <w:r w:rsidRPr="00DC18DD">
                              <w:rPr>
                                <w:rFonts w:eastAsia="DengXian"/>
                                <w:color w:val="000000"/>
                                <w:kern w:val="2"/>
                              </w:rPr>
                              <w:t>Reagents and conditions: a) EDCI, DMAP, DCM, 23 °C, 53-90%; b) 50% TFA/DCM, 23 °C, 99%.</w:t>
                            </w:r>
                          </w:p>
                          <w:p w14:paraId="4A780B7A" w14:textId="77777777" w:rsidR="00654CB9" w:rsidRDefault="00654CB9" w:rsidP="00654CB9"/>
                        </w:txbxContent>
                      </wps:txbx>
                      <wps:bodyPr rot="0" vert="horz" wrap="square" lIns="91440" tIns="45720" rIns="91440" bIns="45720" anchor="t" anchorCtr="0">
                        <a:noAutofit/>
                      </wps:bodyPr>
                    </wps:wsp>
                  </a:graphicData>
                </a:graphic>
              </wp:inline>
            </w:drawing>
          </mc:Choice>
          <mc:Fallback>
            <w:pict>
              <v:shape w14:anchorId="338EB6B4" id="_x0000_s1060" type="#_x0000_t202" style="width:315pt;height:12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">
                <v:textbox>
                  <w:txbxContent>
                    <w:p w14:paraId="208C84AC" w14:textId="7A62DDC8" w:rsidR="00654CB9" w:rsidRDefault="009653EB" w:rsidP="00654CB9">
                      <w:pPr>
                        <w:keepNext/>
                        <w:spacing w:after="0" w:line="240" w:lineRule="auto"/>
                        <w:jc w:val="center"/>
                      </w:pPr>
                      <w:r w:rsidRPr="00DC18DD">
                        <w:rPr>
                          <w:rFonts w:asciiTheme="minorHAnsi" w:hAnsiTheme="minorHAnsi"/>
                          <w:szCs w:val="24"/>
                        </w:rPr>
                        <w:object w:dxaOrig="4398" w:dyaOrig="979" w14:anchorId="4D25070E">
                          <v:shape id="_x0000_i1039" type="#_x0000_t75" style="width:273.5pt;height:62.2pt" o:ole="">
                            <v:imagedata r:id="rId132" o:title=""/>
                          </v:shape>
                          <o:OLEObject Type="Embed" ProgID="ChemDraw.Document.6.0" ShapeID="_x0000_i1039" DrawAspect="Content" ObjectID="_1713353477" r:id="rId134"/>
                        </w:object>
                      </w:r>
                    </w:p>
                    <w:p w14:paraId="49CA7321" w14:textId="36380A9B" w:rsidR="00654CB9" w:rsidRDefault="00654CB9" w:rsidP="00DF51F5">
                      <w:pPr>
                        <w:pStyle w:val="Caption"/>
                      </w:pPr>
                      <w:r>
                        <w:t xml:space="preserve">Scheme </w:t>
                      </w:r>
                      <w:r w:rsidRPr="00B1411C">
                        <w:rPr>
                          <w:rFonts w:cs="Times New Roman"/>
                          <w:szCs w:val="24"/>
                        </w:rPr>
                        <w:t>2.</w:t>
                      </w:r>
                      <w:fldSimple w:instr=" SEQ Scheme \* ARABIC ">
                        <w:r w:rsidR="00AA5AAC">
                          <w:rPr>
                            <w:noProof/>
                          </w:rPr>
                          <w:t>6</w:t>
                        </w:r>
                      </w:fldSimple>
                      <w:r>
                        <w:t xml:space="preserve">. </w:t>
                      </w:r>
                    </w:p>
                    <w:p w14:paraId="76AF9F1D" w14:textId="77777777" w:rsidR="00654CB9" w:rsidRPr="00DC18DD" w:rsidRDefault="00654CB9" w:rsidP="00654CB9">
                      <w:pPr>
                        <w:pStyle w:val="NormalWeb"/>
                        <w:spacing w:before="0" w:beforeAutospacing="0" w:after="0" w:afterAutospacing="0"/>
                        <w:jc w:val="both"/>
                        <w:rPr>
                          <w:rFonts w:eastAsia="DengXian"/>
                          <w:color w:val="000000"/>
                          <w:kern w:val="2"/>
                        </w:rPr>
                      </w:pPr>
                      <w:r w:rsidRPr="00DC18DD">
                        <w:rPr>
                          <w:rFonts w:eastAsia="DengXian"/>
                          <w:color w:val="000000"/>
                          <w:kern w:val="2"/>
                        </w:rPr>
                        <w:t>Reagents and conditions: a) EDCI, DMAP, DCM, 23 °C, 53-90%; b) 50% TFA/DCM, 23 °C, 99%.</w:t>
                      </w:r>
                    </w:p>
                    <w:p w14:paraId="4A780B7A" w14:textId="77777777" w:rsidR="00654CB9" w:rsidRDefault="00654CB9" w:rsidP="00654CB9"/>
                  </w:txbxContent>
                </v:textbox>
                <w10:anchorlock/>
              </v:shape>
            </w:pict>
          </mc:Fallback>
        </mc:AlternateContent>
      </w:r>
    </w:p>
    <w:p w14:paraId="1E3F395C" w14:textId="77777777" w:rsidR="00654CB9" w:rsidRPr="00654CB9" w:rsidRDefault="00654CB9" w:rsidP="00654CB9">
      <w:pPr>
        <w:spacing w:after="0"/>
        <w:ind w:firstLine="720"/>
        <w:rPr>
          <w:rFonts w:eastAsia="DengXian" w:cs="Times New Roman"/>
          <w:color w:val="000000"/>
          <w:kern w:val="2"/>
          <w:szCs w:val="24"/>
        </w:rPr>
      </w:pPr>
      <w:r w:rsidRPr="00654CB9">
        <w:rPr>
          <w:rFonts w:eastAsia="DengXian" w:cs="Times New Roman"/>
          <w:b/>
          <w:color w:val="000000"/>
          <w:kern w:val="2"/>
          <w:szCs w:val="24"/>
        </w:rPr>
        <w:t>General procedure to prepare amides x (</w:t>
      </w:r>
      <w:r w:rsidRPr="00654CB9">
        <w:rPr>
          <w:rFonts w:eastAsia="Times New Roman" w:cs="Times New Roman"/>
          <w:b/>
          <w:bCs/>
          <w:szCs w:val="24"/>
        </w:rPr>
        <w:t>2.</w:t>
      </w:r>
      <w:r w:rsidRPr="00654CB9">
        <w:rPr>
          <w:rFonts w:eastAsia="DengXian" w:cs="Times New Roman"/>
          <w:b/>
          <w:color w:val="000000"/>
          <w:kern w:val="2"/>
          <w:szCs w:val="24"/>
        </w:rPr>
        <w:t xml:space="preserve">27 - </w:t>
      </w:r>
      <w:r w:rsidRPr="00654CB9">
        <w:rPr>
          <w:rFonts w:eastAsia="Times New Roman" w:cs="Times New Roman"/>
          <w:b/>
          <w:bCs/>
          <w:szCs w:val="24"/>
        </w:rPr>
        <w:t>2.</w:t>
      </w:r>
      <w:r w:rsidRPr="00654CB9">
        <w:rPr>
          <w:rFonts w:eastAsia="DengXian" w:cs="Times New Roman"/>
          <w:b/>
          <w:color w:val="000000"/>
          <w:kern w:val="2"/>
          <w:szCs w:val="24"/>
        </w:rPr>
        <w:t xml:space="preserve">32). </w:t>
      </w:r>
      <w:r w:rsidRPr="00654CB9">
        <w:rPr>
          <w:rFonts w:eastAsia="DengXian" w:cs="Times New Roman"/>
          <w:color w:val="000000"/>
          <w:kern w:val="2"/>
          <w:szCs w:val="24"/>
        </w:rPr>
        <w:t xml:space="preserve">Aniline </w:t>
      </w:r>
      <w:r w:rsidRPr="00654CB9">
        <w:rPr>
          <w:rFonts w:eastAsia="DengXian" w:cs="Times New Roman"/>
          <w:b/>
          <w:color w:val="000000"/>
          <w:kern w:val="2"/>
          <w:szCs w:val="24"/>
        </w:rPr>
        <w:t>viii</w:t>
      </w:r>
      <w:r w:rsidRPr="00654CB9">
        <w:rPr>
          <w:rFonts w:eastAsia="DengXian" w:cs="Times New Roman"/>
          <w:color w:val="000000"/>
          <w:kern w:val="2"/>
          <w:szCs w:val="24"/>
        </w:rPr>
        <w:t xml:space="preserve"> (0.5 mmol) was added to stirring solution of Boc-protected amino acid </w:t>
      </w:r>
      <w:r w:rsidRPr="00654CB9">
        <w:rPr>
          <w:rFonts w:eastAsia="DengXian" w:cs="Times New Roman"/>
          <w:b/>
          <w:color w:val="000000"/>
          <w:kern w:val="2"/>
          <w:szCs w:val="24"/>
        </w:rPr>
        <w:t>ix</w:t>
      </w:r>
      <w:r w:rsidRPr="00654CB9">
        <w:rPr>
          <w:rFonts w:eastAsia="DengXian" w:cs="Times New Roman"/>
          <w:color w:val="000000"/>
          <w:kern w:val="2"/>
          <w:szCs w:val="24"/>
        </w:rPr>
        <w:t xml:space="preserve"> (0.5 mmol) dissolved in DCM (5 mL). 1-Ethyl-3-(3-</w:t>
      </w:r>
      <w:proofErr w:type="gramStart"/>
      <w:r w:rsidRPr="00654CB9">
        <w:rPr>
          <w:rFonts w:eastAsia="DengXian" w:cs="Times New Roman"/>
          <w:color w:val="000000"/>
          <w:kern w:val="2"/>
          <w:szCs w:val="24"/>
        </w:rPr>
        <w:t>dimethylaminopropyl)carbodiimide</w:t>
      </w:r>
      <w:proofErr w:type="gramEnd"/>
      <w:r w:rsidRPr="00654CB9">
        <w:rPr>
          <w:rFonts w:eastAsia="DengXian" w:cs="Times New Roman"/>
          <w:color w:val="000000"/>
          <w:kern w:val="2"/>
          <w:szCs w:val="24"/>
        </w:rPr>
        <w:t xml:space="preserve"> (0.6 mmol) was added, followed by 4-dimethylaminopyridine (0.6 mmol). After stirring at 23 °C for 8-12 h, the reaction mixture was extracted with ethyl acetate and the organics were combined, washed with 10% aqueous citric acid, water, and brine. The organic layer was dried over anhydrous Na</w:t>
      </w:r>
      <w:r w:rsidRPr="00654CB9">
        <w:rPr>
          <w:rFonts w:eastAsia="DengXian" w:cs="Times New Roman"/>
          <w:color w:val="000000"/>
          <w:kern w:val="2"/>
          <w:szCs w:val="24"/>
          <w:vertAlign w:val="subscript"/>
        </w:rPr>
        <w:t>2</w:t>
      </w:r>
      <w:r w:rsidRPr="00654CB9">
        <w:rPr>
          <w:rFonts w:eastAsia="DengXian" w:cs="Times New Roman"/>
          <w:color w:val="000000"/>
          <w:kern w:val="2"/>
          <w:szCs w:val="24"/>
        </w:rPr>
        <w:t>SO</w:t>
      </w:r>
      <w:r w:rsidRPr="00654CB9">
        <w:rPr>
          <w:rFonts w:eastAsia="DengXian" w:cs="Times New Roman"/>
          <w:color w:val="000000"/>
          <w:kern w:val="2"/>
          <w:szCs w:val="24"/>
          <w:vertAlign w:val="subscript"/>
        </w:rPr>
        <w:t>4</w:t>
      </w:r>
      <w:r w:rsidRPr="00654CB9">
        <w:rPr>
          <w:rFonts w:eastAsia="DengXian" w:cs="Times New Roman"/>
          <w:color w:val="000000"/>
          <w:kern w:val="2"/>
          <w:szCs w:val="24"/>
        </w:rPr>
        <w:t>, filtered, and concentrated under vacuum to afford the crude product, which were purified by flash column chromatography (SiO</w:t>
      </w:r>
      <w:r w:rsidRPr="00654CB9">
        <w:rPr>
          <w:rFonts w:eastAsia="DengXian" w:cs="Times New Roman"/>
          <w:color w:val="000000"/>
          <w:kern w:val="2"/>
          <w:szCs w:val="24"/>
          <w:vertAlign w:val="subscript"/>
        </w:rPr>
        <w:t>2</w:t>
      </w:r>
      <w:r w:rsidRPr="00654CB9">
        <w:rPr>
          <w:rFonts w:eastAsia="DengXian" w:cs="Times New Roman"/>
          <w:color w:val="000000"/>
          <w:kern w:val="2"/>
          <w:szCs w:val="24"/>
        </w:rPr>
        <w:t>) using 15-35% ethyl acetate in hexanes. The isolated product was subjected to 50% TFA/ CH</w:t>
      </w:r>
      <w:r w:rsidRPr="00654CB9">
        <w:rPr>
          <w:rFonts w:eastAsia="DengXian" w:cs="Times New Roman"/>
          <w:color w:val="000000"/>
          <w:kern w:val="2"/>
          <w:szCs w:val="24"/>
          <w:vertAlign w:val="subscript"/>
        </w:rPr>
        <w:t>2</w:t>
      </w:r>
      <w:r w:rsidRPr="00654CB9">
        <w:rPr>
          <w:rFonts w:eastAsia="DengXian" w:cs="Times New Roman"/>
          <w:color w:val="000000"/>
          <w:kern w:val="2"/>
          <w:szCs w:val="24"/>
        </w:rPr>
        <w:t>Cl</w:t>
      </w:r>
      <w:r w:rsidRPr="00654CB9">
        <w:rPr>
          <w:rFonts w:eastAsia="DengXian" w:cs="Times New Roman"/>
          <w:color w:val="000000"/>
          <w:kern w:val="2"/>
          <w:szCs w:val="24"/>
          <w:vertAlign w:val="subscript"/>
        </w:rPr>
        <w:t>2</w:t>
      </w:r>
      <w:r w:rsidRPr="00654CB9">
        <w:rPr>
          <w:rFonts w:eastAsia="DengXian" w:cs="Times New Roman"/>
          <w:color w:val="000000"/>
          <w:kern w:val="2"/>
          <w:szCs w:val="24"/>
        </w:rPr>
        <w:t xml:space="preserve">, to afford the desired amide. </w:t>
      </w:r>
    </w:p>
    <w:p w14:paraId="7A884D3E" w14:textId="77777777" w:rsidR="00654CB9" w:rsidRPr="00654CB9" w:rsidRDefault="00654CB9" w:rsidP="00654CB9">
      <w:pPr>
        <w:ind w:firstLine="720"/>
        <w:rPr>
          <w:rFonts w:cs="Times New Roman"/>
          <w:szCs w:val="24"/>
        </w:rPr>
      </w:pPr>
      <w:r w:rsidRPr="00654CB9">
        <w:rPr>
          <w:rFonts w:cs="Times New Roman"/>
          <w:b/>
          <w:szCs w:val="24"/>
        </w:rPr>
        <w:lastRenderedPageBreak/>
        <w:t>(R)-2-amino-N-(3,4-</w:t>
      </w:r>
      <w:proofErr w:type="gramStart"/>
      <w:r w:rsidRPr="00654CB9">
        <w:rPr>
          <w:rFonts w:cs="Times New Roman"/>
          <w:b/>
          <w:szCs w:val="24"/>
        </w:rPr>
        <w:t>difluorophenyl)propenamide</w:t>
      </w:r>
      <w:proofErr w:type="gramEnd"/>
      <w:r w:rsidRPr="00654CB9">
        <w:rPr>
          <w:rFonts w:cs="Times New Roman"/>
          <w:b/>
          <w:szCs w:val="24"/>
        </w:rPr>
        <w:t xml:space="preserve"> (</w:t>
      </w:r>
      <w:r w:rsidRPr="00654CB9">
        <w:rPr>
          <w:rFonts w:cs="Times New Roman"/>
          <w:b/>
          <w:bCs/>
          <w:szCs w:val="24"/>
        </w:rPr>
        <w:t>2.</w:t>
      </w:r>
      <w:r w:rsidRPr="00654CB9">
        <w:rPr>
          <w:rFonts w:cs="Times New Roman"/>
          <w:b/>
          <w:szCs w:val="24"/>
        </w:rPr>
        <w:t xml:space="preserve">27): </w:t>
      </w:r>
      <w:r w:rsidRPr="00654CB9">
        <w:rPr>
          <w:rFonts w:cs="Times New Roman"/>
          <w:szCs w:val="24"/>
        </w:rPr>
        <w:t xml:space="preserve">Yield 91%, amber oil. </w:t>
      </w:r>
      <w:r w:rsidRPr="00654CB9">
        <w:rPr>
          <w:rFonts w:cs="Times New Roman"/>
          <w:szCs w:val="24"/>
          <w:vertAlign w:val="superscript"/>
        </w:rPr>
        <w:t>1</w:t>
      </w:r>
      <w:r w:rsidRPr="00654CB9">
        <w:rPr>
          <w:rFonts w:cs="Times New Roman"/>
          <w:szCs w:val="24"/>
        </w:rPr>
        <w:t>H NMR (500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7.64 – 7.56 (m, 2H), 7.14 – 7.05 (m, 2H), 4.05 (q, </w:t>
      </w:r>
      <w:r w:rsidRPr="00654CB9">
        <w:rPr>
          <w:rFonts w:cs="Times New Roman"/>
          <w:i/>
          <w:iCs/>
          <w:szCs w:val="24"/>
        </w:rPr>
        <w:t>J</w:t>
      </w:r>
      <w:r w:rsidRPr="00654CB9">
        <w:rPr>
          <w:rFonts w:cs="Times New Roman"/>
          <w:szCs w:val="24"/>
        </w:rPr>
        <w:t xml:space="preserve"> = 7.0 Hz, 1H), 1.60 (d, </w:t>
      </w:r>
      <w:r w:rsidRPr="00654CB9">
        <w:rPr>
          <w:rFonts w:cs="Times New Roman"/>
          <w:i/>
          <w:iCs/>
          <w:szCs w:val="24"/>
        </w:rPr>
        <w:t>J</w:t>
      </w:r>
      <w:r w:rsidRPr="00654CB9">
        <w:rPr>
          <w:rFonts w:cs="Times New Roman"/>
          <w:szCs w:val="24"/>
        </w:rPr>
        <w:t xml:space="preserve"> = 7.1 Hz, 3H). </w:t>
      </w:r>
      <w:r w:rsidRPr="00654CB9">
        <w:rPr>
          <w:rFonts w:cs="Times New Roman"/>
          <w:szCs w:val="24"/>
          <w:vertAlign w:val="superscript"/>
        </w:rPr>
        <w:t>13</w:t>
      </w:r>
      <w:r w:rsidRPr="00654CB9">
        <w:rPr>
          <w:rFonts w:cs="Times New Roman"/>
          <w:szCs w:val="24"/>
        </w:rPr>
        <w:t>C NMR (151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169.1, 161.0 (d, </w:t>
      </w:r>
      <w:r w:rsidRPr="00654CB9">
        <w:rPr>
          <w:rFonts w:cs="Times New Roman"/>
          <w:i/>
          <w:iCs/>
          <w:szCs w:val="24"/>
        </w:rPr>
        <w:t>J</w:t>
      </w:r>
      <w:r w:rsidRPr="00654CB9">
        <w:rPr>
          <w:rFonts w:cs="Times New Roman"/>
          <w:szCs w:val="24"/>
        </w:rPr>
        <w:t xml:space="preserve"> = 243.4 Hz), 135.3, 123.1 (d, </w:t>
      </w:r>
      <w:r w:rsidRPr="00654CB9">
        <w:rPr>
          <w:rFonts w:cs="Times New Roman"/>
          <w:i/>
          <w:iCs/>
          <w:szCs w:val="24"/>
        </w:rPr>
        <w:t>J</w:t>
      </w:r>
      <w:r w:rsidRPr="00654CB9">
        <w:rPr>
          <w:rFonts w:cs="Times New Roman"/>
          <w:szCs w:val="24"/>
        </w:rPr>
        <w:t xml:space="preserve"> = 7.9 Hz), 116.5 (d, </w:t>
      </w:r>
      <w:r w:rsidRPr="00654CB9">
        <w:rPr>
          <w:rFonts w:cs="Times New Roman"/>
          <w:i/>
          <w:iCs/>
          <w:szCs w:val="24"/>
        </w:rPr>
        <w:t>J</w:t>
      </w:r>
      <w:r w:rsidRPr="00654CB9">
        <w:rPr>
          <w:rFonts w:cs="Times New Roman"/>
          <w:szCs w:val="24"/>
        </w:rPr>
        <w:t xml:space="preserve"> = 22.7 Hz), 50.8, 17.6. HRMS </w:t>
      </w:r>
      <w:proofErr w:type="spellStart"/>
      <w:r w:rsidRPr="00654CB9">
        <w:rPr>
          <w:rFonts w:cs="Times New Roman"/>
          <w:szCs w:val="24"/>
        </w:rPr>
        <w:t>calcd</w:t>
      </w:r>
      <w:proofErr w:type="spellEnd"/>
      <w:r w:rsidRPr="00654CB9">
        <w:rPr>
          <w:rFonts w:cs="Times New Roman"/>
          <w:szCs w:val="24"/>
        </w:rPr>
        <w:t xml:space="preserve"> for C</w:t>
      </w:r>
      <w:r w:rsidRPr="00654CB9">
        <w:rPr>
          <w:rFonts w:cs="Times New Roman"/>
          <w:szCs w:val="24"/>
          <w:vertAlign w:val="subscript"/>
        </w:rPr>
        <w:t>9</w:t>
      </w:r>
      <w:r w:rsidRPr="00654CB9">
        <w:rPr>
          <w:rFonts w:cs="Times New Roman"/>
          <w:szCs w:val="24"/>
        </w:rPr>
        <w:t>H</w:t>
      </w:r>
      <w:r w:rsidRPr="00654CB9">
        <w:rPr>
          <w:rFonts w:cs="Times New Roman"/>
          <w:szCs w:val="24"/>
          <w:vertAlign w:val="subscript"/>
        </w:rPr>
        <w:t>11</w:t>
      </w:r>
      <w:r w:rsidRPr="00654CB9">
        <w:rPr>
          <w:rFonts w:cs="Times New Roman"/>
          <w:szCs w:val="24"/>
        </w:rPr>
        <w:t>FN</w:t>
      </w:r>
      <w:r w:rsidRPr="00654CB9">
        <w:rPr>
          <w:rFonts w:cs="Times New Roman"/>
          <w:szCs w:val="24"/>
          <w:vertAlign w:val="subscript"/>
        </w:rPr>
        <w:t>2</w:t>
      </w:r>
      <w:r w:rsidRPr="00654CB9">
        <w:rPr>
          <w:rFonts w:cs="Times New Roman"/>
          <w:szCs w:val="24"/>
        </w:rPr>
        <w:t>O [M+</w:t>
      </w:r>
      <w:proofErr w:type="gramStart"/>
      <w:r w:rsidRPr="00654CB9">
        <w:rPr>
          <w:rFonts w:cs="Times New Roman"/>
          <w:szCs w:val="24"/>
        </w:rPr>
        <w:t>H]</w:t>
      </w:r>
      <w:r w:rsidRPr="00654CB9">
        <w:rPr>
          <w:rFonts w:cs="Times New Roman"/>
          <w:szCs w:val="24"/>
          <w:vertAlign w:val="superscript"/>
        </w:rPr>
        <w:t>+</w:t>
      </w:r>
      <w:proofErr w:type="gramEnd"/>
      <w:r w:rsidRPr="00654CB9">
        <w:rPr>
          <w:rFonts w:cs="Times New Roman"/>
          <w:szCs w:val="24"/>
        </w:rPr>
        <w:t>: 183.09, found: 183.0925.</w:t>
      </w:r>
    </w:p>
    <w:p w14:paraId="5A084705" w14:textId="77777777" w:rsidR="00654CB9" w:rsidRPr="00654CB9" w:rsidRDefault="00654CB9" w:rsidP="00654CB9">
      <w:pPr>
        <w:ind w:firstLine="720"/>
        <w:rPr>
          <w:rFonts w:cs="Times New Roman"/>
          <w:szCs w:val="24"/>
        </w:rPr>
      </w:pPr>
      <w:r w:rsidRPr="00654CB9">
        <w:rPr>
          <w:rFonts w:cs="Times New Roman"/>
          <w:b/>
          <w:szCs w:val="24"/>
        </w:rPr>
        <w:t>(R)-2-amino-N-(4-fluorophenyl)-3-methylbutanamide (</w:t>
      </w:r>
      <w:r w:rsidRPr="00654CB9">
        <w:rPr>
          <w:rFonts w:cs="Times New Roman"/>
          <w:b/>
          <w:bCs/>
          <w:szCs w:val="24"/>
        </w:rPr>
        <w:t>2.</w:t>
      </w:r>
      <w:r w:rsidRPr="00654CB9">
        <w:rPr>
          <w:rFonts w:cs="Times New Roman"/>
          <w:b/>
          <w:szCs w:val="24"/>
        </w:rPr>
        <w:t xml:space="preserve">28): </w:t>
      </w:r>
      <w:r w:rsidRPr="00654CB9">
        <w:rPr>
          <w:rFonts w:cs="Times New Roman"/>
          <w:szCs w:val="24"/>
        </w:rPr>
        <w:t>Yield 70%, yellow oil.</w:t>
      </w:r>
      <w:r w:rsidRPr="00654CB9">
        <w:rPr>
          <w:rFonts w:cs="Times New Roman"/>
          <w:b/>
          <w:szCs w:val="24"/>
        </w:rPr>
        <w:t xml:space="preserve"> </w:t>
      </w:r>
      <w:r w:rsidRPr="00654CB9">
        <w:rPr>
          <w:rFonts w:cs="Times New Roman"/>
          <w:szCs w:val="24"/>
          <w:vertAlign w:val="superscript"/>
        </w:rPr>
        <w:t>1</w:t>
      </w:r>
      <w:r w:rsidRPr="00654CB9">
        <w:rPr>
          <w:rFonts w:cs="Times New Roman"/>
          <w:szCs w:val="24"/>
        </w:rPr>
        <w:t>H NMR (500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7.65 – 7.57 (m, 2H), 7.15 – 7.06 (m, 2H), 3.77 (d, </w:t>
      </w:r>
      <w:r w:rsidRPr="00654CB9">
        <w:rPr>
          <w:rFonts w:cs="Times New Roman"/>
          <w:i/>
          <w:iCs/>
          <w:szCs w:val="24"/>
        </w:rPr>
        <w:t>J</w:t>
      </w:r>
      <w:r w:rsidRPr="00654CB9">
        <w:rPr>
          <w:rFonts w:cs="Times New Roman"/>
          <w:szCs w:val="24"/>
        </w:rPr>
        <w:t xml:space="preserve"> = 6.0 Hz, 1H), 2.35 – 2.24 (m, 1H), 1.12 (dd, </w:t>
      </w:r>
      <w:r w:rsidRPr="00654CB9">
        <w:rPr>
          <w:rFonts w:cs="Times New Roman"/>
          <w:i/>
          <w:iCs/>
          <w:szCs w:val="24"/>
        </w:rPr>
        <w:t>J</w:t>
      </w:r>
      <w:r w:rsidRPr="00654CB9">
        <w:rPr>
          <w:rFonts w:cs="Times New Roman"/>
          <w:szCs w:val="24"/>
        </w:rPr>
        <w:t xml:space="preserve"> = 12.8, 6.9 Hz, 6H). </w:t>
      </w:r>
      <w:r w:rsidRPr="00654CB9">
        <w:rPr>
          <w:rFonts w:cs="Times New Roman"/>
          <w:szCs w:val="24"/>
          <w:vertAlign w:val="superscript"/>
        </w:rPr>
        <w:t>13</w:t>
      </w:r>
      <w:r w:rsidRPr="00654CB9">
        <w:rPr>
          <w:rFonts w:cs="Times New Roman"/>
          <w:szCs w:val="24"/>
        </w:rPr>
        <w:t>C NMR (151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167.9, 161.1 (d, </w:t>
      </w:r>
      <w:r w:rsidRPr="00654CB9">
        <w:rPr>
          <w:rFonts w:cs="Times New Roman"/>
          <w:i/>
          <w:iCs/>
          <w:szCs w:val="24"/>
        </w:rPr>
        <w:t>J</w:t>
      </w:r>
      <w:r w:rsidRPr="00654CB9">
        <w:rPr>
          <w:rFonts w:cs="Times New Roman"/>
          <w:szCs w:val="24"/>
        </w:rPr>
        <w:t xml:space="preserve"> = 242.4 Hz), 135.1, 123.2 (d, </w:t>
      </w:r>
      <w:r w:rsidRPr="00654CB9">
        <w:rPr>
          <w:rFonts w:cs="Times New Roman"/>
          <w:i/>
          <w:iCs/>
          <w:szCs w:val="24"/>
        </w:rPr>
        <w:t>J</w:t>
      </w:r>
      <w:r w:rsidRPr="00654CB9">
        <w:rPr>
          <w:rFonts w:cs="Times New Roman"/>
          <w:szCs w:val="24"/>
        </w:rPr>
        <w:t xml:space="preserve"> = 8.0 Hz), 116.5 (d, </w:t>
      </w:r>
      <w:r w:rsidRPr="00654CB9">
        <w:rPr>
          <w:rFonts w:cs="Times New Roman"/>
          <w:i/>
          <w:iCs/>
          <w:szCs w:val="24"/>
        </w:rPr>
        <w:t>J</w:t>
      </w:r>
      <w:r w:rsidRPr="00654CB9">
        <w:rPr>
          <w:rFonts w:cs="Times New Roman"/>
          <w:szCs w:val="24"/>
        </w:rPr>
        <w:t xml:space="preserve"> = 22.7 Hz), 60.4 (d, </w:t>
      </w:r>
      <w:r w:rsidRPr="00654CB9">
        <w:rPr>
          <w:rFonts w:cs="Times New Roman"/>
          <w:i/>
          <w:iCs/>
          <w:szCs w:val="24"/>
        </w:rPr>
        <w:t>J</w:t>
      </w:r>
      <w:r w:rsidRPr="00654CB9">
        <w:rPr>
          <w:rFonts w:cs="Times New Roman"/>
          <w:szCs w:val="24"/>
        </w:rPr>
        <w:t xml:space="preserve"> = 2.4 Hz), 31.7, 18.9, 17.9. HRMS </w:t>
      </w:r>
      <w:proofErr w:type="spellStart"/>
      <w:r w:rsidRPr="00654CB9">
        <w:rPr>
          <w:rFonts w:cs="Times New Roman"/>
          <w:szCs w:val="24"/>
        </w:rPr>
        <w:t>calcd</w:t>
      </w:r>
      <w:proofErr w:type="spellEnd"/>
      <w:r w:rsidRPr="00654CB9">
        <w:rPr>
          <w:rFonts w:cs="Times New Roman"/>
          <w:szCs w:val="24"/>
        </w:rPr>
        <w:t xml:space="preserve"> for C</w:t>
      </w:r>
      <w:r w:rsidRPr="00654CB9">
        <w:rPr>
          <w:rFonts w:cs="Times New Roman"/>
          <w:szCs w:val="24"/>
          <w:vertAlign w:val="subscript"/>
        </w:rPr>
        <w:t>11</w:t>
      </w:r>
      <w:r w:rsidRPr="00654CB9">
        <w:rPr>
          <w:rFonts w:cs="Times New Roman"/>
          <w:szCs w:val="24"/>
        </w:rPr>
        <w:t>H</w:t>
      </w:r>
      <w:r w:rsidRPr="00654CB9">
        <w:rPr>
          <w:rFonts w:cs="Times New Roman"/>
          <w:szCs w:val="24"/>
          <w:vertAlign w:val="subscript"/>
        </w:rPr>
        <w:t>15</w:t>
      </w:r>
      <w:r w:rsidRPr="00654CB9">
        <w:rPr>
          <w:rFonts w:cs="Times New Roman"/>
          <w:szCs w:val="24"/>
        </w:rPr>
        <w:t>FN</w:t>
      </w:r>
      <w:r w:rsidRPr="00654CB9">
        <w:rPr>
          <w:rFonts w:cs="Times New Roman"/>
          <w:szCs w:val="24"/>
          <w:vertAlign w:val="subscript"/>
        </w:rPr>
        <w:t>2</w:t>
      </w:r>
      <w:r w:rsidRPr="00654CB9">
        <w:rPr>
          <w:rFonts w:cs="Times New Roman"/>
          <w:szCs w:val="24"/>
        </w:rPr>
        <w:t>O [M+</w:t>
      </w:r>
      <w:proofErr w:type="gramStart"/>
      <w:r w:rsidRPr="00654CB9">
        <w:rPr>
          <w:rFonts w:cs="Times New Roman"/>
          <w:szCs w:val="24"/>
        </w:rPr>
        <w:t>H]</w:t>
      </w:r>
      <w:r w:rsidRPr="00654CB9">
        <w:rPr>
          <w:rFonts w:cs="Times New Roman"/>
          <w:szCs w:val="24"/>
          <w:vertAlign w:val="superscript"/>
        </w:rPr>
        <w:t>+</w:t>
      </w:r>
      <w:proofErr w:type="gramEnd"/>
      <w:r w:rsidRPr="00654CB9">
        <w:rPr>
          <w:rFonts w:cs="Times New Roman"/>
          <w:szCs w:val="24"/>
        </w:rPr>
        <w:t>: 211.12, found: 211.1238.</w:t>
      </w:r>
    </w:p>
    <w:p w14:paraId="0A9982A1" w14:textId="77777777" w:rsidR="00654CB9" w:rsidRPr="00654CB9" w:rsidRDefault="00654CB9" w:rsidP="00654CB9">
      <w:pPr>
        <w:ind w:firstLine="720"/>
        <w:rPr>
          <w:rFonts w:cs="Times New Roman"/>
          <w:szCs w:val="24"/>
        </w:rPr>
      </w:pPr>
      <w:r w:rsidRPr="00654CB9">
        <w:rPr>
          <w:rFonts w:cs="Times New Roman"/>
          <w:b/>
          <w:szCs w:val="24"/>
        </w:rPr>
        <w:t>(2R)-2-amino-N-(4-fluorophenyl)-3-methylpentanamide (</w:t>
      </w:r>
      <w:r w:rsidRPr="00654CB9">
        <w:rPr>
          <w:rFonts w:cs="Times New Roman"/>
          <w:b/>
          <w:bCs/>
          <w:szCs w:val="24"/>
        </w:rPr>
        <w:t>2.</w:t>
      </w:r>
      <w:r w:rsidRPr="00654CB9">
        <w:rPr>
          <w:rFonts w:cs="Times New Roman"/>
          <w:b/>
          <w:szCs w:val="24"/>
        </w:rPr>
        <w:t xml:space="preserve">29): </w:t>
      </w:r>
      <w:r w:rsidRPr="00654CB9">
        <w:rPr>
          <w:rFonts w:cs="Times New Roman"/>
          <w:szCs w:val="24"/>
        </w:rPr>
        <w:t xml:space="preserve">Yield 92%, yellow oil. </w:t>
      </w:r>
      <w:r w:rsidRPr="00654CB9">
        <w:rPr>
          <w:rFonts w:cs="Times New Roman"/>
          <w:szCs w:val="24"/>
          <w:vertAlign w:val="superscript"/>
        </w:rPr>
        <w:t>1</w:t>
      </w:r>
      <w:r w:rsidRPr="00654CB9">
        <w:rPr>
          <w:rFonts w:cs="Times New Roman"/>
          <w:szCs w:val="24"/>
        </w:rPr>
        <w:t>H NMR (500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7.64 – 7.56 (m, 2H), 7.14 – 7.05 (m, 2H), 3.80 (d, </w:t>
      </w:r>
      <w:r w:rsidRPr="00654CB9">
        <w:rPr>
          <w:rFonts w:cs="Times New Roman"/>
          <w:i/>
          <w:iCs/>
          <w:szCs w:val="24"/>
        </w:rPr>
        <w:t>J</w:t>
      </w:r>
      <w:r w:rsidRPr="00654CB9">
        <w:rPr>
          <w:rFonts w:cs="Times New Roman"/>
          <w:szCs w:val="24"/>
        </w:rPr>
        <w:t xml:space="preserve"> = 6.0 Hz, 1H), 2.08 – 1.96 (m, 1H), 1.71 – 1.59 (m, 1H), 1.34 – 1.21 (m, 1H), 1.10 (d, </w:t>
      </w:r>
      <w:r w:rsidRPr="00654CB9">
        <w:rPr>
          <w:rFonts w:cs="Times New Roman"/>
          <w:i/>
          <w:iCs/>
          <w:szCs w:val="24"/>
        </w:rPr>
        <w:t>J</w:t>
      </w:r>
      <w:r w:rsidRPr="00654CB9">
        <w:rPr>
          <w:rFonts w:cs="Times New Roman"/>
          <w:szCs w:val="24"/>
        </w:rPr>
        <w:t xml:space="preserve"> = 6.9 Hz, 3H), 1.00 (t, </w:t>
      </w:r>
      <w:r w:rsidRPr="00654CB9">
        <w:rPr>
          <w:rFonts w:cs="Times New Roman"/>
          <w:i/>
          <w:iCs/>
          <w:szCs w:val="24"/>
        </w:rPr>
        <w:t>J</w:t>
      </w:r>
      <w:r w:rsidRPr="00654CB9">
        <w:rPr>
          <w:rFonts w:cs="Times New Roman"/>
          <w:szCs w:val="24"/>
        </w:rPr>
        <w:t xml:space="preserve"> = 7.4 Hz, 3H). </w:t>
      </w:r>
      <w:r w:rsidRPr="00654CB9">
        <w:rPr>
          <w:rFonts w:cs="Times New Roman"/>
          <w:szCs w:val="24"/>
          <w:vertAlign w:val="superscript"/>
        </w:rPr>
        <w:t>13</w:t>
      </w:r>
      <w:r w:rsidRPr="00654CB9">
        <w:rPr>
          <w:rFonts w:cs="Times New Roman"/>
          <w:szCs w:val="24"/>
        </w:rPr>
        <w:t>C NMR (600 MHz, Methanol-</w:t>
      </w:r>
      <w:r w:rsidRPr="00654CB9">
        <w:rPr>
          <w:rFonts w:cs="Times New Roman"/>
          <w:i/>
          <w:szCs w:val="24"/>
        </w:rPr>
        <w:t>d</w:t>
      </w:r>
      <w:r w:rsidRPr="00654CB9">
        <w:rPr>
          <w:rFonts w:cs="Times New Roman"/>
          <w:szCs w:val="24"/>
          <w:vertAlign w:val="subscript"/>
        </w:rPr>
        <w:t>4</w:t>
      </w:r>
      <w:r w:rsidRPr="00654CB9">
        <w:rPr>
          <w:rFonts w:cs="Times New Roman"/>
          <w:szCs w:val="24"/>
        </w:rPr>
        <w:t xml:space="preserve">) δ 168.0, 161.1 (d, J = 242.3 Hz), 135.1, 123.3 (d, J = 8.1 Hz), 116.5 (d, J = 22.7 Hz), 59.6, 38.2, 25.5, 15.2, 11.5. HRMS </w:t>
      </w:r>
      <w:proofErr w:type="spellStart"/>
      <w:r w:rsidRPr="00654CB9">
        <w:rPr>
          <w:rFonts w:cs="Times New Roman"/>
          <w:szCs w:val="24"/>
        </w:rPr>
        <w:t>calcd</w:t>
      </w:r>
      <w:proofErr w:type="spellEnd"/>
      <w:r w:rsidRPr="00654CB9">
        <w:rPr>
          <w:rFonts w:cs="Times New Roman"/>
          <w:szCs w:val="24"/>
        </w:rPr>
        <w:t xml:space="preserve"> for C</w:t>
      </w:r>
      <w:r w:rsidRPr="00654CB9">
        <w:rPr>
          <w:rFonts w:cs="Times New Roman"/>
          <w:szCs w:val="24"/>
          <w:vertAlign w:val="subscript"/>
        </w:rPr>
        <w:t>12</w:t>
      </w:r>
      <w:r w:rsidRPr="00654CB9">
        <w:rPr>
          <w:rFonts w:cs="Times New Roman"/>
          <w:szCs w:val="24"/>
        </w:rPr>
        <w:t>H</w:t>
      </w:r>
      <w:r w:rsidRPr="00654CB9">
        <w:rPr>
          <w:rFonts w:cs="Times New Roman"/>
          <w:szCs w:val="24"/>
          <w:vertAlign w:val="subscript"/>
        </w:rPr>
        <w:t>17</w:t>
      </w:r>
      <w:r w:rsidRPr="00654CB9">
        <w:rPr>
          <w:rFonts w:cs="Times New Roman"/>
          <w:szCs w:val="24"/>
        </w:rPr>
        <w:t>FN</w:t>
      </w:r>
      <w:r w:rsidRPr="00654CB9">
        <w:rPr>
          <w:rFonts w:cs="Times New Roman"/>
          <w:szCs w:val="24"/>
          <w:vertAlign w:val="subscript"/>
        </w:rPr>
        <w:t>2</w:t>
      </w:r>
      <w:r w:rsidRPr="00654CB9">
        <w:rPr>
          <w:rFonts w:cs="Times New Roman"/>
          <w:szCs w:val="24"/>
        </w:rPr>
        <w:t>O [M+</w:t>
      </w:r>
      <w:proofErr w:type="gramStart"/>
      <w:r w:rsidRPr="00654CB9">
        <w:rPr>
          <w:rFonts w:cs="Times New Roman"/>
          <w:szCs w:val="24"/>
        </w:rPr>
        <w:t>H]</w:t>
      </w:r>
      <w:r w:rsidRPr="00654CB9">
        <w:rPr>
          <w:rFonts w:cs="Times New Roman"/>
          <w:szCs w:val="24"/>
          <w:vertAlign w:val="superscript"/>
        </w:rPr>
        <w:t>+</w:t>
      </w:r>
      <w:proofErr w:type="gramEnd"/>
      <w:r w:rsidRPr="00654CB9">
        <w:rPr>
          <w:rFonts w:cs="Times New Roman"/>
          <w:szCs w:val="24"/>
        </w:rPr>
        <w:t xml:space="preserve">: 225.14, found: 225.1390. </w:t>
      </w:r>
    </w:p>
    <w:p w14:paraId="3E351EF9" w14:textId="77777777" w:rsidR="00654CB9" w:rsidRPr="00654CB9" w:rsidRDefault="00654CB9" w:rsidP="00654CB9">
      <w:pPr>
        <w:ind w:firstLine="720"/>
        <w:rPr>
          <w:rFonts w:cs="Times New Roman"/>
          <w:szCs w:val="24"/>
        </w:rPr>
      </w:pPr>
      <w:r w:rsidRPr="00654CB9">
        <w:rPr>
          <w:rFonts w:cs="Times New Roman"/>
          <w:b/>
          <w:szCs w:val="24"/>
        </w:rPr>
        <w:t>(R)-2-amino-N-(4-fluorophenyl)-3-phenylpropanamide (</w:t>
      </w:r>
      <w:r w:rsidRPr="00654CB9">
        <w:rPr>
          <w:rFonts w:cs="Times New Roman"/>
          <w:b/>
          <w:bCs/>
          <w:szCs w:val="24"/>
        </w:rPr>
        <w:t>2.</w:t>
      </w:r>
      <w:r w:rsidRPr="00654CB9">
        <w:rPr>
          <w:rFonts w:cs="Times New Roman"/>
          <w:b/>
          <w:szCs w:val="24"/>
        </w:rPr>
        <w:t xml:space="preserve">30): </w:t>
      </w:r>
      <w:r w:rsidRPr="00654CB9">
        <w:rPr>
          <w:rFonts w:cs="Times New Roman"/>
          <w:szCs w:val="24"/>
        </w:rPr>
        <w:t>Yield 55%, white amorphous solid.</w:t>
      </w:r>
      <w:r w:rsidRPr="00654CB9">
        <w:rPr>
          <w:rFonts w:cs="Times New Roman"/>
          <w:b/>
          <w:szCs w:val="24"/>
        </w:rPr>
        <w:t xml:space="preserve"> </w:t>
      </w:r>
      <w:r w:rsidRPr="00654CB9">
        <w:rPr>
          <w:rFonts w:cs="Times New Roman"/>
          <w:szCs w:val="24"/>
          <w:vertAlign w:val="superscript"/>
        </w:rPr>
        <w:t>1</w:t>
      </w:r>
      <w:r w:rsidRPr="00654CB9">
        <w:rPr>
          <w:rFonts w:cs="Times New Roman"/>
          <w:szCs w:val="24"/>
        </w:rPr>
        <w:t>H NMR (500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δ 7.53 – 7.45 (m, 2H), 7.41 – 7.34 (m, 2H), 7.32 (</w:t>
      </w:r>
      <w:proofErr w:type="spellStart"/>
      <w:r w:rsidRPr="00654CB9">
        <w:rPr>
          <w:rFonts w:cs="Times New Roman"/>
          <w:szCs w:val="24"/>
        </w:rPr>
        <w:t>tt</w:t>
      </w:r>
      <w:proofErr w:type="spellEnd"/>
      <w:r w:rsidRPr="00654CB9">
        <w:rPr>
          <w:rFonts w:cs="Times New Roman"/>
          <w:szCs w:val="24"/>
        </w:rPr>
        <w:t xml:space="preserve">, </w:t>
      </w:r>
      <w:r w:rsidRPr="00654CB9">
        <w:rPr>
          <w:rFonts w:cs="Times New Roman"/>
          <w:i/>
          <w:iCs/>
          <w:szCs w:val="24"/>
        </w:rPr>
        <w:t>J</w:t>
      </w:r>
      <w:r w:rsidRPr="00654CB9">
        <w:rPr>
          <w:rFonts w:cs="Times New Roman"/>
          <w:szCs w:val="24"/>
        </w:rPr>
        <w:t xml:space="preserve"> = 7.9, 1.5 Hz, 3H), 7.12 – 7.03 (m, 2H), 4.16 (td, </w:t>
      </w:r>
      <w:r w:rsidRPr="00654CB9">
        <w:rPr>
          <w:rFonts w:cs="Times New Roman"/>
          <w:i/>
          <w:iCs/>
          <w:szCs w:val="24"/>
        </w:rPr>
        <w:t>J</w:t>
      </w:r>
      <w:r w:rsidRPr="00654CB9">
        <w:rPr>
          <w:rFonts w:cs="Times New Roman"/>
          <w:szCs w:val="24"/>
        </w:rPr>
        <w:t xml:space="preserve"> = 7.4, 1.3 Hz, 1H), 3.29 (dd, </w:t>
      </w:r>
      <w:r w:rsidRPr="00654CB9">
        <w:rPr>
          <w:rFonts w:cs="Times New Roman"/>
          <w:i/>
          <w:iCs/>
          <w:szCs w:val="24"/>
        </w:rPr>
        <w:t>J</w:t>
      </w:r>
      <w:r w:rsidRPr="00654CB9">
        <w:rPr>
          <w:rFonts w:cs="Times New Roman"/>
          <w:szCs w:val="24"/>
        </w:rPr>
        <w:t xml:space="preserve"> = 13.8, 7.1 Hz, 1H), 3.16 (dd, </w:t>
      </w:r>
      <w:r w:rsidRPr="00654CB9">
        <w:rPr>
          <w:rFonts w:cs="Times New Roman"/>
          <w:i/>
          <w:iCs/>
          <w:szCs w:val="24"/>
        </w:rPr>
        <w:t>J</w:t>
      </w:r>
      <w:r w:rsidRPr="00654CB9">
        <w:rPr>
          <w:rFonts w:cs="Times New Roman"/>
          <w:szCs w:val="24"/>
        </w:rPr>
        <w:t xml:space="preserve"> = 13.9, 7.7 Hz, 1H). </w:t>
      </w:r>
      <w:r w:rsidRPr="00654CB9">
        <w:rPr>
          <w:rFonts w:cs="Times New Roman"/>
          <w:szCs w:val="24"/>
          <w:vertAlign w:val="superscript"/>
        </w:rPr>
        <w:t>13</w:t>
      </w:r>
      <w:r w:rsidRPr="00654CB9">
        <w:rPr>
          <w:rFonts w:cs="Times New Roman"/>
          <w:szCs w:val="24"/>
        </w:rPr>
        <w:t>C NMR (151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167.9, 161.1 (d, </w:t>
      </w:r>
      <w:r w:rsidRPr="00654CB9">
        <w:rPr>
          <w:rFonts w:cs="Times New Roman"/>
          <w:i/>
          <w:iCs/>
          <w:szCs w:val="24"/>
        </w:rPr>
        <w:t>J</w:t>
      </w:r>
      <w:r w:rsidRPr="00654CB9">
        <w:rPr>
          <w:rFonts w:cs="Times New Roman"/>
          <w:szCs w:val="24"/>
        </w:rPr>
        <w:t xml:space="preserve"> = 243.6 Hz), 135.6, 134.9, 130.5, 130.1, 128.9, 123.3 (d, </w:t>
      </w:r>
      <w:r w:rsidRPr="00654CB9">
        <w:rPr>
          <w:rFonts w:cs="Times New Roman"/>
          <w:i/>
          <w:iCs/>
          <w:szCs w:val="24"/>
        </w:rPr>
        <w:t>J</w:t>
      </w:r>
      <w:r w:rsidRPr="00654CB9">
        <w:rPr>
          <w:rFonts w:cs="Times New Roman"/>
          <w:szCs w:val="24"/>
        </w:rPr>
        <w:t xml:space="preserve"> = 8.0 Hz), 116.4 (d, </w:t>
      </w:r>
      <w:r w:rsidRPr="00654CB9">
        <w:rPr>
          <w:rFonts w:cs="Times New Roman"/>
          <w:i/>
          <w:iCs/>
          <w:szCs w:val="24"/>
        </w:rPr>
        <w:t>J</w:t>
      </w:r>
      <w:r w:rsidRPr="00654CB9">
        <w:rPr>
          <w:rFonts w:cs="Times New Roman"/>
          <w:szCs w:val="24"/>
        </w:rPr>
        <w:t xml:space="preserve"> = 22.9 Hz), 56.4, 38.8. HRMS </w:t>
      </w:r>
      <w:proofErr w:type="spellStart"/>
      <w:r w:rsidRPr="00654CB9">
        <w:rPr>
          <w:rFonts w:cs="Times New Roman"/>
          <w:szCs w:val="24"/>
        </w:rPr>
        <w:t>calcd</w:t>
      </w:r>
      <w:proofErr w:type="spellEnd"/>
      <w:r w:rsidRPr="00654CB9">
        <w:rPr>
          <w:rFonts w:cs="Times New Roman"/>
          <w:szCs w:val="24"/>
        </w:rPr>
        <w:t xml:space="preserve"> for C</w:t>
      </w:r>
      <w:r w:rsidRPr="00654CB9">
        <w:rPr>
          <w:rFonts w:cs="Times New Roman"/>
          <w:szCs w:val="24"/>
          <w:vertAlign w:val="subscript"/>
        </w:rPr>
        <w:t>15</w:t>
      </w:r>
      <w:r w:rsidRPr="00654CB9">
        <w:rPr>
          <w:rFonts w:cs="Times New Roman"/>
          <w:szCs w:val="24"/>
        </w:rPr>
        <w:t>H</w:t>
      </w:r>
      <w:r w:rsidRPr="00654CB9">
        <w:rPr>
          <w:rFonts w:cs="Times New Roman"/>
          <w:szCs w:val="24"/>
          <w:vertAlign w:val="subscript"/>
        </w:rPr>
        <w:t>15</w:t>
      </w:r>
      <w:r w:rsidRPr="00654CB9">
        <w:rPr>
          <w:rFonts w:cs="Times New Roman"/>
          <w:szCs w:val="24"/>
        </w:rPr>
        <w:t>FN</w:t>
      </w:r>
      <w:r w:rsidRPr="00654CB9">
        <w:rPr>
          <w:rFonts w:cs="Times New Roman"/>
          <w:szCs w:val="24"/>
          <w:vertAlign w:val="subscript"/>
        </w:rPr>
        <w:t>2</w:t>
      </w:r>
      <w:r w:rsidRPr="00654CB9">
        <w:rPr>
          <w:rFonts w:cs="Times New Roman"/>
          <w:szCs w:val="24"/>
        </w:rPr>
        <w:t>O [M-H]</w:t>
      </w:r>
      <w:r w:rsidRPr="00654CB9">
        <w:rPr>
          <w:rFonts w:cs="Times New Roman"/>
          <w:szCs w:val="24"/>
          <w:vertAlign w:val="superscript"/>
        </w:rPr>
        <w:t>-</w:t>
      </w:r>
      <w:r w:rsidRPr="00654CB9">
        <w:rPr>
          <w:rFonts w:cs="Times New Roman"/>
          <w:szCs w:val="24"/>
        </w:rPr>
        <w:t xml:space="preserve">: 257.12, found: 257.1090. </w:t>
      </w:r>
    </w:p>
    <w:p w14:paraId="16F2110C" w14:textId="77777777" w:rsidR="00654CB9" w:rsidRPr="00654CB9" w:rsidRDefault="00654CB9" w:rsidP="00654CB9">
      <w:pPr>
        <w:ind w:firstLine="720"/>
        <w:rPr>
          <w:rFonts w:cs="Times New Roman"/>
          <w:szCs w:val="24"/>
        </w:rPr>
      </w:pPr>
      <w:r w:rsidRPr="00654CB9">
        <w:rPr>
          <w:rFonts w:cs="Times New Roman"/>
          <w:b/>
          <w:szCs w:val="24"/>
        </w:rPr>
        <w:lastRenderedPageBreak/>
        <w:t>(R)-2-amino-N-(4-</w:t>
      </w:r>
      <w:proofErr w:type="gramStart"/>
      <w:r w:rsidRPr="00654CB9">
        <w:rPr>
          <w:rFonts w:cs="Times New Roman"/>
          <w:b/>
          <w:szCs w:val="24"/>
        </w:rPr>
        <w:t>fluorophenyl)propenamide</w:t>
      </w:r>
      <w:proofErr w:type="gramEnd"/>
      <w:r w:rsidRPr="00654CB9">
        <w:rPr>
          <w:rFonts w:cs="Times New Roman"/>
          <w:b/>
          <w:szCs w:val="24"/>
        </w:rPr>
        <w:t xml:space="preserve"> (</w:t>
      </w:r>
      <w:r w:rsidRPr="00654CB9">
        <w:rPr>
          <w:rFonts w:cs="Times New Roman"/>
          <w:b/>
          <w:bCs/>
          <w:szCs w:val="24"/>
        </w:rPr>
        <w:t>2.</w:t>
      </w:r>
      <w:r w:rsidRPr="00654CB9">
        <w:rPr>
          <w:rFonts w:cs="Times New Roman"/>
          <w:b/>
          <w:szCs w:val="24"/>
        </w:rPr>
        <w:t xml:space="preserve">31): </w:t>
      </w:r>
      <w:r w:rsidRPr="00654CB9">
        <w:rPr>
          <w:rFonts w:cs="Times New Roman"/>
          <w:szCs w:val="24"/>
        </w:rPr>
        <w:t>Yield 53%, amber oil.</w:t>
      </w:r>
      <w:r w:rsidRPr="00654CB9">
        <w:rPr>
          <w:rFonts w:cs="Times New Roman"/>
          <w:b/>
          <w:szCs w:val="24"/>
        </w:rPr>
        <w:t xml:space="preserve"> </w:t>
      </w:r>
      <w:r w:rsidRPr="00654CB9">
        <w:rPr>
          <w:rFonts w:cs="Times New Roman"/>
          <w:szCs w:val="24"/>
          <w:vertAlign w:val="superscript"/>
        </w:rPr>
        <w:t>1</w:t>
      </w:r>
      <w:r w:rsidRPr="00654CB9">
        <w:rPr>
          <w:rFonts w:cs="Times New Roman"/>
          <w:szCs w:val="24"/>
        </w:rPr>
        <w:t>H NMR (500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δ 7.78 – 7.70 (m, 1H), 7.30 – 7.18 (m, 2H), 4.05 (</w:t>
      </w:r>
      <w:proofErr w:type="spellStart"/>
      <w:r w:rsidRPr="00654CB9">
        <w:rPr>
          <w:rFonts w:cs="Times New Roman"/>
          <w:szCs w:val="24"/>
        </w:rPr>
        <w:t>qd</w:t>
      </w:r>
      <w:proofErr w:type="spellEnd"/>
      <w:r w:rsidRPr="00654CB9">
        <w:rPr>
          <w:rFonts w:cs="Times New Roman"/>
          <w:szCs w:val="24"/>
        </w:rPr>
        <w:t xml:space="preserve">, </w:t>
      </w:r>
      <w:r w:rsidRPr="00654CB9">
        <w:rPr>
          <w:rFonts w:cs="Times New Roman"/>
          <w:i/>
          <w:iCs/>
          <w:szCs w:val="24"/>
        </w:rPr>
        <w:t>J</w:t>
      </w:r>
      <w:r w:rsidRPr="00654CB9">
        <w:rPr>
          <w:rFonts w:cs="Times New Roman"/>
          <w:szCs w:val="24"/>
        </w:rPr>
        <w:t xml:space="preserve"> = 7.1, 1.4 Hz, 1H), 1.59 (d, </w:t>
      </w:r>
      <w:r w:rsidRPr="00654CB9">
        <w:rPr>
          <w:rFonts w:cs="Times New Roman"/>
          <w:i/>
          <w:iCs/>
          <w:szCs w:val="24"/>
        </w:rPr>
        <w:t>J</w:t>
      </w:r>
      <w:r w:rsidRPr="00654CB9">
        <w:rPr>
          <w:rFonts w:cs="Times New Roman"/>
          <w:szCs w:val="24"/>
        </w:rPr>
        <w:t xml:space="preserve"> = 7.1 Hz, 3H). </w:t>
      </w:r>
      <w:r w:rsidRPr="00654CB9">
        <w:rPr>
          <w:rFonts w:cs="Times New Roman"/>
          <w:szCs w:val="24"/>
          <w:vertAlign w:val="superscript"/>
        </w:rPr>
        <w:t>13</w:t>
      </w:r>
      <w:r w:rsidRPr="00654CB9">
        <w:rPr>
          <w:rFonts w:cs="Times New Roman"/>
          <w:szCs w:val="24"/>
        </w:rPr>
        <w:t>C NMR (151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169.5, 151.2 (dd, </w:t>
      </w:r>
      <w:r w:rsidRPr="00654CB9">
        <w:rPr>
          <w:rFonts w:cs="Times New Roman"/>
          <w:i/>
          <w:iCs/>
          <w:szCs w:val="24"/>
        </w:rPr>
        <w:t>J</w:t>
      </w:r>
      <w:r w:rsidRPr="00654CB9">
        <w:rPr>
          <w:rFonts w:cs="Times New Roman"/>
          <w:szCs w:val="24"/>
        </w:rPr>
        <w:t xml:space="preserve"> = 245.1, 13.2 Hz), 148.3 (dd, </w:t>
      </w:r>
      <w:r w:rsidRPr="00654CB9">
        <w:rPr>
          <w:rFonts w:cs="Times New Roman"/>
          <w:i/>
          <w:iCs/>
          <w:szCs w:val="24"/>
        </w:rPr>
        <w:t>J</w:t>
      </w:r>
      <w:r w:rsidRPr="00654CB9">
        <w:rPr>
          <w:rFonts w:cs="Times New Roman"/>
          <w:szCs w:val="24"/>
        </w:rPr>
        <w:t xml:space="preserve"> = 243.9, 12.7 Hz), 136.1 (d, </w:t>
      </w:r>
      <w:r w:rsidRPr="00654CB9">
        <w:rPr>
          <w:rFonts w:cs="Times New Roman"/>
          <w:i/>
          <w:iCs/>
          <w:szCs w:val="24"/>
        </w:rPr>
        <w:t>J</w:t>
      </w:r>
      <w:r w:rsidRPr="00654CB9">
        <w:rPr>
          <w:rFonts w:cs="Times New Roman"/>
          <w:szCs w:val="24"/>
        </w:rPr>
        <w:t xml:space="preserve"> = 7.5 Hz), 118.4 (d, </w:t>
      </w:r>
      <w:r w:rsidRPr="00654CB9">
        <w:rPr>
          <w:rFonts w:cs="Times New Roman"/>
          <w:i/>
          <w:iCs/>
          <w:szCs w:val="24"/>
        </w:rPr>
        <w:t>J</w:t>
      </w:r>
      <w:r w:rsidRPr="00654CB9">
        <w:rPr>
          <w:rFonts w:cs="Times New Roman"/>
          <w:szCs w:val="24"/>
        </w:rPr>
        <w:t xml:space="preserve"> = 18.3 Hz), 117.4 – 116.9 (m), 110.5 (d, </w:t>
      </w:r>
      <w:r w:rsidRPr="00654CB9">
        <w:rPr>
          <w:rFonts w:cs="Times New Roman"/>
          <w:i/>
          <w:iCs/>
          <w:szCs w:val="24"/>
        </w:rPr>
        <w:t>J</w:t>
      </w:r>
      <w:r w:rsidRPr="00654CB9">
        <w:rPr>
          <w:rFonts w:cs="Times New Roman"/>
          <w:szCs w:val="24"/>
        </w:rPr>
        <w:t xml:space="preserve"> = 22.2 Hz), 50.9, 17.5. HRMS </w:t>
      </w:r>
      <w:proofErr w:type="spellStart"/>
      <w:r w:rsidRPr="00654CB9">
        <w:rPr>
          <w:rFonts w:cs="Times New Roman"/>
          <w:szCs w:val="24"/>
        </w:rPr>
        <w:t>calcd</w:t>
      </w:r>
      <w:proofErr w:type="spellEnd"/>
      <w:r w:rsidRPr="00654CB9">
        <w:rPr>
          <w:rFonts w:cs="Times New Roman"/>
          <w:szCs w:val="24"/>
        </w:rPr>
        <w:t xml:space="preserve"> for C</w:t>
      </w:r>
      <w:r w:rsidRPr="00654CB9">
        <w:rPr>
          <w:rFonts w:cs="Times New Roman"/>
          <w:szCs w:val="24"/>
          <w:vertAlign w:val="subscript"/>
        </w:rPr>
        <w:t>9</w:t>
      </w:r>
      <w:r w:rsidRPr="00654CB9">
        <w:rPr>
          <w:rFonts w:cs="Times New Roman"/>
          <w:szCs w:val="24"/>
        </w:rPr>
        <w:t>H</w:t>
      </w:r>
      <w:r w:rsidRPr="00654CB9">
        <w:rPr>
          <w:rFonts w:cs="Times New Roman"/>
          <w:szCs w:val="24"/>
          <w:vertAlign w:val="subscript"/>
        </w:rPr>
        <w:t>10</w:t>
      </w:r>
      <w:r w:rsidRPr="00654CB9">
        <w:rPr>
          <w:rFonts w:cs="Times New Roman"/>
          <w:szCs w:val="24"/>
        </w:rPr>
        <w:t>F</w:t>
      </w:r>
      <w:r w:rsidRPr="00654CB9">
        <w:rPr>
          <w:rFonts w:cs="Times New Roman"/>
          <w:szCs w:val="24"/>
          <w:vertAlign w:val="subscript"/>
        </w:rPr>
        <w:t>2</w:t>
      </w:r>
      <w:r w:rsidRPr="00654CB9">
        <w:rPr>
          <w:rFonts w:cs="Times New Roman"/>
          <w:szCs w:val="24"/>
        </w:rPr>
        <w:t>N</w:t>
      </w:r>
      <w:r w:rsidRPr="00654CB9">
        <w:rPr>
          <w:rFonts w:cs="Times New Roman"/>
          <w:szCs w:val="24"/>
          <w:vertAlign w:val="subscript"/>
        </w:rPr>
        <w:t>2</w:t>
      </w:r>
      <w:r w:rsidRPr="00654CB9">
        <w:rPr>
          <w:rFonts w:cs="Times New Roman"/>
          <w:szCs w:val="24"/>
        </w:rPr>
        <w:t>O [M+</w:t>
      </w:r>
      <w:proofErr w:type="gramStart"/>
      <w:r w:rsidRPr="00654CB9">
        <w:rPr>
          <w:rFonts w:cs="Times New Roman"/>
          <w:szCs w:val="24"/>
        </w:rPr>
        <w:t>H]</w:t>
      </w:r>
      <w:r w:rsidRPr="00654CB9">
        <w:rPr>
          <w:rFonts w:cs="Times New Roman"/>
          <w:szCs w:val="24"/>
          <w:vertAlign w:val="superscript"/>
        </w:rPr>
        <w:t>+</w:t>
      </w:r>
      <w:proofErr w:type="gramEnd"/>
      <w:r w:rsidRPr="00654CB9">
        <w:rPr>
          <w:rFonts w:cs="Times New Roman"/>
          <w:szCs w:val="24"/>
        </w:rPr>
        <w:t xml:space="preserve">: 201.08, found: 201.0830. </w:t>
      </w:r>
    </w:p>
    <w:p w14:paraId="5F84C3FD" w14:textId="77777777" w:rsidR="00654CB9" w:rsidRPr="00654CB9" w:rsidRDefault="00654CB9" w:rsidP="00654CB9">
      <w:pPr>
        <w:ind w:firstLine="720"/>
        <w:rPr>
          <w:rFonts w:cs="Times New Roman"/>
          <w:szCs w:val="24"/>
        </w:rPr>
      </w:pPr>
      <w:r w:rsidRPr="00654CB9">
        <w:rPr>
          <w:rFonts w:cs="Times New Roman"/>
          <w:b/>
          <w:szCs w:val="24"/>
        </w:rPr>
        <w:t>(R)-2-amino-N-(3,4-difluorophenyl)-3-methylbutanamide (</w:t>
      </w:r>
      <w:r w:rsidRPr="00654CB9">
        <w:rPr>
          <w:rFonts w:cs="Times New Roman"/>
          <w:b/>
          <w:bCs/>
          <w:szCs w:val="24"/>
        </w:rPr>
        <w:t>2.</w:t>
      </w:r>
      <w:r w:rsidRPr="00654CB9">
        <w:rPr>
          <w:rFonts w:cs="Times New Roman"/>
          <w:b/>
          <w:szCs w:val="24"/>
        </w:rPr>
        <w:t xml:space="preserve">32): </w:t>
      </w:r>
      <w:r w:rsidRPr="00654CB9">
        <w:rPr>
          <w:rFonts w:cs="Times New Roman"/>
          <w:szCs w:val="24"/>
        </w:rPr>
        <w:t>Yield 57%, red oil.</w:t>
      </w:r>
      <w:r w:rsidRPr="00654CB9">
        <w:rPr>
          <w:rFonts w:cs="Times New Roman"/>
          <w:b/>
          <w:szCs w:val="24"/>
        </w:rPr>
        <w:t xml:space="preserve"> </w:t>
      </w:r>
      <w:r w:rsidRPr="00654CB9">
        <w:rPr>
          <w:rFonts w:cs="Times New Roman"/>
          <w:szCs w:val="24"/>
          <w:vertAlign w:val="superscript"/>
        </w:rPr>
        <w:t>1</w:t>
      </w:r>
      <w:r w:rsidRPr="00654CB9">
        <w:rPr>
          <w:rFonts w:cs="Times New Roman"/>
          <w:szCs w:val="24"/>
        </w:rPr>
        <w:t>H NMR (500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7.80 – 7.72 (m, 1H), 7.33 – 7.21 (m, 2H), 3.78 (dt, </w:t>
      </w:r>
      <w:r w:rsidRPr="00654CB9">
        <w:rPr>
          <w:rFonts w:cs="Times New Roman"/>
          <w:i/>
          <w:iCs/>
          <w:szCs w:val="24"/>
        </w:rPr>
        <w:t>J</w:t>
      </w:r>
      <w:r w:rsidRPr="00654CB9">
        <w:rPr>
          <w:rFonts w:cs="Times New Roman"/>
          <w:szCs w:val="24"/>
        </w:rPr>
        <w:t xml:space="preserve"> = 5.9, 1.2 Hz, 1H), 2.34 – 2.24 (m, 1H), 1.11 (dd, </w:t>
      </w:r>
      <w:r w:rsidRPr="00654CB9">
        <w:rPr>
          <w:rFonts w:cs="Times New Roman"/>
          <w:i/>
          <w:iCs/>
          <w:szCs w:val="24"/>
        </w:rPr>
        <w:t>J</w:t>
      </w:r>
      <w:r w:rsidRPr="00654CB9">
        <w:rPr>
          <w:rFonts w:cs="Times New Roman"/>
          <w:szCs w:val="24"/>
        </w:rPr>
        <w:t xml:space="preserve"> = 15.0, 6.9 Hz, 6H). </w:t>
      </w:r>
      <w:r w:rsidRPr="00654CB9">
        <w:rPr>
          <w:rFonts w:cs="Times New Roman"/>
          <w:szCs w:val="24"/>
          <w:vertAlign w:val="superscript"/>
        </w:rPr>
        <w:t>13</w:t>
      </w:r>
      <w:r w:rsidRPr="00654CB9">
        <w:rPr>
          <w:rFonts w:cs="Times New Roman"/>
          <w:szCs w:val="24"/>
        </w:rPr>
        <w:t>C NMR (151 MHz, Methanol-</w:t>
      </w:r>
      <w:r w:rsidRPr="00654CB9">
        <w:rPr>
          <w:rFonts w:cs="Times New Roman"/>
          <w:i/>
          <w:iCs/>
          <w:szCs w:val="24"/>
        </w:rPr>
        <w:t>d</w:t>
      </w:r>
      <w:r w:rsidRPr="00654CB9">
        <w:rPr>
          <w:rFonts w:cs="Times New Roman"/>
          <w:szCs w:val="24"/>
          <w:vertAlign w:val="subscript"/>
        </w:rPr>
        <w:t>4</w:t>
      </w:r>
      <w:r w:rsidRPr="00654CB9">
        <w:rPr>
          <w:rFonts w:cs="Times New Roman"/>
          <w:szCs w:val="24"/>
        </w:rPr>
        <w:t xml:space="preserve">) δ 168.1, 151.2 (dd, </w:t>
      </w:r>
      <w:r w:rsidRPr="00654CB9">
        <w:rPr>
          <w:rFonts w:cs="Times New Roman"/>
          <w:i/>
          <w:iCs/>
          <w:szCs w:val="24"/>
        </w:rPr>
        <w:t>J</w:t>
      </w:r>
      <w:r w:rsidRPr="00654CB9">
        <w:rPr>
          <w:rFonts w:cs="Times New Roman"/>
          <w:szCs w:val="24"/>
        </w:rPr>
        <w:t xml:space="preserve"> = 245.8, 13.6 Hz), 148.3 (dd, </w:t>
      </w:r>
      <w:r w:rsidRPr="00654CB9">
        <w:rPr>
          <w:rFonts w:cs="Times New Roman"/>
          <w:i/>
          <w:iCs/>
          <w:szCs w:val="24"/>
        </w:rPr>
        <w:t>J</w:t>
      </w:r>
      <w:r w:rsidRPr="00654CB9">
        <w:rPr>
          <w:rFonts w:cs="Times New Roman"/>
          <w:szCs w:val="24"/>
        </w:rPr>
        <w:t xml:space="preserve"> = 245.0, 12.9 Hz), 135.8 (d, </w:t>
      </w:r>
      <w:r w:rsidRPr="00654CB9">
        <w:rPr>
          <w:rFonts w:cs="Times New Roman"/>
          <w:i/>
          <w:iCs/>
          <w:szCs w:val="24"/>
        </w:rPr>
        <w:t>J</w:t>
      </w:r>
      <w:r w:rsidRPr="00654CB9">
        <w:rPr>
          <w:rFonts w:cs="Times New Roman"/>
          <w:szCs w:val="24"/>
        </w:rPr>
        <w:t xml:space="preserve"> = 3.4 Hz), 118.5 (d, </w:t>
      </w:r>
      <w:r w:rsidRPr="00654CB9">
        <w:rPr>
          <w:rFonts w:cs="Times New Roman"/>
          <w:i/>
          <w:iCs/>
          <w:szCs w:val="24"/>
        </w:rPr>
        <w:t>J</w:t>
      </w:r>
      <w:r w:rsidRPr="00654CB9">
        <w:rPr>
          <w:rFonts w:cs="Times New Roman"/>
          <w:szCs w:val="24"/>
        </w:rPr>
        <w:t xml:space="preserve"> = 18.7 Hz), 117.2 (dd, </w:t>
      </w:r>
      <w:r w:rsidRPr="00654CB9">
        <w:rPr>
          <w:rFonts w:cs="Times New Roman"/>
          <w:i/>
          <w:iCs/>
          <w:szCs w:val="24"/>
        </w:rPr>
        <w:t>J</w:t>
      </w:r>
      <w:r w:rsidRPr="00654CB9">
        <w:rPr>
          <w:rFonts w:cs="Times New Roman"/>
          <w:szCs w:val="24"/>
        </w:rPr>
        <w:t xml:space="preserve"> = 6.0, 3.7 Hz), 110.6 (d, </w:t>
      </w:r>
      <w:r w:rsidRPr="00654CB9">
        <w:rPr>
          <w:rFonts w:cs="Times New Roman"/>
          <w:i/>
          <w:iCs/>
          <w:szCs w:val="24"/>
        </w:rPr>
        <w:t>J</w:t>
      </w:r>
      <w:r w:rsidRPr="00654CB9">
        <w:rPr>
          <w:rFonts w:cs="Times New Roman"/>
          <w:szCs w:val="24"/>
        </w:rPr>
        <w:t xml:space="preserve"> = 21.9 Hz), 60.4, 31.7, 18.9, 17.8. HRMS </w:t>
      </w:r>
      <w:proofErr w:type="spellStart"/>
      <w:r w:rsidRPr="00654CB9">
        <w:rPr>
          <w:rFonts w:cs="Times New Roman"/>
          <w:szCs w:val="24"/>
        </w:rPr>
        <w:t>calcd</w:t>
      </w:r>
      <w:proofErr w:type="spellEnd"/>
      <w:r w:rsidRPr="00654CB9">
        <w:rPr>
          <w:rFonts w:cs="Times New Roman"/>
          <w:szCs w:val="24"/>
        </w:rPr>
        <w:t xml:space="preserve"> for C</w:t>
      </w:r>
      <w:r w:rsidRPr="00654CB9">
        <w:rPr>
          <w:rFonts w:cs="Times New Roman"/>
          <w:szCs w:val="24"/>
          <w:vertAlign w:val="subscript"/>
        </w:rPr>
        <w:t>11</w:t>
      </w:r>
      <w:r w:rsidRPr="00654CB9">
        <w:rPr>
          <w:rFonts w:cs="Times New Roman"/>
          <w:szCs w:val="24"/>
        </w:rPr>
        <w:t>H</w:t>
      </w:r>
      <w:r w:rsidRPr="00654CB9">
        <w:rPr>
          <w:rFonts w:cs="Times New Roman"/>
          <w:szCs w:val="24"/>
          <w:vertAlign w:val="subscript"/>
        </w:rPr>
        <w:t>14</w:t>
      </w:r>
      <w:r w:rsidRPr="00654CB9">
        <w:rPr>
          <w:rFonts w:cs="Times New Roman"/>
          <w:szCs w:val="24"/>
        </w:rPr>
        <w:t>F</w:t>
      </w:r>
      <w:r w:rsidRPr="00654CB9">
        <w:rPr>
          <w:rFonts w:cs="Times New Roman"/>
          <w:szCs w:val="24"/>
          <w:vertAlign w:val="subscript"/>
        </w:rPr>
        <w:t>2</w:t>
      </w:r>
      <w:r w:rsidRPr="00654CB9">
        <w:rPr>
          <w:rFonts w:cs="Times New Roman"/>
          <w:szCs w:val="24"/>
        </w:rPr>
        <w:t>N</w:t>
      </w:r>
      <w:r w:rsidRPr="00654CB9">
        <w:rPr>
          <w:rFonts w:cs="Times New Roman"/>
          <w:szCs w:val="24"/>
          <w:vertAlign w:val="subscript"/>
        </w:rPr>
        <w:t>2</w:t>
      </w:r>
      <w:r w:rsidRPr="00654CB9">
        <w:rPr>
          <w:rFonts w:cs="Times New Roman"/>
          <w:szCs w:val="24"/>
        </w:rPr>
        <w:t>O [M-H]</w:t>
      </w:r>
      <w:r w:rsidRPr="00654CB9">
        <w:rPr>
          <w:rFonts w:cs="Times New Roman"/>
          <w:szCs w:val="24"/>
          <w:vertAlign w:val="superscript"/>
        </w:rPr>
        <w:t>-</w:t>
      </w:r>
      <w:r w:rsidRPr="00654CB9">
        <w:rPr>
          <w:rFonts w:cs="Times New Roman"/>
          <w:szCs w:val="24"/>
        </w:rPr>
        <w:t>: 227.11, found: 227.0997</w:t>
      </w:r>
    </w:p>
    <w:p w14:paraId="035F9775" w14:textId="5440C2ED" w:rsidR="00654CB9" w:rsidRPr="00654CB9" w:rsidRDefault="00654CB9" w:rsidP="00543712">
      <w:pPr>
        <w:pStyle w:val="Subsection"/>
      </w:pPr>
      <w:bookmarkStart w:id="206" w:name="_Toc98429815"/>
      <w:bookmarkStart w:id="207" w:name="_Toc102586261"/>
      <w:r w:rsidRPr="00654CB9">
        <w:t xml:space="preserve">2.4.3 Biological </w:t>
      </w:r>
      <w:r w:rsidR="007B3DF1">
        <w:t>e</w:t>
      </w:r>
      <w:r w:rsidRPr="00654CB9">
        <w:t>valuation</w:t>
      </w:r>
      <w:bookmarkEnd w:id="206"/>
      <w:bookmarkEnd w:id="207"/>
    </w:p>
    <w:p w14:paraId="05420F1E" w14:textId="77777777" w:rsidR="00654CB9" w:rsidRPr="00654CB9" w:rsidRDefault="00654CB9" w:rsidP="00654CB9">
      <w:pPr>
        <w:spacing w:after="0"/>
        <w:ind w:firstLine="720"/>
        <w:rPr>
          <w:rFonts w:ascii="Times" w:hAnsi="Times" w:cs="Times"/>
          <w:i/>
          <w:iCs/>
          <w:noProof/>
          <w:szCs w:val="24"/>
        </w:rPr>
      </w:pPr>
      <w:r w:rsidRPr="00654CB9">
        <w:rPr>
          <w:rFonts w:ascii="Times" w:hAnsi="Times" w:cs="Times"/>
          <w:b/>
          <w:bCs/>
          <w:noProof/>
          <w:szCs w:val="24"/>
        </w:rPr>
        <w:t>Detection of phosphorylated CpxR.</w:t>
      </w:r>
      <w:r w:rsidRPr="00654CB9">
        <w:rPr>
          <w:rFonts w:ascii="Times" w:hAnsi="Times" w:cs="Times"/>
          <w:i/>
          <w:iCs/>
          <w:noProof/>
          <w:szCs w:val="24"/>
        </w:rPr>
        <w:t> </w:t>
      </w:r>
      <w:r w:rsidRPr="00654CB9">
        <w:rPr>
          <w:rFonts w:ascii="Times" w:hAnsi="Times" w:cs="Times"/>
          <w:noProof/>
          <w:szCs w:val="24"/>
        </w:rPr>
        <w:t>Wild-type and Δ</w:t>
      </w:r>
      <w:r w:rsidRPr="00654CB9">
        <w:rPr>
          <w:rFonts w:ascii="Times" w:hAnsi="Times" w:cs="Times"/>
          <w:i/>
          <w:iCs/>
          <w:noProof/>
          <w:szCs w:val="24"/>
        </w:rPr>
        <w:t>cpxA</w:t>
      </w:r>
      <w:r w:rsidRPr="00654CB9">
        <w:rPr>
          <w:rFonts w:ascii="Times" w:hAnsi="Times" w:cs="Times"/>
          <w:noProof/>
          <w:szCs w:val="24"/>
        </w:rPr>
        <w:t> bacteria were grown overnight in side-arm flasks in TB7 broth without glucose, then diluted to OD</w:t>
      </w:r>
      <w:r w:rsidRPr="00654CB9">
        <w:rPr>
          <w:rFonts w:ascii="Times" w:hAnsi="Times" w:cs="Times"/>
          <w:noProof/>
          <w:szCs w:val="24"/>
          <w:vertAlign w:val="subscript"/>
        </w:rPr>
        <w:t>600</w:t>
      </w:r>
      <w:r w:rsidRPr="00654CB9">
        <w:rPr>
          <w:rFonts w:ascii="Times" w:hAnsi="Times" w:cs="Times"/>
          <w:noProof/>
          <w:szCs w:val="24"/>
        </w:rPr>
        <w:t> of about 0.1 in 1.7X TB7 supplemented with glucose; To each well of a 384-well plate, 30 μL of this dilution was added to 20 μL of compound D13 (10 μM) dissolved in DMSO or DMSO alone (192 wells for each strain/treatment). After 5 hours incubation at 37 °C, the wells were pooled and harvested by centrifugation. All processing was carried out at 4 °C. The cells were washed once in phosphate-buffered saline, pH 7.4 and suspended in 2X Laemmli lysis buffer, according to bacterial pellet weight. As controls, 10  μM  His6-CpxR, expressed and purified as previously described,</w:t>
      </w:r>
      <w:r w:rsidRPr="00654CB9">
        <w:rPr>
          <w:rFonts w:ascii="Times" w:hAnsi="Times" w:cs="Times"/>
          <w:noProof/>
          <w:szCs w:val="24"/>
        </w:rPr>
        <w:fldChar w:fldCharType="begin"/>
      </w:r>
      <w:r w:rsidRPr="00654CB9">
        <w:rPr>
          <w:rFonts w:ascii="Times" w:hAnsi="Times" w:cs="Times"/>
          <w:noProof/>
          <w:szCs w:val="24"/>
        </w:rPr>
        <w:instrText xml:space="preserve"> ADDIN ZOTERO_ITEM CSL_CITATION {"citationID":"UlLvZRgU","properties":{"formattedCitation":"\\super 33\\nosupersub{}","plainCitation":"33","noteIndex":0},"citationItems":[{"id":163,"uris":["http://zotero.org/users/6503767/items/GI8ZJB4G"],"itemData":{"id":163,"type":"article-journal","container-title":"Journal of Biological Chemistry","DOI":"10.1074/jbc.M112.365502","ISSN":"00219258","issue":"38","journalAbbreviation":"Journal of Biological Chemistry","language":"en","page":"32147-32160","source":"DOI.org (Crossref)","title":"Inhibition of Acetyl Phosphate-dependent Transcription by an Acetylatable Lysine on RNA Polymerase","volume":"287","author":[{"family":"Lima","given":"Bruno P."},{"family":"Thanh Huyen","given":"Tran Thi"},{"family":"Bäsell","given":"Katrin"},{"family":"Becher","given":"Dörte"},{"family":"Antelmann","given":"Haike"},{"family":"Wolfe","given":"Alan J."}],"issued":{"date-parts":[["2012",9]]}}}],"schema":"https://github.com/citation-style-language/schema/raw/master/csl-citation.json"} </w:instrText>
      </w:r>
      <w:r w:rsidRPr="00654CB9">
        <w:rPr>
          <w:rFonts w:ascii="Times" w:hAnsi="Times" w:cs="Times"/>
          <w:noProof/>
          <w:szCs w:val="24"/>
        </w:rPr>
        <w:fldChar w:fldCharType="separate"/>
      </w:r>
      <w:r w:rsidRPr="00654CB9">
        <w:rPr>
          <w:rFonts w:ascii="Times" w:hAnsi="Times" w:cs="Times"/>
          <w:noProof/>
          <w:szCs w:val="24"/>
          <w:vertAlign w:val="superscript"/>
        </w:rPr>
        <w:t>33</w:t>
      </w:r>
      <w:r w:rsidRPr="00654CB9">
        <w:rPr>
          <w:rFonts w:ascii="Times" w:hAnsi="Times" w:cs="Times"/>
          <w:noProof/>
          <w:szCs w:val="24"/>
        </w:rPr>
        <w:fldChar w:fldCharType="end"/>
      </w:r>
      <w:r w:rsidRPr="00654CB9">
        <w:rPr>
          <w:rFonts w:ascii="Times" w:hAnsi="Times" w:cs="Times"/>
          <w:noProof/>
          <w:szCs w:val="24"/>
        </w:rPr>
        <w:t xml:space="preserve"> was incubated with 0 or 20 mM AcP at 30 °C for 15 min. Respectively, 5 μL and 10 μL aliquots of each cell lysate and AcP treatment were separated on a Phos-Tag™ gel, which was prepared </w:t>
      </w:r>
      <w:r w:rsidRPr="00654CB9">
        <w:rPr>
          <w:rFonts w:ascii="Times" w:hAnsi="Times" w:cs="Times"/>
          <w:noProof/>
          <w:szCs w:val="24"/>
        </w:rPr>
        <w:lastRenderedPageBreak/>
        <w:t>according to Lima and colleagues</w:t>
      </w:r>
      <w:r w:rsidRPr="00654CB9">
        <w:rPr>
          <w:rFonts w:ascii="Times" w:hAnsi="Times" w:cs="Times"/>
          <w:noProof/>
          <w:szCs w:val="24"/>
        </w:rPr>
        <w:fldChar w:fldCharType="begin"/>
      </w:r>
      <w:r w:rsidRPr="00654CB9">
        <w:rPr>
          <w:rFonts w:ascii="Times" w:hAnsi="Times" w:cs="Times"/>
          <w:noProof/>
          <w:szCs w:val="24"/>
        </w:rPr>
        <w:instrText xml:space="preserve"> ADDIN ZOTERO_ITEM CSL_CITATION {"citationID":"Un5VNvIL","properties":{"formattedCitation":"\\super 33\\nosupersub{}","plainCitation":"33","noteIndex":0},"citationItems":[{"id":163,"uris":["http://zotero.org/users/6503767/items/GI8ZJB4G"],"itemData":{"id":163,"type":"article-journal","container-title":"Journal of Biological Chemistry","DOI":"10.1074/jbc.M112.365502","ISSN":"00219258","issue":"38","journalAbbreviation":"Journal of Biological Chemistry","language":"en","page":"32147-32160","source":"DOI.org (Crossref)","title":"Inhibition of Acetyl Phosphate-dependent Transcription by an Acetylatable Lysine on RNA Polymerase","volume":"287","author":[{"family":"Lima","given":"Bruno P."},{"family":"Thanh Huyen","given":"Tran Thi"},{"family":"Bäsell","given":"Katrin"},{"family":"Becher","given":"Dörte"},{"family":"Antelmann","given":"Haike"},{"family":"Wolfe","given":"Alan J."}],"issued":{"date-parts":[["2012",9]]}}}],"schema":"https://github.com/citation-style-language/schema/raw/master/csl-citation.json"} </w:instrText>
      </w:r>
      <w:r w:rsidRPr="00654CB9">
        <w:rPr>
          <w:rFonts w:ascii="Times" w:hAnsi="Times" w:cs="Times"/>
          <w:noProof/>
          <w:szCs w:val="24"/>
        </w:rPr>
        <w:fldChar w:fldCharType="separate"/>
      </w:r>
      <w:r w:rsidRPr="00654CB9">
        <w:rPr>
          <w:rFonts w:ascii="Times" w:hAnsi="Times" w:cs="Times"/>
          <w:noProof/>
          <w:szCs w:val="24"/>
          <w:vertAlign w:val="superscript"/>
        </w:rPr>
        <w:t>33</w:t>
      </w:r>
      <w:r w:rsidRPr="00654CB9">
        <w:rPr>
          <w:rFonts w:ascii="Times" w:hAnsi="Times" w:cs="Times"/>
          <w:noProof/>
          <w:szCs w:val="24"/>
        </w:rPr>
        <w:fldChar w:fldCharType="end"/>
      </w:r>
      <w:r w:rsidRPr="00654CB9">
        <w:rPr>
          <w:rFonts w:ascii="Times" w:hAnsi="Times" w:cs="Times"/>
          <w:noProof/>
          <w:szCs w:val="24"/>
        </w:rPr>
        <w:t> and the manufacturer’s protocol with some modifications. Phos-tag acrylamide was purchased from Wako. The stacking gel contained 4% acrylamide:bis-acrylamide prepared in 350 mM bis-tris, pH 6.8. The separating gel contained 10% acrylamide/bis-acrylamide, 25 μM Phos-tag acrylamide and 50 μM Zn(NO</w:t>
      </w:r>
      <w:r w:rsidRPr="00654CB9">
        <w:rPr>
          <w:rFonts w:ascii="Times" w:hAnsi="Times" w:cs="Times"/>
          <w:noProof/>
          <w:szCs w:val="24"/>
          <w:vertAlign w:val="subscript"/>
        </w:rPr>
        <w:t>3</w:t>
      </w:r>
      <w:r w:rsidRPr="00654CB9">
        <w:rPr>
          <w:rFonts w:ascii="Times" w:hAnsi="Times" w:cs="Times"/>
          <w:noProof/>
          <w:szCs w:val="24"/>
        </w:rPr>
        <w:t>) prepared in 350 mM bis-tris, pH 6.8, and was de-gassed with stirring for 2 minutes prior to pouring. The gel was run at 4 °C in MOPS buffer (0.1 M MOPS, 0.1 M Tris, 5 mM sodium bisulfite and 0.1% SDS) for 2 hours at 40 mAMPs, and the buffer was refreshed each hour. The gel was washed for 15 min in Towbin transfer buffer containing 1 mM EDTA, then for 30 min in standard Towbin transfer buffer. Proteins were transferred to polyvinylidene difluoride membrane using a wet transfer method. Tris-buffered saline containing 0.1% Tween-20 (TBST) was used for washing and TBST supplemented with 5% skim milk was used for blocking and antibody incubations. The membrane was blocked for 1 hour and probed overnight at 4 °C with 1:30,000 anti-MBP/CpxR antibody. The secondary antibody goat anti-rabbit IgG-horseradish peroxidase conjugate was used at a 1:5,000 dilution for 1 hour at room temperature. Densitometry values were determined using Photoshop, and the ratio of CpxR-P to CpxR was analyzed by one way ANOVA .</w:t>
      </w:r>
    </w:p>
    <w:p w14:paraId="524A9A6F" w14:textId="77777777" w:rsidR="00654CB9" w:rsidRPr="00654CB9" w:rsidRDefault="00654CB9" w:rsidP="00654CB9">
      <w:pPr>
        <w:spacing w:after="0"/>
        <w:ind w:firstLine="720"/>
        <w:rPr>
          <w:rFonts w:cs="Times New Roman"/>
          <w:b/>
          <w:noProof/>
          <w:szCs w:val="24"/>
        </w:rPr>
      </w:pPr>
      <w:r w:rsidRPr="00654CB9">
        <w:rPr>
          <w:rFonts w:cs="Times New Roman"/>
          <w:b/>
          <w:noProof/>
          <w:szCs w:val="24"/>
        </w:rPr>
        <w:t xml:space="preserve">Intracellular accumulation of compounds. </w:t>
      </w:r>
      <w:r w:rsidRPr="00654CB9">
        <w:rPr>
          <w:rFonts w:cs="Times New Roman"/>
          <w:i/>
          <w:noProof/>
          <w:szCs w:val="24"/>
        </w:rPr>
        <w:t>E. coli</w:t>
      </w:r>
      <w:r w:rsidRPr="00654CB9">
        <w:rPr>
          <w:rFonts w:cs="Times New Roman"/>
          <w:noProof/>
          <w:szCs w:val="24"/>
        </w:rPr>
        <w:t xml:space="preserve"> BW attTn7::araC-fhuA (WT-Pore) and BW ΔTolC attTn7::PLAC-fhuA (ΔTolC-Pore ) strains</w:t>
      </w:r>
      <w:r w:rsidRPr="00654CB9">
        <w:rPr>
          <w:rFonts w:cs="Times New Roman"/>
          <w:noProof/>
          <w:szCs w:val="24"/>
        </w:rPr>
        <w:fldChar w:fldCharType="begin"/>
      </w:r>
      <w:r w:rsidRPr="00654CB9">
        <w:rPr>
          <w:rFonts w:cs="Times New Roman"/>
          <w:noProof/>
          <w:szCs w:val="24"/>
        </w:rPr>
        <w:instrText xml:space="preserve"> ADDIN ZOTERO_ITEM CSL_CITATION {"citationID":"rYllGTHz","properties":{"formattedCitation":"\\super 21\\nosupersub{}","plainCitation":"21","noteIndex":0},"citationItems":[{"id":160,"uris":["http://zotero.org/users/6503767/items/XIB5IXX4"],"itemData":{"id":160,"type":"article-journal","abstract":"ABSTRACT\n            \n              In Gram-negative bacteria, a synergistic relationship between slow passive uptake of antibiotics across the outer membrane and active efflux transporters creates a permeability barrier, which efficiently reduces the effective concentrations of antibiotics in cells and, hence, their activities. To analyze the relative contributions of active efflux and the passive barrier to the activities of antibiotics, we constructed\n              Escherichia coli\n              strains with controllable permeability of the outer membrane. The strains expressed a large pore that does not discriminate between compounds on the basis of their hydrophilicity and sensitizes cells to a variety of antibacterial agents. We found that the efficacies of antibiotics in these strains were specifically affected by either active efflux or slow uptake, or both, and reflect differences in the properties of the outer membrane barrier, the repertoire of efflux pumps, and the inhibitory activities of antibiotics. Our results identify antibiotics which are the best candidates for the potentiation of activities through efflux inhibition and permeabilization of the outer membrane.","container-title":"Antimicrobial Agents and Chemotherapy","DOI":"10.1128/AAC.01882-16","ISSN":"0066-4804, 1098-6596","issue":"12","journalAbbreviation":"Antimicrob Agents Chemother","language":"en","page":"7372-7381","source":"DOI.org (Crossref)","title":"Breaking the Permeability Barrier of Escherichia coli by Controlled Hyperporination of the Outer Membrane","volume":"60","author":[{"family":"Krishnamoorthy","given":"Ganesh"},{"family":"Wolloscheck","given":"David"},{"family":"Weeks","given":"Jon W."},{"family":"Croft","given":"Cameron"},{"family":"Rybenkov","given":"Valentin V."},{"family":"Zgurskaya","given":"Helen I."}],"issued":{"date-parts":[["2016",12]]}}}],"schema":"https://github.com/citation-style-language/schema/raw/master/csl-citation.json"} </w:instrText>
      </w:r>
      <w:r w:rsidRPr="00654CB9">
        <w:rPr>
          <w:rFonts w:cs="Times New Roman"/>
          <w:noProof/>
          <w:szCs w:val="24"/>
        </w:rPr>
        <w:fldChar w:fldCharType="separate"/>
      </w:r>
      <w:r w:rsidRPr="00654CB9">
        <w:rPr>
          <w:rFonts w:cs="Times New Roman"/>
          <w:noProof/>
          <w:szCs w:val="24"/>
          <w:vertAlign w:val="superscript"/>
        </w:rPr>
        <w:t>21</w:t>
      </w:r>
      <w:r w:rsidRPr="00654CB9">
        <w:rPr>
          <w:rFonts w:cs="Times New Roman"/>
          <w:noProof/>
          <w:szCs w:val="24"/>
        </w:rPr>
        <w:fldChar w:fldCharType="end"/>
      </w:r>
      <w:r w:rsidRPr="00654CB9">
        <w:rPr>
          <w:rFonts w:cs="Times New Roman"/>
          <w:noProof/>
          <w:szCs w:val="24"/>
        </w:rPr>
        <w:t xml:space="preserve"> were grown in MOPS-M9 (pH 7.2) medium overnight. The next morning, cells were subcultured into 200 mL of fresh medium and incubated until OD</w:t>
      </w:r>
      <w:r w:rsidRPr="00654CB9">
        <w:rPr>
          <w:rFonts w:cs="Times New Roman"/>
          <w:noProof/>
          <w:szCs w:val="24"/>
          <w:vertAlign w:val="subscript"/>
        </w:rPr>
        <w:t>600</w:t>
      </w:r>
      <w:r w:rsidRPr="00654CB9">
        <w:rPr>
          <w:rFonts w:cs="Times New Roman"/>
          <w:noProof/>
          <w:szCs w:val="24"/>
        </w:rPr>
        <w:t xml:space="preserve"> reached ~ 0.2.  The cell cultures were split into two flasks, 100 mL each, and L-arainose, the inducer of the Pore was added to one of the culture flask at 0.1% (w/v) final concentration. Cells were grown for additional four hours, pelleted by centrifugation at room temperature (RT), washed twice in MOPS-M9 medium and concentrated ten-fold. For accumulation assays, cells were incubated with 16, 32, 64 and 128 µg/mL of compounds and after </w:t>
      </w:r>
      <w:r w:rsidRPr="00654CB9">
        <w:rPr>
          <w:rFonts w:cs="Times New Roman"/>
          <w:noProof/>
          <w:szCs w:val="24"/>
        </w:rPr>
        <w:lastRenderedPageBreak/>
        <w:t xml:space="preserve">1 and 40 min incubation at RT, 100 µL cell aliquots were collected by vacuum filtration onto 1.0 µm Glass Fiber Type B filters. Filters were washed twice with 10 mM Tris-HCl (pH 8.0), dried and placed into 100% methanol at -80 ̊C for at least 10 min. Intracellular material was extracted by water bath sonication for 1 min. Cell and filter debris were separated by ultracentrifugation at 100,000xg for 8 min at 16 ̊C and the pellet re-extracted with 80% methanol in water by sonication for 15 min followed by ultracentrifugation at the same conditions. Supernatants from two extractions were combined and stored at -80 ̊C until needed. For compound quantification, 5 µL of solution was analyzed in triplicates. The calibration curves for compounds were generated in the same experiment by mixing compounds at increasing concentrations with the sonicated </w:t>
      </w:r>
      <w:r w:rsidRPr="00654CB9">
        <w:rPr>
          <w:rFonts w:cs="Times New Roman"/>
          <w:i/>
          <w:noProof/>
          <w:szCs w:val="24"/>
        </w:rPr>
        <w:t>E. coli</w:t>
      </w:r>
      <w:r w:rsidRPr="00654CB9">
        <w:rPr>
          <w:rFonts w:cs="Times New Roman"/>
          <w:noProof/>
          <w:szCs w:val="24"/>
        </w:rPr>
        <w:t xml:space="preserve"> cell extracts.</w:t>
      </w:r>
    </w:p>
    <w:p w14:paraId="1313786E" w14:textId="77777777" w:rsidR="00654CB9" w:rsidRPr="00654CB9" w:rsidRDefault="00654CB9" w:rsidP="00654CB9">
      <w:pPr>
        <w:ind w:firstLine="720"/>
        <w:rPr>
          <w:rFonts w:cs="Times New Roman"/>
          <w:noProof/>
          <w:szCs w:val="24"/>
        </w:rPr>
      </w:pPr>
      <w:r w:rsidRPr="00654CB9">
        <w:rPr>
          <w:rFonts w:cs="Times New Roman"/>
          <w:noProof/>
          <w:szCs w:val="24"/>
        </w:rPr>
        <w:t>An Agilent 1290 Infinity II ultrahigh-pressure liquid chromatography (UHPLC) system and 6545 quadrupole/time-of-flight (Q/TOF) system (Agilent Technologies) were used to quantify intracellular concentrations of compounds. A Zorbax Rapid Resolution High Definition column (RRHD, 2.1x50mm, 1.8 µm) was used for the separation with a flow rate of 0.65 mL/min. The initial concentration of 5% MS grade Acetonitrile was maintained for 1 min, and this was followed by a linear gradient to 80% over 3 min, and then by 100% over 1.1 min which was maintained for an additional 1.2 min. HPLC solvent mixtures contained 0.1% HPLC grade formic acid (SigmaAldrich) to improve ionization efficiency. MS parameters were as follows: gas temperature, 325  ̊C; capillary voltage, 4000V; fragmentor voltage, 175V; m/z range, 50–1100; detector signal acquisition rate, 4GHz; and spectrum storage rate, 2s-1. MassHunter qualitative and quantitative analysis B8.0 was used to quantify compound concentrations using the calibration curve.</w:t>
      </w:r>
    </w:p>
    <w:p w14:paraId="6CFFE136" w14:textId="77777777" w:rsidR="00654CB9" w:rsidRPr="00654CB9" w:rsidRDefault="00654CB9" w:rsidP="00654CB9">
      <w:pPr>
        <w:ind w:firstLine="720"/>
        <w:rPr>
          <w:rFonts w:cs="Times New Roman"/>
          <w:b/>
          <w:noProof/>
          <w:szCs w:val="24"/>
        </w:rPr>
      </w:pPr>
      <w:r w:rsidRPr="00654CB9">
        <w:rPr>
          <w:rFonts w:cs="Times New Roman"/>
          <w:b/>
          <w:noProof/>
          <w:szCs w:val="24"/>
        </w:rPr>
        <w:t>Murine infection experiments.</w:t>
      </w:r>
      <w:r w:rsidRPr="00654CB9">
        <w:rPr>
          <w:rFonts w:cs="Times New Roman"/>
          <w:noProof/>
          <w:szCs w:val="24"/>
        </w:rPr>
        <w:t xml:space="preserve"> Animal experiments were conducted according to the guidelines of the University of Michigan Institutional Animal Care and Use Committee. For the </w:t>
      </w:r>
      <w:r w:rsidRPr="00654CB9">
        <w:rPr>
          <w:rFonts w:cs="Times New Roman"/>
          <w:noProof/>
          <w:szCs w:val="24"/>
        </w:rPr>
        <w:lastRenderedPageBreak/>
        <w:t>animal infection experiments, bacterial strains were cultured at 37 °C in LB medium overnight with shaking.</w:t>
      </w:r>
      <w:r w:rsidRPr="00654CB9">
        <w:rPr>
          <w:rFonts w:cs="Times New Roman"/>
          <w:noProof/>
          <w:szCs w:val="24"/>
        </w:rPr>
        <w:fldChar w:fldCharType="begin"/>
      </w:r>
      <w:r w:rsidRPr="00654CB9">
        <w:rPr>
          <w:rFonts w:cs="Times New Roman"/>
          <w:noProof/>
          <w:szCs w:val="24"/>
        </w:rPr>
        <w:instrText xml:space="preserve"> ADDIN ZOTERO_ITEM CSL_CITATION {"citationID":"EKzi6m73","properties":{"formattedCitation":"\\super 14\\nosupersub{}","plainCitation":"14","noteIndex":0},"citationItems":[{"id":122,"uris":["http://zotero.org/users/6503767/items/C8DGHM4N"],"itemData":{"id":122,"type":"article-journal","abstract":"CpxRA is an envelope stress response system found in all members of the family Enterobacteriaceae; CpxA has kinase activity for CpxR and phosphatase activity for phospho-CpxR, a transcription factor. CpxR also accepts phosphate groups from acetyl phosphate, a glucose metabolite. Activation of CpxR increases the transcription of genes encoding membrane repair and downregulates virulence determinants. We hypothesized that activation of CpxR could serve as an antimicrobial/antivirulence strategy and discovered compounds that activate CpxR in Escherichia coli by inhibiting CpxA phosphatase activity. As a prelude to testing such compounds in vivo, here we constructed cpxA (in the presence of glucose, CpxR is activated because of a lack of CpxA phosphatase) and cpxR (system absent) deletion mutants of uropathogenic E. coli (UPEC) CFT073. By RNA sequencing, few transcriptional differences were noted between the cpxR mutant and its parent, but in the cpxA mutant, several UPEC virulence determinants were downregulated, including the ﬁm and pap operons, and it exhibited reduced mannose-sensitive hemagglutination of guinea pig red blood cells in vitro. In competition experiments with mice, both mutants were less ﬁt than the parent in the urine, bladder, and kidney; these ﬁtness defects were complemented in trans. Unexpectedly, in single-strain challenges, only the cpxA mutant was attenuated for virulence in the kidney but not in the bladder or urine. For the cpxA mutant, this may be due to the preferential use of amino acids over glucose as a carbon source in the bladder and urine by UPEC. These studies suggest that CpxA phosphatase inhibitors may have some utility for treating complex urinary tract infections.","container-title":"Infection and Immunity","DOI":"10.1128/IAI.00798-17","ISSN":"0019-9567, 1098-5522","issue":"3","journalAbbreviation":"Infect Immun","language":"en","source":"DOI.org (Crossref)","title":"Evaluation of CpxRA as a Therapeutic Target for Uropathogenic Escherichia coli Infections","URL":"https://journals.asm.org/doi/10.1128/IAI.00798-17","volume":"86","author":[{"family":"Dbeibo","given":"Lana"},{"family":"Rensburg","given":"Julia J.","non-dropping-particle":"van"},{"family":"Smith","given":"Sara N."},{"family":"Fortney","given":"Kate R."},{"family":"Gangaiah","given":"Dharanesh"},{"family":"Gao","given":"Hongyu"},{"family":"Marzoa","given":"Juan"},{"family":"Liu","given":"Yunlong"},{"family":"Mobley","given":"Harry L. T."},{"family":"Spinola","given":"Stanley M."}],"editor":[{"family":"Payne","given":"Shelley M."}],"accessed":{"date-parts":[["2021",10,12]]},"issued":{"date-parts":[["2018",3]]}}}],"schema":"https://github.com/citation-style-language/schema/raw/master/csl-citation.json"} </w:instrText>
      </w:r>
      <w:r w:rsidRPr="00654CB9">
        <w:rPr>
          <w:rFonts w:cs="Times New Roman"/>
          <w:noProof/>
          <w:szCs w:val="24"/>
        </w:rPr>
        <w:fldChar w:fldCharType="separate"/>
      </w:r>
      <w:r w:rsidRPr="00654CB9">
        <w:rPr>
          <w:rFonts w:cs="Times New Roman"/>
          <w:noProof/>
          <w:szCs w:val="24"/>
          <w:vertAlign w:val="superscript"/>
        </w:rPr>
        <w:t>14</w:t>
      </w:r>
      <w:r w:rsidRPr="00654CB9">
        <w:rPr>
          <w:rFonts w:cs="Times New Roman"/>
          <w:noProof/>
          <w:szCs w:val="24"/>
        </w:rPr>
        <w:fldChar w:fldCharType="end"/>
      </w:r>
      <w:r w:rsidRPr="00654CB9">
        <w:rPr>
          <w:rFonts w:cs="Times New Roman"/>
          <w:noProof/>
          <w:szCs w:val="24"/>
        </w:rPr>
        <w:t xml:space="preserve">  Female CBA/J mice (Jackson Laboratories, Bar Harbor, ME) were inoculated transurethrally with a target dose of ~10</w:t>
      </w:r>
      <w:r w:rsidRPr="00654CB9">
        <w:rPr>
          <w:rFonts w:cs="Times New Roman"/>
          <w:noProof/>
          <w:szCs w:val="24"/>
          <w:vertAlign w:val="superscript"/>
        </w:rPr>
        <w:t>8</w:t>
      </w:r>
      <w:r w:rsidRPr="00654CB9">
        <w:rPr>
          <w:rFonts w:cs="Times New Roman"/>
          <w:noProof/>
          <w:szCs w:val="24"/>
        </w:rPr>
        <w:t xml:space="preserve"> CFU of CFT073 or CFT073</w:t>
      </w:r>
      <w:r w:rsidRPr="00654CB9">
        <w:rPr>
          <w:rFonts w:cs="Times New Roman"/>
          <w:noProof/>
          <w:szCs w:val="24"/>
        </w:rPr>
        <w:sym w:font="Symbol" w:char="F044"/>
      </w:r>
      <w:r w:rsidRPr="00654CB9">
        <w:rPr>
          <w:rFonts w:cs="Times New Roman"/>
          <w:i/>
          <w:noProof/>
          <w:szCs w:val="24"/>
        </w:rPr>
        <w:t>cpxA::cat.</w:t>
      </w:r>
      <w:r w:rsidRPr="00654CB9">
        <w:rPr>
          <w:rFonts w:cs="Times New Roman"/>
          <w:noProof/>
          <w:szCs w:val="24"/>
        </w:rPr>
        <w:t xml:space="preserve"> Mice were subsequently treated 12 h later either with the vehicle, ciprofloxacin hydrochloride (PanReac AppliChem ITW Reagents, Jade Scientific), compound </w:t>
      </w:r>
      <w:r w:rsidRPr="00654CB9">
        <w:rPr>
          <w:rFonts w:cs="Times New Roman"/>
          <w:b/>
          <w:bCs/>
          <w:noProof/>
          <w:szCs w:val="24"/>
        </w:rPr>
        <w:t>2.1</w:t>
      </w:r>
      <w:r w:rsidRPr="00654CB9">
        <w:rPr>
          <w:rFonts w:cs="Times New Roman"/>
          <w:noProof/>
          <w:szCs w:val="24"/>
        </w:rPr>
        <w:t xml:space="preserve">, compound </w:t>
      </w:r>
      <w:r w:rsidRPr="00654CB9">
        <w:rPr>
          <w:rFonts w:cs="Times New Roman"/>
          <w:b/>
          <w:bCs/>
          <w:noProof/>
          <w:szCs w:val="24"/>
        </w:rPr>
        <w:t>2.6</w:t>
      </w:r>
      <w:r w:rsidRPr="00654CB9">
        <w:rPr>
          <w:rFonts w:cs="Times New Roman"/>
          <w:noProof/>
          <w:szCs w:val="24"/>
        </w:rPr>
        <w:t xml:space="preserve">, or compound </w:t>
      </w:r>
      <w:r w:rsidRPr="00654CB9">
        <w:rPr>
          <w:rFonts w:cs="Times New Roman"/>
          <w:b/>
          <w:bCs/>
          <w:noProof/>
          <w:szCs w:val="24"/>
        </w:rPr>
        <w:t>2.26</w:t>
      </w:r>
      <w:r w:rsidRPr="00654CB9">
        <w:rPr>
          <w:rFonts w:cs="Times New Roman"/>
          <w:noProof/>
          <w:szCs w:val="24"/>
        </w:rPr>
        <w:t xml:space="preserve"> as described in the results and euthanized 4 h after the last treatment. Bacterial loads of each strain were calculated from the urine, bladder, and kidneys of mice, as previously described; the limits of detection for these assays were 100 CFU/ml or 100 CFU/g of urine and tissue, respectively.</w:t>
      </w:r>
      <w:r w:rsidRPr="00654CB9">
        <w:rPr>
          <w:rFonts w:cs="Times New Roman"/>
          <w:noProof/>
          <w:szCs w:val="24"/>
        </w:rPr>
        <w:fldChar w:fldCharType="begin"/>
      </w:r>
      <w:r w:rsidRPr="00654CB9">
        <w:rPr>
          <w:rFonts w:cs="Times New Roman"/>
          <w:noProof/>
          <w:szCs w:val="24"/>
        </w:rPr>
        <w:instrText xml:space="preserve"> ADDIN ZOTERO_ITEM CSL_CITATION {"citationID":"nydVu7Im","properties":{"formattedCitation":"\\super 34\\nosupersub{}","plainCitation":"34","noteIndex":0},"citationItems":[{"id":423,"uris":["http://zotero.org/users/6503767/items/MCKR9MJ4"],"itemData":{"id":423,"type":"article-journal","abstract":"Uncomplicated infections of the urinary tract, caused by uropathogenic Escherichia coli, are among the most common diseases requiring medical intervention. A preventive vaccine to reduce the morbidity and fiscal burden these infections have upon the healthcare system would be beneficial. Here, we describe the results of a large-scale selection process that incorporates bioinformatic, genomic, transcriptomic, and proteomic screens to identify six vaccine candidates from the 5379 predicted proteins encoded by uropathogenic E. coli strain CFT073. The vaccine candidates, ChuA, Hma, Iha, IreA, IroN, and IutA, all belong to a functional class of molecules that is involved in iron acquisition, a process critical for pathogenesis in all microbes. Intranasal immunization of CBA/J mice with these outer membrane iron receptors elicited a systemic and mucosal immune response that included the production of antigen-specific IgM, IgG, and IgA antibodies. The cellular response to vaccination was characterized by the induction and secretion of IFN-γ and IL-17. Of the six potential vaccine candidates, IreA, Hma, and IutA provided significant protection from experimental infection. In immunized animals, class-switching from IgM to IgG and production of antigen-specific IgA in the urine represent immunological correlates of protection from E. coli bladder colonization. These findings are an important first step toward the development of a subunit vaccine to prevent urinary tract infections and demonstrate how targeting an entire class of molecules that are collectively required for pathogenesis may represent a fundamental strategy to combat infections., Because urinary tract infections (UTIs) are a significant healthcare burden, it would be beneficial to develop a vaccine to prevent uncomplicated UTI caused by Escherichia coli. Using a large-scale screening process we uniformly identified proteins involved in iron uptake as potential vaccine candidates against E. coli. Iron acquisition is a critical function required by bacteria in order to cause infections. In uropathogenic Escherichia coli, this function is mediated by a repertoire of systems that scavenge iron from the host during infection. We found that vaccination with certain iron receptors from these systems is sufficient to elicit protective immunity from experimental urinary tract infection. Induction of an antibody response played a key role in protection from infection because antibody class-switching and the production of antibodies in urine correlated with reduced numbers of bacteria in the bladder. By targeting an entire class of molecules involved in iron acquisition instead of a single protein, it was possible to successfully identify components of a protective UTI vaccine. This strategy could be a useful approach in the development of vaccines to prevent infections caused by other pathogenic bacteria.","container-title":"PLoS Pathogens","DOI":"10.1371/journal.ppat.1000586","ISSN":"1553-7366","issue":"9","journalAbbreviation":"PLoS Pathog","note":"PMID: 19806177\nPMCID: PMC2736566","page":"e1000586","source":"PubMed Central","title":"Mucosal Immunization with Iron Receptor Antigens Protects against Urinary Tract Infection","volume":"5","author":[{"family":"Alteri","given":"Christopher J."},{"family":"Hagan","given":"Erin C."},{"family":"Sivick","given":"Kelsey E."},{"family":"Smith","given":"Sara N."},{"family":"Mobley","given":"Harry L. T."}],"issued":{"date-parts":[["2009",9,18]]}}}],"schema":"https://github.com/citation-style-language/schema/raw/master/csl-citation.json"} </w:instrText>
      </w:r>
      <w:r w:rsidRPr="00654CB9">
        <w:rPr>
          <w:rFonts w:cs="Times New Roman"/>
          <w:noProof/>
          <w:szCs w:val="24"/>
        </w:rPr>
        <w:fldChar w:fldCharType="separate"/>
      </w:r>
      <w:r w:rsidRPr="00654CB9">
        <w:rPr>
          <w:rFonts w:cs="Times New Roman"/>
          <w:noProof/>
          <w:szCs w:val="24"/>
          <w:vertAlign w:val="superscript"/>
        </w:rPr>
        <w:t>34</w:t>
      </w:r>
      <w:r w:rsidRPr="00654CB9">
        <w:rPr>
          <w:rFonts w:cs="Times New Roman"/>
          <w:noProof/>
          <w:szCs w:val="24"/>
        </w:rPr>
        <w:fldChar w:fldCharType="end"/>
      </w:r>
      <w:r w:rsidRPr="00654CB9">
        <w:rPr>
          <w:rFonts w:cs="Times New Roman"/>
          <w:noProof/>
          <w:szCs w:val="24"/>
        </w:rPr>
        <w:t xml:space="preserve"> Values of 50 CFU/ml or 50 CFU/g were assigned to specimens whose yields were below the limit of detection. Due to the extreme skewness of the data, natural log transformation was used before the data were analyzed statistically. Descriptive statistics were calculated for all the log transformed variables.  Statistical comparisons were done using Analysis of Variance (ANOVA) with follow-up pairwise tests adjusted for multiple comparisons using the Tukey procedure. </w:t>
      </w:r>
    </w:p>
    <w:p w14:paraId="2F6FB8DF" w14:textId="43F4AA77" w:rsidR="00654CB9" w:rsidRPr="00654CB9" w:rsidRDefault="00654CB9" w:rsidP="00543712">
      <w:pPr>
        <w:pStyle w:val="Subsection"/>
      </w:pPr>
      <w:bookmarkStart w:id="208" w:name="_Toc98429816"/>
      <w:bookmarkStart w:id="209" w:name="_Toc102586262"/>
      <w:r w:rsidRPr="00654CB9">
        <w:t xml:space="preserve">2.4.5 Proteomic </w:t>
      </w:r>
      <w:r w:rsidR="007B3DF1">
        <w:t>a</w:t>
      </w:r>
      <w:r w:rsidRPr="00654CB9">
        <w:t>nalysis</w:t>
      </w:r>
      <w:bookmarkEnd w:id="208"/>
      <w:bookmarkEnd w:id="209"/>
    </w:p>
    <w:p w14:paraId="6C141E59" w14:textId="77777777" w:rsidR="00654CB9" w:rsidRPr="00654CB9" w:rsidRDefault="00654CB9" w:rsidP="00654CB9">
      <w:pPr>
        <w:autoSpaceDE w:val="0"/>
        <w:autoSpaceDN w:val="0"/>
        <w:adjustRightInd w:val="0"/>
        <w:spacing w:after="0"/>
        <w:rPr>
          <w:rFonts w:cs="Times New Roman"/>
          <w:color w:val="000000"/>
          <w:szCs w:val="24"/>
        </w:rPr>
      </w:pPr>
      <w:r w:rsidRPr="00654CB9">
        <w:rPr>
          <w:rFonts w:cs="Times New Roman"/>
          <w:b/>
          <w:bCs/>
          <w:i/>
          <w:iCs/>
          <w:color w:val="000000"/>
          <w:szCs w:val="24"/>
        </w:rPr>
        <w:tab/>
      </w:r>
      <w:r w:rsidRPr="00654CB9">
        <w:rPr>
          <w:rFonts w:cs="Times New Roman"/>
          <w:b/>
          <w:bCs/>
          <w:color w:val="000000"/>
          <w:szCs w:val="24"/>
        </w:rPr>
        <w:t xml:space="preserve">Sample preparation. </w:t>
      </w:r>
      <w:r w:rsidRPr="00654CB9">
        <w:rPr>
          <w:rFonts w:cs="Times New Roman"/>
          <w:color w:val="000000"/>
          <w:szCs w:val="24"/>
        </w:rPr>
        <w:t xml:space="preserve">Samples (cell pellets) were lysed with a lysis buffer (8 M urea, 1 mM sodium orthovanadate, 20 mM HEPES, 2.5 mM sodium pyrophosphate, 1 mM β-glycerophosphate, pH 8.0, 20 min, 4 °C) followed by sonication at 40% amplification by using a microtip </w:t>
      </w:r>
      <w:proofErr w:type="spellStart"/>
      <w:r w:rsidRPr="00654CB9">
        <w:rPr>
          <w:rFonts w:cs="Times New Roman"/>
          <w:color w:val="000000"/>
          <w:szCs w:val="24"/>
        </w:rPr>
        <w:t>sonicator</w:t>
      </w:r>
      <w:proofErr w:type="spellEnd"/>
      <w:r w:rsidRPr="00654CB9">
        <w:rPr>
          <w:rFonts w:cs="Times New Roman"/>
          <w:color w:val="000000"/>
          <w:szCs w:val="24"/>
        </w:rPr>
        <w:t xml:space="preserve"> (</w:t>
      </w:r>
      <w:proofErr w:type="spellStart"/>
      <w:r w:rsidRPr="00654CB9">
        <w:rPr>
          <w:rFonts w:cs="Times New Roman"/>
          <w:color w:val="000000"/>
          <w:szCs w:val="24"/>
        </w:rPr>
        <w:t>QSonica</w:t>
      </w:r>
      <w:proofErr w:type="spellEnd"/>
      <w:r w:rsidRPr="00654CB9">
        <w:rPr>
          <w:rFonts w:cs="Times New Roman"/>
          <w:color w:val="000000"/>
          <w:szCs w:val="24"/>
        </w:rPr>
        <w:t xml:space="preserve">, LLC, Model no. Q55) and cleared by centrifugation (14 000 × g, 15 min, 15 °C). Protein concentration was measured (Pierce BCA Protein Assay, </w:t>
      </w:r>
      <w:proofErr w:type="spellStart"/>
      <w:r w:rsidRPr="00654CB9">
        <w:rPr>
          <w:rFonts w:cs="Times New Roman"/>
          <w:color w:val="000000"/>
          <w:szCs w:val="24"/>
        </w:rPr>
        <w:t>Thermo</w:t>
      </w:r>
      <w:proofErr w:type="spellEnd"/>
      <w:r w:rsidRPr="00654CB9">
        <w:rPr>
          <w:rFonts w:cs="Times New Roman"/>
          <w:color w:val="000000"/>
          <w:szCs w:val="24"/>
        </w:rPr>
        <w:t xml:space="preserve"> Fisher Scientific, IL, USA). A total of 50 </w:t>
      </w:r>
      <w:proofErr w:type="spellStart"/>
      <w:r w:rsidRPr="00654CB9">
        <w:rPr>
          <w:rFonts w:cs="Times New Roman"/>
          <w:color w:val="000000"/>
          <w:szCs w:val="24"/>
        </w:rPr>
        <w:t>μg</w:t>
      </w:r>
      <w:proofErr w:type="spellEnd"/>
      <w:r w:rsidRPr="00654CB9">
        <w:rPr>
          <w:rFonts w:cs="Times New Roman"/>
          <w:color w:val="000000"/>
          <w:szCs w:val="24"/>
        </w:rPr>
        <w:t xml:space="preserve"> of protein per sample was subjected for trypsin digestion. One </w:t>
      </w:r>
      <w:proofErr w:type="spellStart"/>
      <w:r w:rsidRPr="00654CB9">
        <w:rPr>
          <w:rFonts w:cs="Times New Roman"/>
          <w:color w:val="000000"/>
          <w:szCs w:val="24"/>
        </w:rPr>
        <w:t>μg</w:t>
      </w:r>
      <w:proofErr w:type="spellEnd"/>
      <w:r w:rsidRPr="00654CB9">
        <w:rPr>
          <w:rFonts w:cs="Times New Roman"/>
          <w:color w:val="000000"/>
          <w:szCs w:val="24"/>
        </w:rPr>
        <w:t xml:space="preserve"> of BSA was included in each sample prior in-solution digestion to investigate the proper digestion performance and downstream LC-MS/MS analysis. </w:t>
      </w:r>
    </w:p>
    <w:p w14:paraId="5ADD2648" w14:textId="77777777" w:rsidR="00654CB9" w:rsidRPr="00654CB9" w:rsidRDefault="00654CB9" w:rsidP="00654CB9">
      <w:pPr>
        <w:autoSpaceDE w:val="0"/>
        <w:autoSpaceDN w:val="0"/>
        <w:adjustRightInd w:val="0"/>
        <w:spacing w:after="0"/>
        <w:ind w:firstLine="720"/>
        <w:rPr>
          <w:rFonts w:cs="Times New Roman"/>
          <w:color w:val="000000"/>
          <w:szCs w:val="24"/>
        </w:rPr>
      </w:pPr>
      <w:r w:rsidRPr="00654CB9">
        <w:rPr>
          <w:rFonts w:cs="Times New Roman"/>
          <w:color w:val="000000"/>
          <w:szCs w:val="24"/>
        </w:rPr>
        <w:lastRenderedPageBreak/>
        <w:t>In-solution digestion with trypsin/</w:t>
      </w:r>
      <w:proofErr w:type="spellStart"/>
      <w:r w:rsidRPr="00654CB9">
        <w:rPr>
          <w:rFonts w:cs="Times New Roman"/>
          <w:color w:val="000000"/>
          <w:szCs w:val="24"/>
        </w:rPr>
        <w:t>LysC</w:t>
      </w:r>
      <w:proofErr w:type="spellEnd"/>
      <w:r w:rsidRPr="00654CB9">
        <w:rPr>
          <w:rFonts w:cs="Times New Roman"/>
          <w:color w:val="000000"/>
          <w:szCs w:val="24"/>
        </w:rPr>
        <w:t xml:space="preserve"> (V5071, Promega) was performed according to the manufacturer protocol. Tryptic peptides were desalted using C18 Sep-Pak plus cartridges (Waters, Milford, MA) and were lyophilized for 8 hours to dryness. The dried peptides were reconstituted with 100 </w:t>
      </w:r>
      <w:proofErr w:type="spellStart"/>
      <w:r w:rsidRPr="00654CB9">
        <w:rPr>
          <w:rFonts w:cs="Times New Roman"/>
          <w:color w:val="000000"/>
          <w:szCs w:val="24"/>
        </w:rPr>
        <w:t>μl</w:t>
      </w:r>
      <w:proofErr w:type="spellEnd"/>
      <w:r w:rsidRPr="00654CB9">
        <w:rPr>
          <w:rFonts w:cs="Times New Roman"/>
          <w:color w:val="000000"/>
          <w:szCs w:val="24"/>
        </w:rPr>
        <w:t xml:space="preserve"> buffer A (0.1 % formic acid). The final concentration of the peptide samples 0.5 </w:t>
      </w:r>
      <w:proofErr w:type="spellStart"/>
      <w:r w:rsidRPr="00654CB9">
        <w:rPr>
          <w:rFonts w:cs="Times New Roman"/>
          <w:color w:val="000000"/>
          <w:szCs w:val="24"/>
        </w:rPr>
        <w:t>μg</w:t>
      </w:r>
      <w:proofErr w:type="spellEnd"/>
      <w:r w:rsidRPr="00654CB9">
        <w:rPr>
          <w:rFonts w:cs="Times New Roman"/>
          <w:color w:val="000000"/>
          <w:szCs w:val="24"/>
        </w:rPr>
        <w:t>/</w:t>
      </w:r>
      <w:proofErr w:type="spellStart"/>
      <w:r w:rsidRPr="00654CB9">
        <w:rPr>
          <w:rFonts w:cs="Times New Roman"/>
          <w:color w:val="000000"/>
          <w:szCs w:val="24"/>
        </w:rPr>
        <w:t>μl</w:t>
      </w:r>
      <w:proofErr w:type="spellEnd"/>
      <w:r w:rsidRPr="00654CB9">
        <w:rPr>
          <w:rFonts w:cs="Times New Roman"/>
          <w:color w:val="000000"/>
          <w:szCs w:val="24"/>
        </w:rPr>
        <w:t xml:space="preserve"> and 4 </w:t>
      </w:r>
      <w:proofErr w:type="spellStart"/>
      <w:r w:rsidRPr="00654CB9">
        <w:rPr>
          <w:rFonts w:cs="Times New Roman"/>
          <w:color w:val="000000"/>
          <w:szCs w:val="24"/>
        </w:rPr>
        <w:t>μl</w:t>
      </w:r>
      <w:proofErr w:type="spellEnd"/>
      <w:r w:rsidRPr="00654CB9">
        <w:rPr>
          <w:rFonts w:cs="Times New Roman"/>
          <w:color w:val="000000"/>
          <w:szCs w:val="24"/>
        </w:rPr>
        <w:t xml:space="preserve"> (2 </w:t>
      </w:r>
      <w:proofErr w:type="spellStart"/>
      <w:r w:rsidRPr="00654CB9">
        <w:rPr>
          <w:rFonts w:cs="Times New Roman"/>
          <w:color w:val="000000"/>
          <w:szCs w:val="24"/>
        </w:rPr>
        <w:t>μg</w:t>
      </w:r>
      <w:proofErr w:type="spellEnd"/>
      <w:r w:rsidRPr="00654CB9">
        <w:rPr>
          <w:rFonts w:cs="Times New Roman"/>
          <w:color w:val="000000"/>
          <w:szCs w:val="24"/>
        </w:rPr>
        <w:t xml:space="preserve">)/sample was injected for LC-MS/MS analysis. </w:t>
      </w:r>
    </w:p>
    <w:p w14:paraId="71126C00" w14:textId="77777777" w:rsidR="00654CB9" w:rsidRPr="00654CB9" w:rsidRDefault="00654CB9" w:rsidP="00654CB9">
      <w:pPr>
        <w:autoSpaceDE w:val="0"/>
        <w:autoSpaceDN w:val="0"/>
        <w:adjustRightInd w:val="0"/>
        <w:spacing w:after="0"/>
        <w:ind w:firstLine="720"/>
        <w:rPr>
          <w:rFonts w:cs="Times New Roman"/>
          <w:color w:val="000000"/>
          <w:szCs w:val="24"/>
        </w:rPr>
      </w:pPr>
      <w:r w:rsidRPr="00654CB9">
        <w:rPr>
          <w:rFonts w:cs="Times New Roman"/>
          <w:b/>
          <w:bCs/>
          <w:color w:val="000000"/>
          <w:szCs w:val="24"/>
        </w:rPr>
        <w:t xml:space="preserve">LC-MS/MS identification and label-free quantitation. </w:t>
      </w:r>
      <w:r w:rsidRPr="00654CB9">
        <w:rPr>
          <w:rFonts w:cs="Times New Roman"/>
          <w:color w:val="000000"/>
          <w:szCs w:val="24"/>
        </w:rPr>
        <w:t xml:space="preserve">The LC-MS/MS was performed on a fully automated proteomic platform that includes a </w:t>
      </w:r>
      <w:proofErr w:type="spellStart"/>
      <w:r w:rsidRPr="00654CB9">
        <w:rPr>
          <w:rFonts w:cs="Times New Roman"/>
          <w:color w:val="000000"/>
          <w:szCs w:val="24"/>
        </w:rPr>
        <w:t>Dionex</w:t>
      </w:r>
      <w:proofErr w:type="spellEnd"/>
      <w:r w:rsidRPr="00654CB9">
        <w:rPr>
          <w:rFonts w:cs="Times New Roman"/>
          <w:color w:val="000000"/>
          <w:szCs w:val="24"/>
        </w:rPr>
        <w:t xml:space="preserve"> </w:t>
      </w:r>
      <w:proofErr w:type="spellStart"/>
      <w:r w:rsidRPr="00654CB9">
        <w:rPr>
          <w:rFonts w:cs="Times New Roman"/>
          <w:color w:val="000000"/>
          <w:szCs w:val="24"/>
        </w:rPr>
        <w:t>UltiMate</w:t>
      </w:r>
      <w:proofErr w:type="spellEnd"/>
      <w:r w:rsidRPr="00654CB9">
        <w:rPr>
          <w:rFonts w:cs="Times New Roman"/>
          <w:color w:val="000000"/>
          <w:szCs w:val="24"/>
        </w:rPr>
        <w:t xml:space="preserve"> ® 3000 (</w:t>
      </w:r>
      <w:proofErr w:type="spellStart"/>
      <w:r w:rsidRPr="00654CB9">
        <w:rPr>
          <w:rFonts w:cs="Times New Roman"/>
          <w:color w:val="000000"/>
          <w:szCs w:val="24"/>
        </w:rPr>
        <w:t>Thermo</w:t>
      </w:r>
      <w:proofErr w:type="spellEnd"/>
      <w:r w:rsidRPr="00654CB9">
        <w:rPr>
          <w:rFonts w:cs="Times New Roman"/>
          <w:color w:val="000000"/>
          <w:szCs w:val="24"/>
        </w:rPr>
        <w:t xml:space="preserve"> Fisher Scientific, USA) system connected to a Q </w:t>
      </w:r>
      <w:proofErr w:type="spellStart"/>
      <w:r w:rsidRPr="00654CB9">
        <w:rPr>
          <w:rFonts w:cs="Times New Roman"/>
          <w:color w:val="000000"/>
          <w:szCs w:val="24"/>
        </w:rPr>
        <w:t>Exactive</w:t>
      </w:r>
      <w:proofErr w:type="spellEnd"/>
      <w:r w:rsidRPr="00654CB9">
        <w:rPr>
          <w:rFonts w:cs="Times New Roman"/>
          <w:color w:val="000000"/>
          <w:szCs w:val="24"/>
        </w:rPr>
        <w:t xml:space="preserve"> HF-X mass spectrometer (</w:t>
      </w:r>
      <w:proofErr w:type="spellStart"/>
      <w:r w:rsidRPr="00654CB9">
        <w:rPr>
          <w:rFonts w:cs="Times New Roman"/>
          <w:color w:val="000000"/>
          <w:szCs w:val="24"/>
        </w:rPr>
        <w:t>Thermo</w:t>
      </w:r>
      <w:proofErr w:type="spellEnd"/>
      <w:r w:rsidRPr="00654CB9">
        <w:rPr>
          <w:rFonts w:cs="Times New Roman"/>
          <w:color w:val="000000"/>
          <w:szCs w:val="24"/>
        </w:rPr>
        <w:t xml:space="preserve"> Fisher Scientific, Waltham, MA). The MS/MS analysis was performed according to the earlier published protocol.</w:t>
      </w:r>
      <w:r w:rsidRPr="00654CB9">
        <w:rPr>
          <w:rFonts w:cs="Times New Roman"/>
          <w:color w:val="000000"/>
          <w:szCs w:val="24"/>
        </w:rPr>
        <w:fldChar w:fldCharType="begin"/>
      </w:r>
      <w:r w:rsidRPr="00654CB9">
        <w:rPr>
          <w:rFonts w:cs="Times New Roman"/>
          <w:color w:val="000000"/>
          <w:szCs w:val="24"/>
        </w:rPr>
        <w:instrText xml:space="preserve"> ADDIN ZOTERO_ITEM CSL_CITATION {"citationID":"LSsBlPE8","properties":{"formattedCitation":"\\super 35\\nosupersub{}","plainCitation":"35","noteIndex":0},"citationItems":[{"id":128,"uris":["http://zotero.org/users/6503767/items/5L5Z3S46"],"itemData":{"id":128,"type":"report","abstract":"Abstract\n          \n            The Gram-positive bacterium\n            Clostridioides difficile\n            is a primary cause of hospital-acquired diarrhea, threatening both immunocompromised and healthy individuals. An important aspect of elucidating mechanisms that drive\n            C. difficile\n            persistence and virulence relies on developing a more complete understanding of sporulation.\n            C. difficile\n            sporulation is the single determinant of transmission and complicates treatment and prevention due to the chemical and physical resilience of spores. Hence, the identification of potentially druggable targets that significantly attenuate sporulation is important. In this report, we describe the impact of the loss of caseinolytic protease P (ClpP) isoforms in\n            C. difficile\n            strain 630 on sporulation phenotypes. Using CRISPR-Cas9 nickase mediated genome editing, stop codons were inserted early in the coding sequence for\n            clpP1\n            and\n            clpP2\n            to generate\n            C. difficile\n            mutants that no longer produced ClpP1 or ClpP2. The data show that these genetic modifications lead to altered sporulation phenotypes, germination efficiencies, and cytotoxicity. Comparative proteome profiling of\n            C. difficile\n            630 WT and\n            clpP\n            mutants reveals potential proteolytic targets of ClpP that are involved in sporulation. These analyses further reveal the potential for preferred co-chaperone interactions for each ClpP isoform. Taken together, our results demonstrate that ClpP, a promising target in other Gram-positive pathogens, holds promise as an anti-sporulation target in\n            C. difficile\n            .","genre":"preprint","language":"en","note":"DOI: 10.1101/2021.02.05.429978","publisher":"Microbiology","source":"DOI.org (Crossref)","title":"Loss of ClpP Function in &lt;i&gt;Clostridioides difficile&lt;/i&gt; 630 Significantly Impacts Sporulation Systems","URL":"http://biorxiv.org/lookup/doi/10.1101/2021.02.05.429978","author":[{"family":"Bishop","given":"Catherine E."},{"family":"Shadid","given":"Tyler"},{"family":"Lavey","given":"Nathan P."},{"family":"Kempher","given":"Megan L."},{"family":"Ahsan","given":"Nagib"},{"family":"Ballard","given":"Jimmy D."},{"family":"Duerfeldt","given":"Adam S."}],"accessed":{"date-parts":[["2021",10,20]]},"issued":{"date-parts":[["2021",2,8]]}}}],"schema":"https://github.com/citation-style-language/schema/raw/master/csl-citation.json"} </w:instrText>
      </w:r>
      <w:r w:rsidRPr="00654CB9">
        <w:rPr>
          <w:rFonts w:cs="Times New Roman"/>
          <w:color w:val="000000"/>
          <w:szCs w:val="24"/>
        </w:rPr>
        <w:fldChar w:fldCharType="separate"/>
      </w:r>
      <w:r w:rsidRPr="00654CB9">
        <w:rPr>
          <w:rFonts w:cs="Times New Roman"/>
          <w:color w:val="000000"/>
          <w:szCs w:val="24"/>
          <w:vertAlign w:val="superscript"/>
        </w:rPr>
        <w:t>35</w:t>
      </w:r>
      <w:r w:rsidRPr="00654CB9">
        <w:rPr>
          <w:rFonts w:cs="Times New Roman"/>
          <w:color w:val="000000"/>
          <w:szCs w:val="24"/>
        </w:rPr>
        <w:fldChar w:fldCharType="end"/>
      </w:r>
    </w:p>
    <w:p w14:paraId="6AC61FA7" w14:textId="77777777" w:rsidR="00654CB9" w:rsidRPr="00654CB9" w:rsidRDefault="00654CB9" w:rsidP="00654CB9">
      <w:pPr>
        <w:autoSpaceDE w:val="0"/>
        <w:autoSpaceDN w:val="0"/>
        <w:adjustRightInd w:val="0"/>
        <w:spacing w:after="0"/>
        <w:ind w:firstLine="720"/>
        <w:rPr>
          <w:rFonts w:cs="Times New Roman"/>
          <w:color w:val="000000"/>
          <w:szCs w:val="24"/>
        </w:rPr>
      </w:pPr>
      <w:r w:rsidRPr="00654CB9">
        <w:rPr>
          <w:rFonts w:cs="Times New Roman"/>
          <w:color w:val="000000"/>
          <w:szCs w:val="24"/>
        </w:rPr>
        <w:t xml:space="preserve">Peptide spectrum matching of MS/MS spectra of each file was searched against the </w:t>
      </w:r>
      <w:proofErr w:type="spellStart"/>
      <w:r w:rsidRPr="00654CB9">
        <w:rPr>
          <w:rFonts w:cs="Times New Roman"/>
          <w:color w:val="000000"/>
          <w:szCs w:val="24"/>
        </w:rPr>
        <w:t>UniProt</w:t>
      </w:r>
      <w:proofErr w:type="spellEnd"/>
      <w:r w:rsidRPr="00654CB9">
        <w:rPr>
          <w:rFonts w:cs="Times New Roman"/>
          <w:color w:val="000000"/>
          <w:szCs w:val="24"/>
        </w:rPr>
        <w:t xml:space="preserve"> E Coli CFT073-UPEC database (TaxID:199310) using the </w:t>
      </w:r>
      <w:proofErr w:type="spellStart"/>
      <w:r w:rsidRPr="00654CB9">
        <w:rPr>
          <w:rFonts w:cs="Times New Roman"/>
          <w:color w:val="000000"/>
          <w:szCs w:val="24"/>
        </w:rPr>
        <w:t>Sequest</w:t>
      </w:r>
      <w:proofErr w:type="spellEnd"/>
      <w:r w:rsidRPr="00654CB9">
        <w:rPr>
          <w:rFonts w:cs="Times New Roman"/>
          <w:color w:val="000000"/>
          <w:szCs w:val="24"/>
        </w:rPr>
        <w:t xml:space="preserve"> algorithm within Proteome Discoverer v 2.4 software (</w:t>
      </w:r>
      <w:proofErr w:type="spellStart"/>
      <w:r w:rsidRPr="00654CB9">
        <w:rPr>
          <w:rFonts w:cs="Times New Roman"/>
          <w:color w:val="000000"/>
          <w:szCs w:val="24"/>
        </w:rPr>
        <w:t>Thermo</w:t>
      </w:r>
      <w:proofErr w:type="spellEnd"/>
      <w:r w:rsidRPr="00654CB9">
        <w:rPr>
          <w:rFonts w:cs="Times New Roman"/>
          <w:color w:val="000000"/>
          <w:szCs w:val="24"/>
        </w:rPr>
        <w:t xml:space="preserve"> Fisher Scientific, San Jose, CA). The </w:t>
      </w:r>
      <w:proofErr w:type="spellStart"/>
      <w:r w:rsidRPr="00654CB9">
        <w:rPr>
          <w:rFonts w:cs="Times New Roman"/>
          <w:color w:val="000000"/>
          <w:szCs w:val="24"/>
        </w:rPr>
        <w:t>Sequest</w:t>
      </w:r>
      <w:proofErr w:type="spellEnd"/>
      <w:r w:rsidRPr="00654CB9">
        <w:rPr>
          <w:rFonts w:cs="Times New Roman"/>
          <w:color w:val="000000"/>
          <w:szCs w:val="24"/>
        </w:rPr>
        <w:t xml:space="preserve"> database search was performed with the following parameters: trypsin enzyme cleavage specificity, 2 possible missed cleavages, 10 ppm mass tolerance for precursor ions, 0.02 Da mass tolerance for fragment ions. Search parameters permitted dynamic modification of methionine oxidation (+15.9949 Da) and static modification of </w:t>
      </w:r>
      <w:proofErr w:type="spellStart"/>
      <w:r w:rsidRPr="00654CB9">
        <w:rPr>
          <w:rFonts w:cs="Times New Roman"/>
          <w:color w:val="000000"/>
          <w:szCs w:val="24"/>
        </w:rPr>
        <w:t>carbamidomethylation</w:t>
      </w:r>
      <w:proofErr w:type="spellEnd"/>
      <w:r w:rsidRPr="00654CB9">
        <w:rPr>
          <w:rFonts w:cs="Times New Roman"/>
          <w:color w:val="000000"/>
          <w:szCs w:val="24"/>
        </w:rPr>
        <w:t xml:space="preserve"> (+57.0215 Da) on cysteine. Peptide assignments from the database search were filtered down to a 1% FDR. The relative label-free quantitative and comparative among the samples were performed using the Minora algorithm and the adjoining bioinformatics tools of the Proteome Discoverer (PD) 2.4 software. A recent comparative analysis between the two most popular proteomic data analysis software </w:t>
      </w:r>
      <w:proofErr w:type="spellStart"/>
      <w:r w:rsidRPr="00654CB9">
        <w:rPr>
          <w:rFonts w:cs="Times New Roman"/>
          <w:color w:val="000000"/>
          <w:szCs w:val="24"/>
        </w:rPr>
        <w:t>MaxQuant</w:t>
      </w:r>
      <w:proofErr w:type="spellEnd"/>
      <w:r w:rsidRPr="00654CB9">
        <w:rPr>
          <w:rFonts w:cs="Times New Roman"/>
          <w:color w:val="000000"/>
          <w:szCs w:val="24"/>
        </w:rPr>
        <w:t xml:space="preserve"> (MQ) and PD showed that PD outperformed MQ in terms of protein/peptide quantification yield, dynamic range, and reproducibility. In addition, Minora algorithm methods including normalization were the most </w:t>
      </w:r>
      <w:r w:rsidRPr="00654CB9">
        <w:rPr>
          <w:rFonts w:cs="Times New Roman"/>
          <w:color w:val="000000"/>
          <w:szCs w:val="24"/>
        </w:rPr>
        <w:lastRenderedPageBreak/>
        <w:t>accurate in estimating the abundance ratio between groups and the most sensitive when comparing groups with a narrow abundance ratio.</w:t>
      </w:r>
      <w:r w:rsidRPr="00654CB9">
        <w:rPr>
          <w:rFonts w:cs="Times New Roman"/>
          <w:color w:val="000000"/>
          <w:szCs w:val="24"/>
        </w:rPr>
        <w:fldChar w:fldCharType="begin"/>
      </w:r>
      <w:r w:rsidRPr="00654CB9">
        <w:rPr>
          <w:rFonts w:cs="Times New Roman"/>
          <w:color w:val="000000"/>
          <w:szCs w:val="24"/>
        </w:rPr>
        <w:instrText xml:space="preserve"> ADDIN ZOTERO_ITEM CSL_CITATION {"citationID":"JpavitBb","properties":{"formattedCitation":"\\super 36\\nosupersub{}","plainCitation":"36","noteIndex":0},"citationItems":[{"id":126,"uris":["http://zotero.org/users/6503767/items/4R9R23Z6"],"itemData":{"id":126,"type":"article-journal","container-title":"Journal of Proteome Research","DOI":"10.1021/acs.jproteome.1c00143","ISSN":"1535-3893, 1535-3907","issue":"7","journalAbbreviation":"J. Proteome Res.","language":"en","page":"3497-3507","source":"DOI.org (Crossref)","title":"Comparative Evaluation of MaxQuant and Proteome Discoverer MS1-Based Protein Quantification Tools","volume":"20","author":[{"family":"Palomba","given":"Antonio"},{"family":"Abbondio","given":"Marcello"},{"family":"Fiorito","given":"Giovanni"},{"family":"Uzzau","given":"Sergio"},{"family":"Pagnozzi","given":"Daniela"},{"family":"Tanca","given":"Alessandro"}],"issued":{"date-parts":[["2021",7,2]]}}}],"schema":"https://github.com/citation-style-language/schema/raw/master/csl-citation.json"} </w:instrText>
      </w:r>
      <w:r w:rsidRPr="00654CB9">
        <w:rPr>
          <w:rFonts w:cs="Times New Roman"/>
          <w:color w:val="000000"/>
          <w:szCs w:val="24"/>
        </w:rPr>
        <w:fldChar w:fldCharType="separate"/>
      </w:r>
      <w:r w:rsidRPr="00654CB9">
        <w:rPr>
          <w:rFonts w:cs="Times New Roman"/>
          <w:color w:val="000000"/>
          <w:szCs w:val="24"/>
          <w:vertAlign w:val="superscript"/>
        </w:rPr>
        <w:t>36</w:t>
      </w:r>
      <w:r w:rsidRPr="00654CB9">
        <w:rPr>
          <w:rFonts w:cs="Times New Roman"/>
          <w:color w:val="000000"/>
          <w:szCs w:val="24"/>
        </w:rPr>
        <w:fldChar w:fldCharType="end"/>
      </w:r>
      <w:r w:rsidRPr="00654CB9">
        <w:rPr>
          <w:rFonts w:cs="Times New Roman"/>
          <w:color w:val="000000"/>
          <w:szCs w:val="24"/>
        </w:rPr>
        <w:t xml:space="preserve"> </w:t>
      </w:r>
    </w:p>
    <w:p w14:paraId="4DB939FC" w14:textId="77777777" w:rsidR="00654CB9" w:rsidRPr="00654CB9" w:rsidRDefault="00654CB9" w:rsidP="00654CB9">
      <w:pPr>
        <w:autoSpaceDE w:val="0"/>
        <w:autoSpaceDN w:val="0"/>
        <w:adjustRightInd w:val="0"/>
        <w:spacing w:after="0"/>
        <w:rPr>
          <w:rFonts w:cs="Times New Roman"/>
          <w:color w:val="000000"/>
          <w:szCs w:val="24"/>
        </w:rPr>
      </w:pPr>
    </w:p>
    <w:p w14:paraId="55F25D2D" w14:textId="77777777" w:rsidR="00654CB9" w:rsidRPr="00654CB9" w:rsidRDefault="00654CB9" w:rsidP="00543712">
      <w:pPr>
        <w:pStyle w:val="Section"/>
      </w:pPr>
      <w:bookmarkStart w:id="210" w:name="_Toc98429817"/>
      <w:bookmarkStart w:id="211" w:name="_Toc102586263"/>
      <w:r w:rsidRPr="00654CB9">
        <w:t>2.5 References for Chapter 2</w:t>
      </w:r>
      <w:bookmarkEnd w:id="210"/>
      <w:bookmarkEnd w:id="211"/>
      <w:r w:rsidRPr="00654CB9">
        <w:t xml:space="preserve"> </w:t>
      </w:r>
    </w:p>
    <w:p w14:paraId="4DED5F03" w14:textId="77777777" w:rsidR="00654CB9" w:rsidRPr="00654CB9" w:rsidRDefault="00654CB9" w:rsidP="00654CB9">
      <w:pPr>
        <w:tabs>
          <w:tab w:val="left" w:pos="504"/>
        </w:tabs>
        <w:spacing w:after="0"/>
        <w:ind w:left="504" w:hanging="504"/>
        <w:rPr>
          <w:rFonts w:cs="Times New Roman"/>
        </w:rPr>
      </w:pPr>
      <w:r w:rsidRPr="00654CB9">
        <w:rPr>
          <w:rFonts w:asciiTheme="minorHAnsi" w:hAnsiTheme="minorHAnsi"/>
          <w:sz w:val="22"/>
        </w:rPr>
        <w:fldChar w:fldCharType="begin"/>
      </w:r>
      <w:r w:rsidRPr="00654CB9">
        <w:rPr>
          <w:rFonts w:asciiTheme="minorHAnsi" w:hAnsiTheme="minorHAnsi"/>
          <w:sz w:val="22"/>
        </w:rPr>
        <w:instrText xml:space="preserve"> ADDIN ZOTERO_BIBL {"uncited":[],"omitted":[],"custom":[]} CSL_BIBLIOGRAPHY </w:instrText>
      </w:r>
      <w:r w:rsidRPr="00654CB9">
        <w:rPr>
          <w:rFonts w:asciiTheme="minorHAnsi" w:hAnsiTheme="minorHAnsi"/>
          <w:sz w:val="22"/>
        </w:rPr>
        <w:fldChar w:fldCharType="separate"/>
      </w:r>
      <w:r w:rsidRPr="00654CB9">
        <w:rPr>
          <w:rFonts w:cs="Times New Roman"/>
        </w:rPr>
        <w:t xml:space="preserve">(1) </w:t>
      </w:r>
      <w:r w:rsidRPr="00654CB9">
        <w:rPr>
          <w:rFonts w:cs="Times New Roman"/>
        </w:rPr>
        <w:tab/>
        <w:t xml:space="preserve">Li, Y.; Gardner, J. J.; Fortney, K. R.; Leus, I. V.; Bonifay, V.; Zgurskaya, H. I.; </w:t>
      </w:r>
      <w:proofErr w:type="spellStart"/>
      <w:r w:rsidRPr="00654CB9">
        <w:rPr>
          <w:rFonts w:cs="Times New Roman"/>
        </w:rPr>
        <w:t>Pletnev</w:t>
      </w:r>
      <w:proofErr w:type="spellEnd"/>
      <w:r w:rsidRPr="00654CB9">
        <w:rPr>
          <w:rFonts w:cs="Times New Roman"/>
        </w:rPr>
        <w:t xml:space="preserve">, A. A.; Zhang, S.; Zhang, Z.-Y.; Gribble, G. W.; Spinola, S. M.; Duerfeldt, A. S. First-Generation Structure-Activity Relationship Studies of 2,3,4,9-Tetrahydro-1H-Carbazol-1-Amines as </w:t>
      </w:r>
      <w:proofErr w:type="spellStart"/>
      <w:r w:rsidRPr="00654CB9">
        <w:rPr>
          <w:rFonts w:cs="Times New Roman"/>
        </w:rPr>
        <w:t>CpxA</w:t>
      </w:r>
      <w:proofErr w:type="spellEnd"/>
      <w:r w:rsidRPr="00654CB9">
        <w:rPr>
          <w:rFonts w:cs="Times New Roman"/>
        </w:rPr>
        <w:t xml:space="preserve"> Phosphatase Inhibitors. </w:t>
      </w:r>
      <w:r w:rsidRPr="00654CB9">
        <w:rPr>
          <w:rFonts w:cs="Times New Roman"/>
          <w:i/>
          <w:iCs/>
        </w:rPr>
        <w:t>Bioorganic &amp; Medicinal Chemistry Letters</w:t>
      </w:r>
      <w:r w:rsidRPr="00654CB9">
        <w:rPr>
          <w:rFonts w:cs="Times New Roman"/>
        </w:rPr>
        <w:t xml:space="preserve"> </w:t>
      </w:r>
      <w:r w:rsidRPr="00654CB9">
        <w:rPr>
          <w:rFonts w:cs="Times New Roman"/>
          <w:b/>
          <w:bCs/>
        </w:rPr>
        <w:t>2019</w:t>
      </w:r>
      <w:r w:rsidRPr="00654CB9">
        <w:rPr>
          <w:rFonts w:cs="Times New Roman"/>
        </w:rPr>
        <w:t xml:space="preserve">, </w:t>
      </w:r>
      <w:r w:rsidRPr="00654CB9">
        <w:rPr>
          <w:rFonts w:cs="Times New Roman"/>
          <w:i/>
          <w:iCs/>
        </w:rPr>
        <w:t>29</w:t>
      </w:r>
      <w:r w:rsidRPr="00654CB9">
        <w:rPr>
          <w:rFonts w:cs="Times New Roman"/>
        </w:rPr>
        <w:t xml:space="preserve"> (14), 1836–1841. https://doi.org/10.1016/j.bmcl.2019.05.003.</w:t>
      </w:r>
    </w:p>
    <w:p w14:paraId="2662E3DD"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(2) </w:t>
      </w:r>
      <w:r w:rsidRPr="00654CB9">
        <w:rPr>
          <w:rFonts w:cs="Times New Roman"/>
        </w:rPr>
        <w:tab/>
        <w:t xml:space="preserve">Fortney, K. R.; Smith, S. N.; van Rensburg, J. J.; Brothwell, J. A.; Gardner, J. J.; Katz, B. P.; Ahsan, N.; Duerfeldt, A. S.; Mobley, H. L. T.; Spinola, S. M. </w:t>
      </w:r>
      <w:proofErr w:type="spellStart"/>
      <w:r w:rsidRPr="00654CB9">
        <w:rPr>
          <w:rFonts w:cs="Times New Roman"/>
        </w:rPr>
        <w:t>CpxA</w:t>
      </w:r>
      <w:proofErr w:type="spellEnd"/>
      <w:r w:rsidRPr="00654CB9">
        <w:rPr>
          <w:rFonts w:cs="Times New Roman"/>
        </w:rPr>
        <w:t xml:space="preserve"> Phosphatase Inhibitor Activates CpxRA and Is a Potential Treatment for </w:t>
      </w:r>
      <w:proofErr w:type="spellStart"/>
      <w:r w:rsidRPr="00654CB9">
        <w:rPr>
          <w:rFonts w:cs="Times New Roman"/>
        </w:rPr>
        <w:t>Uropathogenic</w:t>
      </w:r>
      <w:proofErr w:type="spellEnd"/>
      <w:r w:rsidRPr="00654CB9">
        <w:rPr>
          <w:rFonts w:cs="Times New Roman"/>
        </w:rPr>
        <w:t xml:space="preserve"> Escherichia Coli in a Murine Model of Infection. </w:t>
      </w:r>
      <w:r w:rsidRPr="00654CB9">
        <w:rPr>
          <w:rFonts w:cs="Times New Roman"/>
          <w:i/>
          <w:iCs/>
        </w:rPr>
        <w:t>Microbiology Spectrum</w:t>
      </w:r>
      <w:r w:rsidRPr="00654CB9">
        <w:rPr>
          <w:rFonts w:cs="Times New Roman"/>
        </w:rPr>
        <w:t xml:space="preserve"> </w:t>
      </w:r>
      <w:r w:rsidRPr="00654CB9">
        <w:rPr>
          <w:rFonts w:cs="Times New Roman"/>
          <w:i/>
          <w:iCs/>
        </w:rPr>
        <w:t>0</w:t>
      </w:r>
      <w:r w:rsidRPr="00654CB9">
        <w:rPr>
          <w:rFonts w:cs="Times New Roman"/>
        </w:rPr>
        <w:t xml:space="preserve"> (0), e02430-21. https://doi.org/10.1128/spectrum.02430-21.</w:t>
      </w:r>
    </w:p>
    <w:p w14:paraId="3ACC4CBC"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(3) </w:t>
      </w:r>
      <w:r w:rsidRPr="00654CB9">
        <w:rPr>
          <w:rFonts w:cs="Times New Roman"/>
        </w:rPr>
        <w:tab/>
        <w:t xml:space="preserve">Boucher, H. W.; Talbot, G. H.; Bradley, J. S.; Edwards, J. E.; Gilbert, D.; Rice, L. B.; Scheld, M.; </w:t>
      </w:r>
      <w:proofErr w:type="spellStart"/>
      <w:r w:rsidRPr="00654CB9">
        <w:rPr>
          <w:rFonts w:cs="Times New Roman"/>
        </w:rPr>
        <w:t>Spellberg</w:t>
      </w:r>
      <w:proofErr w:type="spellEnd"/>
      <w:r w:rsidRPr="00654CB9">
        <w:rPr>
          <w:rFonts w:cs="Times New Roman"/>
        </w:rPr>
        <w:t xml:space="preserve">, B.; Bartlett, J. Bad Bugs, No Drugs: No ESKAPE! An Update from the Infectious Diseases Society of America. </w:t>
      </w:r>
      <w:r w:rsidRPr="00654CB9">
        <w:rPr>
          <w:rFonts w:cs="Times New Roman"/>
          <w:i/>
          <w:iCs/>
        </w:rPr>
        <w:t>Clin Infect Dis</w:t>
      </w:r>
      <w:r w:rsidRPr="00654CB9">
        <w:rPr>
          <w:rFonts w:cs="Times New Roman"/>
        </w:rPr>
        <w:t xml:space="preserve"> </w:t>
      </w:r>
      <w:r w:rsidRPr="00654CB9">
        <w:rPr>
          <w:rFonts w:cs="Times New Roman"/>
          <w:b/>
          <w:bCs/>
        </w:rPr>
        <w:t>2009</w:t>
      </w:r>
      <w:r w:rsidRPr="00654CB9">
        <w:rPr>
          <w:rFonts w:cs="Times New Roman"/>
        </w:rPr>
        <w:t xml:space="preserve">, </w:t>
      </w:r>
      <w:r w:rsidRPr="00654CB9">
        <w:rPr>
          <w:rFonts w:cs="Times New Roman"/>
          <w:i/>
          <w:iCs/>
        </w:rPr>
        <w:t>48</w:t>
      </w:r>
      <w:r w:rsidRPr="00654CB9">
        <w:rPr>
          <w:rFonts w:cs="Times New Roman"/>
        </w:rPr>
        <w:t xml:space="preserve"> (1), 1–12. https://doi.org/10.1086/595011.</w:t>
      </w:r>
    </w:p>
    <w:p w14:paraId="4AA88BA8"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(4) </w:t>
      </w:r>
      <w:r w:rsidRPr="00654CB9">
        <w:rPr>
          <w:rFonts w:cs="Times New Roman"/>
        </w:rPr>
        <w:tab/>
        <w:t xml:space="preserve">Coates, A. R. M.; Hu, Y. Novel Approaches to Developing New Antibiotics for Bacterial Infections: Novel Approaches for Making New Antibiotics. </w:t>
      </w:r>
      <w:r w:rsidRPr="00654CB9">
        <w:rPr>
          <w:rFonts w:cs="Times New Roman"/>
          <w:i/>
          <w:iCs/>
        </w:rPr>
        <w:t>British Journal of Pharmacology</w:t>
      </w:r>
      <w:r w:rsidRPr="00654CB9">
        <w:rPr>
          <w:rFonts w:cs="Times New Roman"/>
        </w:rPr>
        <w:t xml:space="preserve"> </w:t>
      </w:r>
      <w:r w:rsidRPr="00654CB9">
        <w:rPr>
          <w:rFonts w:cs="Times New Roman"/>
          <w:b/>
          <w:bCs/>
        </w:rPr>
        <w:t>2007</w:t>
      </w:r>
      <w:r w:rsidRPr="00654CB9">
        <w:rPr>
          <w:rFonts w:cs="Times New Roman"/>
        </w:rPr>
        <w:t xml:space="preserve">, </w:t>
      </w:r>
      <w:r w:rsidRPr="00654CB9">
        <w:rPr>
          <w:rFonts w:cs="Times New Roman"/>
          <w:i/>
          <w:iCs/>
        </w:rPr>
        <w:t>152</w:t>
      </w:r>
      <w:r w:rsidRPr="00654CB9">
        <w:rPr>
          <w:rFonts w:cs="Times New Roman"/>
        </w:rPr>
        <w:t xml:space="preserve"> (8), 1147–1154. https://doi.org/10.1038/sj.bjp.0707432.</w:t>
      </w:r>
    </w:p>
    <w:p w14:paraId="3F02912F" w14:textId="77777777" w:rsidR="00654CB9" w:rsidRPr="00654CB9" w:rsidRDefault="00654CB9" w:rsidP="00654CB9">
      <w:pPr>
        <w:tabs>
          <w:tab w:val="left" w:pos="504"/>
        </w:tabs>
        <w:spacing w:after="0"/>
        <w:ind w:left="504" w:hanging="504"/>
        <w:rPr>
          <w:rFonts w:cs="Times New Roman"/>
        </w:rPr>
      </w:pPr>
      <w:r w:rsidRPr="00654CB9">
        <w:rPr>
          <w:rFonts w:cs="Times New Roman"/>
        </w:rPr>
        <w:lastRenderedPageBreak/>
        <w:t xml:space="preserve">(5) </w:t>
      </w:r>
      <w:r w:rsidRPr="00654CB9">
        <w:rPr>
          <w:rFonts w:cs="Times New Roman"/>
        </w:rPr>
        <w:tab/>
        <w:t xml:space="preserve">Coates, A. R.; Halls, G.; Hu, Y. Novel Classes of Antibiotics or More of the Same? </w:t>
      </w:r>
      <w:r w:rsidRPr="00654CB9">
        <w:rPr>
          <w:rFonts w:cs="Times New Roman"/>
          <w:i/>
          <w:iCs/>
        </w:rPr>
        <w:t>British Journal of Pharmacology</w:t>
      </w:r>
      <w:r w:rsidRPr="00654CB9">
        <w:rPr>
          <w:rFonts w:cs="Times New Roman"/>
        </w:rPr>
        <w:t xml:space="preserve"> </w:t>
      </w:r>
      <w:r w:rsidRPr="00654CB9">
        <w:rPr>
          <w:rFonts w:cs="Times New Roman"/>
          <w:b/>
          <w:bCs/>
        </w:rPr>
        <w:t>2011</w:t>
      </w:r>
      <w:r w:rsidRPr="00654CB9">
        <w:rPr>
          <w:rFonts w:cs="Times New Roman"/>
        </w:rPr>
        <w:t xml:space="preserve">, </w:t>
      </w:r>
      <w:r w:rsidRPr="00654CB9">
        <w:rPr>
          <w:rFonts w:cs="Times New Roman"/>
          <w:i/>
          <w:iCs/>
        </w:rPr>
        <w:t>163</w:t>
      </w:r>
      <w:r w:rsidRPr="00654CB9">
        <w:rPr>
          <w:rFonts w:cs="Times New Roman"/>
        </w:rPr>
        <w:t xml:space="preserve"> (1), 184–194. https://doi.org/10.1111/j.1476-5381.2011.01250.x.</w:t>
      </w:r>
    </w:p>
    <w:p w14:paraId="60889A27"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(6) </w:t>
      </w:r>
      <w:r w:rsidRPr="00654CB9">
        <w:rPr>
          <w:rFonts w:cs="Times New Roman"/>
        </w:rPr>
        <w:tab/>
      </w:r>
      <w:proofErr w:type="spellStart"/>
      <w:r w:rsidRPr="00654CB9">
        <w:rPr>
          <w:rFonts w:cs="Times New Roman"/>
        </w:rPr>
        <w:t>Spellberg</w:t>
      </w:r>
      <w:proofErr w:type="spellEnd"/>
      <w:r w:rsidRPr="00654CB9">
        <w:rPr>
          <w:rFonts w:cs="Times New Roman"/>
        </w:rPr>
        <w:t xml:space="preserve">, B.; Powers, J. H.; Brass, E. P.; Miller, L. G.; Edwards, J. E. Trends in Antimicrobial Drug Development: Implications for the Future. </w:t>
      </w:r>
      <w:r w:rsidRPr="00654CB9">
        <w:rPr>
          <w:rFonts w:cs="Times New Roman"/>
          <w:i/>
          <w:iCs/>
        </w:rPr>
        <w:t>Clinical Infectious Diseases</w:t>
      </w:r>
      <w:r w:rsidRPr="00654CB9">
        <w:rPr>
          <w:rFonts w:cs="Times New Roman"/>
        </w:rPr>
        <w:t xml:space="preserve"> </w:t>
      </w:r>
      <w:r w:rsidRPr="00654CB9">
        <w:rPr>
          <w:rFonts w:cs="Times New Roman"/>
          <w:b/>
          <w:bCs/>
        </w:rPr>
        <w:t>2004</w:t>
      </w:r>
      <w:r w:rsidRPr="00654CB9">
        <w:rPr>
          <w:rFonts w:cs="Times New Roman"/>
        </w:rPr>
        <w:t xml:space="preserve">, </w:t>
      </w:r>
      <w:r w:rsidRPr="00654CB9">
        <w:rPr>
          <w:rFonts w:cs="Times New Roman"/>
          <w:i/>
          <w:iCs/>
        </w:rPr>
        <w:t>38</w:t>
      </w:r>
      <w:r w:rsidRPr="00654CB9">
        <w:rPr>
          <w:rFonts w:cs="Times New Roman"/>
        </w:rPr>
        <w:t xml:space="preserve"> (9), 1279–1286. https://doi.org/10.1086/420937.</w:t>
      </w:r>
    </w:p>
    <w:p w14:paraId="738EC173"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(7) </w:t>
      </w:r>
      <w:r w:rsidRPr="00654CB9">
        <w:rPr>
          <w:rFonts w:cs="Times New Roman"/>
        </w:rPr>
        <w:tab/>
      </w:r>
      <w:proofErr w:type="spellStart"/>
      <w:r w:rsidRPr="00654CB9">
        <w:rPr>
          <w:rFonts w:cs="Times New Roman"/>
        </w:rPr>
        <w:t>Högberg</w:t>
      </w:r>
      <w:proofErr w:type="spellEnd"/>
      <w:r w:rsidRPr="00654CB9">
        <w:rPr>
          <w:rFonts w:cs="Times New Roman"/>
        </w:rPr>
        <w:t xml:space="preserve">, L. D.; </w:t>
      </w:r>
      <w:proofErr w:type="spellStart"/>
      <w:r w:rsidRPr="00654CB9">
        <w:rPr>
          <w:rFonts w:cs="Times New Roman"/>
        </w:rPr>
        <w:t>Heddini</w:t>
      </w:r>
      <w:proofErr w:type="spellEnd"/>
      <w:r w:rsidRPr="00654CB9">
        <w:rPr>
          <w:rFonts w:cs="Times New Roman"/>
        </w:rPr>
        <w:t xml:space="preserve">, A.; Cars, O. The Global Need for Effective Antibiotics: Challenges and Recent Advances. </w:t>
      </w:r>
      <w:r w:rsidRPr="00654CB9">
        <w:rPr>
          <w:rFonts w:cs="Times New Roman"/>
          <w:i/>
          <w:iCs/>
        </w:rPr>
        <w:t>Trends in Pharmacological Sciences</w:t>
      </w:r>
      <w:r w:rsidRPr="00654CB9">
        <w:rPr>
          <w:rFonts w:cs="Times New Roman"/>
        </w:rPr>
        <w:t xml:space="preserve"> </w:t>
      </w:r>
      <w:r w:rsidRPr="00654CB9">
        <w:rPr>
          <w:rFonts w:cs="Times New Roman"/>
          <w:b/>
          <w:bCs/>
        </w:rPr>
        <w:t>2010</w:t>
      </w:r>
      <w:r w:rsidRPr="00654CB9">
        <w:rPr>
          <w:rFonts w:cs="Times New Roman"/>
        </w:rPr>
        <w:t xml:space="preserve">, </w:t>
      </w:r>
      <w:r w:rsidRPr="00654CB9">
        <w:rPr>
          <w:rFonts w:cs="Times New Roman"/>
          <w:i/>
          <w:iCs/>
        </w:rPr>
        <w:t>31</w:t>
      </w:r>
      <w:r w:rsidRPr="00654CB9">
        <w:rPr>
          <w:rFonts w:cs="Times New Roman"/>
        </w:rPr>
        <w:t xml:space="preserve"> (11), 509–515. https://doi.org/10.1016/j.tips.2010.08.002.</w:t>
      </w:r>
    </w:p>
    <w:p w14:paraId="46A05F93"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(8) </w:t>
      </w:r>
      <w:r w:rsidRPr="00654CB9">
        <w:rPr>
          <w:rFonts w:cs="Times New Roman"/>
        </w:rPr>
        <w:tab/>
        <w:t xml:space="preserve">Rasko, D. A.; Sperandio, V. Anti-Virulence Strategies to Combat Bacteria-Mediated Disease. </w:t>
      </w:r>
      <w:r w:rsidRPr="00654CB9">
        <w:rPr>
          <w:rFonts w:cs="Times New Roman"/>
          <w:i/>
          <w:iCs/>
        </w:rPr>
        <w:t xml:space="preserve">Nat Rev Drug </w:t>
      </w:r>
      <w:proofErr w:type="spellStart"/>
      <w:r w:rsidRPr="00654CB9">
        <w:rPr>
          <w:rFonts w:cs="Times New Roman"/>
          <w:i/>
          <w:iCs/>
        </w:rPr>
        <w:t>Discov</w:t>
      </w:r>
      <w:proofErr w:type="spellEnd"/>
      <w:r w:rsidRPr="00654CB9">
        <w:rPr>
          <w:rFonts w:cs="Times New Roman"/>
        </w:rPr>
        <w:t xml:space="preserve"> </w:t>
      </w:r>
      <w:r w:rsidRPr="00654CB9">
        <w:rPr>
          <w:rFonts w:cs="Times New Roman"/>
          <w:b/>
          <w:bCs/>
        </w:rPr>
        <w:t>2010</w:t>
      </w:r>
      <w:r w:rsidRPr="00654CB9">
        <w:rPr>
          <w:rFonts w:cs="Times New Roman"/>
        </w:rPr>
        <w:t xml:space="preserve">, </w:t>
      </w:r>
      <w:r w:rsidRPr="00654CB9">
        <w:rPr>
          <w:rFonts w:cs="Times New Roman"/>
          <w:i/>
          <w:iCs/>
        </w:rPr>
        <w:t>9</w:t>
      </w:r>
      <w:r w:rsidRPr="00654CB9">
        <w:rPr>
          <w:rFonts w:cs="Times New Roman"/>
        </w:rPr>
        <w:t xml:space="preserve"> (2), 117–128. https://doi.org/10.1038/nrd3013.</w:t>
      </w:r>
    </w:p>
    <w:p w14:paraId="117F5B8E"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(9) </w:t>
      </w:r>
      <w:r w:rsidRPr="00654CB9">
        <w:rPr>
          <w:rFonts w:cs="Times New Roman"/>
        </w:rPr>
        <w:tab/>
        <w:t xml:space="preserve">Stock, A. M.; Robinson, V. L.; Goudreau, P. N. Two-Component Signal Transduction. </w:t>
      </w:r>
      <w:r w:rsidRPr="00654CB9">
        <w:rPr>
          <w:rFonts w:cs="Times New Roman"/>
          <w:i/>
          <w:iCs/>
        </w:rPr>
        <w:t xml:space="preserve">Annu. Rev. </w:t>
      </w:r>
      <w:proofErr w:type="spellStart"/>
      <w:r w:rsidRPr="00654CB9">
        <w:rPr>
          <w:rFonts w:cs="Times New Roman"/>
          <w:i/>
          <w:iCs/>
        </w:rPr>
        <w:t>Biochem</w:t>
      </w:r>
      <w:proofErr w:type="spellEnd"/>
      <w:r w:rsidRPr="00654CB9">
        <w:rPr>
          <w:rFonts w:cs="Times New Roman"/>
          <w:i/>
          <w:iCs/>
        </w:rPr>
        <w:t>.</w:t>
      </w:r>
      <w:r w:rsidRPr="00654CB9">
        <w:rPr>
          <w:rFonts w:cs="Times New Roman"/>
        </w:rPr>
        <w:t xml:space="preserve"> </w:t>
      </w:r>
      <w:r w:rsidRPr="00654CB9">
        <w:rPr>
          <w:rFonts w:cs="Times New Roman"/>
          <w:b/>
          <w:bCs/>
        </w:rPr>
        <w:t>2000</w:t>
      </w:r>
      <w:r w:rsidRPr="00654CB9">
        <w:rPr>
          <w:rFonts w:cs="Times New Roman"/>
        </w:rPr>
        <w:t xml:space="preserve">, </w:t>
      </w:r>
      <w:r w:rsidRPr="00654CB9">
        <w:rPr>
          <w:rFonts w:cs="Times New Roman"/>
          <w:i/>
          <w:iCs/>
        </w:rPr>
        <w:t>69</w:t>
      </w:r>
      <w:r w:rsidRPr="00654CB9">
        <w:rPr>
          <w:rFonts w:cs="Times New Roman"/>
        </w:rPr>
        <w:t xml:space="preserve"> (1), 183–215. https://doi.org/10.1146/annurev.biochem.69.1.183.</w:t>
      </w:r>
    </w:p>
    <w:p w14:paraId="5DE7FF32"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(10) </w:t>
      </w:r>
      <w:r w:rsidRPr="00654CB9">
        <w:rPr>
          <w:rFonts w:cs="Times New Roman"/>
        </w:rPr>
        <w:tab/>
      </w:r>
      <w:proofErr w:type="spellStart"/>
      <w:r w:rsidRPr="00654CB9">
        <w:rPr>
          <w:rFonts w:cs="Times New Roman"/>
        </w:rPr>
        <w:t>Raivio</w:t>
      </w:r>
      <w:proofErr w:type="spellEnd"/>
      <w:r w:rsidRPr="00654CB9">
        <w:rPr>
          <w:rFonts w:cs="Times New Roman"/>
        </w:rPr>
        <w:t xml:space="preserve">, T. L.; Silhavy, T. J. Transduction of Envelope Stress in Escherichia Coli by the </w:t>
      </w:r>
      <w:proofErr w:type="spellStart"/>
      <w:r w:rsidRPr="00654CB9">
        <w:rPr>
          <w:rFonts w:cs="Times New Roman"/>
        </w:rPr>
        <w:t>Cpx</w:t>
      </w:r>
      <w:proofErr w:type="spellEnd"/>
      <w:r w:rsidRPr="00654CB9">
        <w:rPr>
          <w:rFonts w:cs="Times New Roman"/>
        </w:rPr>
        <w:t xml:space="preserve"> Two-Component System. </w:t>
      </w:r>
      <w:r w:rsidRPr="00654CB9">
        <w:rPr>
          <w:rFonts w:cs="Times New Roman"/>
          <w:i/>
          <w:iCs/>
        </w:rPr>
        <w:t xml:space="preserve">J </w:t>
      </w:r>
      <w:proofErr w:type="spellStart"/>
      <w:r w:rsidRPr="00654CB9">
        <w:rPr>
          <w:rFonts w:cs="Times New Roman"/>
          <w:i/>
          <w:iCs/>
        </w:rPr>
        <w:t>Bacteriol</w:t>
      </w:r>
      <w:proofErr w:type="spellEnd"/>
      <w:r w:rsidRPr="00654CB9">
        <w:rPr>
          <w:rFonts w:cs="Times New Roman"/>
        </w:rPr>
        <w:t xml:space="preserve"> </w:t>
      </w:r>
      <w:r w:rsidRPr="00654CB9">
        <w:rPr>
          <w:rFonts w:cs="Times New Roman"/>
          <w:b/>
          <w:bCs/>
        </w:rPr>
        <w:t>1997</w:t>
      </w:r>
      <w:r w:rsidRPr="00654CB9">
        <w:rPr>
          <w:rFonts w:cs="Times New Roman"/>
        </w:rPr>
        <w:t xml:space="preserve">, </w:t>
      </w:r>
      <w:r w:rsidRPr="00654CB9">
        <w:rPr>
          <w:rFonts w:cs="Times New Roman"/>
          <w:i/>
          <w:iCs/>
        </w:rPr>
        <w:t>179</w:t>
      </w:r>
      <w:r w:rsidRPr="00654CB9">
        <w:rPr>
          <w:rFonts w:cs="Times New Roman"/>
        </w:rPr>
        <w:t xml:space="preserve"> (24), 7724–7733. https://doi.org/10.1128/jb.179.24.7724-7733.1997.</w:t>
      </w:r>
    </w:p>
    <w:p w14:paraId="28360C3D"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(11) </w:t>
      </w:r>
      <w:r w:rsidRPr="00654CB9">
        <w:rPr>
          <w:rFonts w:cs="Times New Roman"/>
        </w:rPr>
        <w:tab/>
        <w:t xml:space="preserve">Humphreys, S.; Rowley, G.; Stevenson, A.; Anjum, M. F.; Woodward, M. J.; Gilbert, S.; </w:t>
      </w:r>
      <w:proofErr w:type="spellStart"/>
      <w:r w:rsidRPr="00654CB9">
        <w:rPr>
          <w:rFonts w:cs="Times New Roman"/>
        </w:rPr>
        <w:t>Kormanec</w:t>
      </w:r>
      <w:proofErr w:type="spellEnd"/>
      <w:r w:rsidRPr="00654CB9">
        <w:rPr>
          <w:rFonts w:cs="Times New Roman"/>
        </w:rPr>
        <w:t xml:space="preserve">, J.; Roberts, M. Role of the Two-Component Regulator </w:t>
      </w:r>
      <w:proofErr w:type="spellStart"/>
      <w:r w:rsidRPr="00654CB9">
        <w:rPr>
          <w:rFonts w:cs="Times New Roman"/>
        </w:rPr>
        <w:t>CpxAR</w:t>
      </w:r>
      <w:proofErr w:type="spellEnd"/>
      <w:r w:rsidRPr="00654CB9">
        <w:rPr>
          <w:rFonts w:cs="Times New Roman"/>
        </w:rPr>
        <w:t xml:space="preserve"> in the Virulence of </w:t>
      </w:r>
      <w:r w:rsidRPr="00654CB9">
        <w:rPr>
          <w:rFonts w:cs="Times New Roman"/>
          <w:i/>
          <w:iCs/>
        </w:rPr>
        <w:t>Salmonella Enterica</w:t>
      </w:r>
      <w:r w:rsidRPr="00654CB9">
        <w:rPr>
          <w:rFonts w:cs="Times New Roman"/>
        </w:rPr>
        <w:t xml:space="preserve"> Serotype Typhimurium. </w:t>
      </w:r>
      <w:r w:rsidRPr="00654CB9">
        <w:rPr>
          <w:rFonts w:cs="Times New Roman"/>
          <w:i/>
          <w:iCs/>
        </w:rPr>
        <w:t xml:space="preserve">Infect </w:t>
      </w:r>
      <w:proofErr w:type="spellStart"/>
      <w:r w:rsidRPr="00654CB9">
        <w:rPr>
          <w:rFonts w:cs="Times New Roman"/>
          <w:i/>
          <w:iCs/>
        </w:rPr>
        <w:t>Immun</w:t>
      </w:r>
      <w:proofErr w:type="spellEnd"/>
      <w:r w:rsidRPr="00654CB9">
        <w:rPr>
          <w:rFonts w:cs="Times New Roman"/>
        </w:rPr>
        <w:t xml:space="preserve"> </w:t>
      </w:r>
      <w:r w:rsidRPr="00654CB9">
        <w:rPr>
          <w:rFonts w:cs="Times New Roman"/>
          <w:b/>
          <w:bCs/>
        </w:rPr>
        <w:t>2004</w:t>
      </w:r>
      <w:r w:rsidRPr="00654CB9">
        <w:rPr>
          <w:rFonts w:cs="Times New Roman"/>
        </w:rPr>
        <w:t xml:space="preserve">, </w:t>
      </w:r>
      <w:r w:rsidRPr="00654CB9">
        <w:rPr>
          <w:rFonts w:cs="Times New Roman"/>
          <w:i/>
          <w:iCs/>
        </w:rPr>
        <w:t>72</w:t>
      </w:r>
      <w:r w:rsidRPr="00654CB9">
        <w:rPr>
          <w:rFonts w:cs="Times New Roman"/>
        </w:rPr>
        <w:t xml:space="preserve"> (8), 4654–4661. https://doi.org/10.1128/IAI.72.8.4654-4661.2004.</w:t>
      </w:r>
    </w:p>
    <w:p w14:paraId="3C80494A"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(12) </w:t>
      </w:r>
      <w:r w:rsidRPr="00654CB9">
        <w:rPr>
          <w:rFonts w:cs="Times New Roman"/>
        </w:rPr>
        <w:tab/>
        <w:t xml:space="preserve">Spinola, S. M.; Fortney, K. R.; Baker, B.; Janowicz, D. M.; Zwickl, B.; Katz, B. P.; Blick, R. J.; Munson, R. S. Activation of the CpxRA System by Deletion of </w:t>
      </w:r>
      <w:proofErr w:type="spellStart"/>
      <w:r w:rsidRPr="00654CB9">
        <w:rPr>
          <w:rFonts w:cs="Times New Roman"/>
          <w:i/>
          <w:iCs/>
        </w:rPr>
        <w:t>CpxA</w:t>
      </w:r>
      <w:proofErr w:type="spellEnd"/>
      <w:r w:rsidRPr="00654CB9">
        <w:rPr>
          <w:rFonts w:cs="Times New Roman"/>
        </w:rPr>
        <w:t xml:space="preserve"> Impairs the Ability </w:t>
      </w:r>
      <w:r w:rsidRPr="00654CB9">
        <w:rPr>
          <w:rFonts w:cs="Times New Roman"/>
        </w:rPr>
        <w:lastRenderedPageBreak/>
        <w:t xml:space="preserve">of </w:t>
      </w:r>
      <w:proofErr w:type="spellStart"/>
      <w:r w:rsidRPr="00654CB9">
        <w:rPr>
          <w:rFonts w:cs="Times New Roman"/>
          <w:i/>
          <w:iCs/>
        </w:rPr>
        <w:t>Haemophilus</w:t>
      </w:r>
      <w:proofErr w:type="spellEnd"/>
      <w:r w:rsidRPr="00654CB9">
        <w:rPr>
          <w:rFonts w:cs="Times New Roman"/>
          <w:i/>
          <w:iCs/>
        </w:rPr>
        <w:t xml:space="preserve"> Ducreyi</w:t>
      </w:r>
      <w:r w:rsidRPr="00654CB9">
        <w:rPr>
          <w:rFonts w:cs="Times New Roman"/>
        </w:rPr>
        <w:t xml:space="preserve"> </w:t>
      </w:r>
      <w:proofErr w:type="gramStart"/>
      <w:r w:rsidRPr="00654CB9">
        <w:rPr>
          <w:rFonts w:cs="Times New Roman"/>
        </w:rPr>
        <w:t>To</w:t>
      </w:r>
      <w:proofErr w:type="gramEnd"/>
      <w:r w:rsidRPr="00654CB9">
        <w:rPr>
          <w:rFonts w:cs="Times New Roman"/>
        </w:rPr>
        <w:t xml:space="preserve"> Infect Humans. </w:t>
      </w:r>
      <w:r w:rsidRPr="00654CB9">
        <w:rPr>
          <w:rFonts w:cs="Times New Roman"/>
          <w:i/>
          <w:iCs/>
        </w:rPr>
        <w:t xml:space="preserve">Infect </w:t>
      </w:r>
      <w:proofErr w:type="spellStart"/>
      <w:r w:rsidRPr="00654CB9">
        <w:rPr>
          <w:rFonts w:cs="Times New Roman"/>
          <w:i/>
          <w:iCs/>
        </w:rPr>
        <w:t>Immun</w:t>
      </w:r>
      <w:proofErr w:type="spellEnd"/>
      <w:r w:rsidRPr="00654CB9">
        <w:rPr>
          <w:rFonts w:cs="Times New Roman"/>
        </w:rPr>
        <w:t xml:space="preserve"> </w:t>
      </w:r>
      <w:r w:rsidRPr="00654CB9">
        <w:rPr>
          <w:rFonts w:cs="Times New Roman"/>
          <w:b/>
          <w:bCs/>
        </w:rPr>
        <w:t>2010</w:t>
      </w:r>
      <w:r w:rsidRPr="00654CB9">
        <w:rPr>
          <w:rFonts w:cs="Times New Roman"/>
        </w:rPr>
        <w:t xml:space="preserve">, </w:t>
      </w:r>
      <w:r w:rsidRPr="00654CB9">
        <w:rPr>
          <w:rFonts w:cs="Times New Roman"/>
          <w:i/>
          <w:iCs/>
        </w:rPr>
        <w:t>78</w:t>
      </w:r>
      <w:r w:rsidRPr="00654CB9">
        <w:rPr>
          <w:rFonts w:cs="Times New Roman"/>
        </w:rPr>
        <w:t xml:space="preserve"> (9), 3898–3904. https://doi.org/10.1128/IAI.00432-10.</w:t>
      </w:r>
    </w:p>
    <w:p w14:paraId="20888084"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(13) </w:t>
      </w:r>
      <w:r w:rsidRPr="00654CB9">
        <w:rPr>
          <w:rFonts w:cs="Times New Roman"/>
        </w:rPr>
        <w:tab/>
      </w:r>
      <w:proofErr w:type="spellStart"/>
      <w:r w:rsidRPr="00654CB9">
        <w:rPr>
          <w:rFonts w:cs="Times New Roman"/>
        </w:rPr>
        <w:t>Gangaiah</w:t>
      </w:r>
      <w:proofErr w:type="spellEnd"/>
      <w:r w:rsidRPr="00654CB9">
        <w:rPr>
          <w:rFonts w:cs="Times New Roman"/>
        </w:rPr>
        <w:t>, D.; Raterman, E. L.; Wu, H.; Fortney, K. R.; Gao, H.; Liu, Y.; Jerse, A. E.; Spinola, S. M. Both MisR (</w:t>
      </w:r>
      <w:proofErr w:type="spellStart"/>
      <w:r w:rsidRPr="00654CB9">
        <w:rPr>
          <w:rFonts w:cs="Times New Roman"/>
        </w:rPr>
        <w:t>CpxR</w:t>
      </w:r>
      <w:proofErr w:type="spellEnd"/>
      <w:r w:rsidRPr="00654CB9">
        <w:rPr>
          <w:rFonts w:cs="Times New Roman"/>
        </w:rPr>
        <w:t xml:space="preserve">) and </w:t>
      </w:r>
      <w:proofErr w:type="spellStart"/>
      <w:r w:rsidRPr="00654CB9">
        <w:rPr>
          <w:rFonts w:cs="Times New Roman"/>
        </w:rPr>
        <w:t>MisS</w:t>
      </w:r>
      <w:proofErr w:type="spellEnd"/>
      <w:r w:rsidRPr="00654CB9">
        <w:rPr>
          <w:rFonts w:cs="Times New Roman"/>
        </w:rPr>
        <w:t xml:space="preserve"> (</w:t>
      </w:r>
      <w:proofErr w:type="spellStart"/>
      <w:r w:rsidRPr="00654CB9">
        <w:rPr>
          <w:rFonts w:cs="Times New Roman"/>
        </w:rPr>
        <w:t>CpxA</w:t>
      </w:r>
      <w:proofErr w:type="spellEnd"/>
      <w:r w:rsidRPr="00654CB9">
        <w:rPr>
          <w:rFonts w:cs="Times New Roman"/>
        </w:rPr>
        <w:t xml:space="preserve">) Are Required for Neisseria Gonorrhoeae Infection in a Murine Model of Lower Genital Tract Infection. </w:t>
      </w:r>
      <w:r w:rsidRPr="00654CB9">
        <w:rPr>
          <w:rFonts w:cs="Times New Roman"/>
          <w:i/>
          <w:iCs/>
        </w:rPr>
        <w:t xml:space="preserve">Infect </w:t>
      </w:r>
      <w:proofErr w:type="spellStart"/>
      <w:r w:rsidRPr="00654CB9">
        <w:rPr>
          <w:rFonts w:cs="Times New Roman"/>
          <w:i/>
          <w:iCs/>
        </w:rPr>
        <w:t>Immun</w:t>
      </w:r>
      <w:proofErr w:type="spellEnd"/>
      <w:r w:rsidRPr="00654CB9">
        <w:rPr>
          <w:rFonts w:cs="Times New Roman"/>
        </w:rPr>
        <w:t xml:space="preserve"> </w:t>
      </w:r>
      <w:r w:rsidRPr="00654CB9">
        <w:rPr>
          <w:rFonts w:cs="Times New Roman"/>
          <w:b/>
          <w:bCs/>
        </w:rPr>
        <w:t>2017</w:t>
      </w:r>
      <w:r w:rsidRPr="00654CB9">
        <w:rPr>
          <w:rFonts w:cs="Times New Roman"/>
        </w:rPr>
        <w:t xml:space="preserve">, </w:t>
      </w:r>
      <w:r w:rsidRPr="00654CB9">
        <w:rPr>
          <w:rFonts w:cs="Times New Roman"/>
          <w:i/>
          <w:iCs/>
        </w:rPr>
        <w:t>85</w:t>
      </w:r>
      <w:r w:rsidRPr="00654CB9">
        <w:rPr>
          <w:rFonts w:cs="Times New Roman"/>
        </w:rPr>
        <w:t xml:space="preserve"> (9). https://doi.org/10.1128/IAI.00307-17.</w:t>
      </w:r>
    </w:p>
    <w:p w14:paraId="2FB6F942"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(14) </w:t>
      </w:r>
      <w:r w:rsidRPr="00654CB9">
        <w:rPr>
          <w:rFonts w:cs="Times New Roman"/>
        </w:rPr>
        <w:tab/>
      </w:r>
      <w:proofErr w:type="spellStart"/>
      <w:r w:rsidRPr="00654CB9">
        <w:rPr>
          <w:rFonts w:cs="Times New Roman"/>
        </w:rPr>
        <w:t>Dbeibo</w:t>
      </w:r>
      <w:proofErr w:type="spellEnd"/>
      <w:r w:rsidRPr="00654CB9">
        <w:rPr>
          <w:rFonts w:cs="Times New Roman"/>
        </w:rPr>
        <w:t xml:space="preserve">, L.; van Rensburg, J. J.; Smith, S. N.; Fortney, K. R.; </w:t>
      </w:r>
      <w:proofErr w:type="spellStart"/>
      <w:r w:rsidRPr="00654CB9">
        <w:rPr>
          <w:rFonts w:cs="Times New Roman"/>
        </w:rPr>
        <w:t>Gangaiah</w:t>
      </w:r>
      <w:proofErr w:type="spellEnd"/>
      <w:r w:rsidRPr="00654CB9">
        <w:rPr>
          <w:rFonts w:cs="Times New Roman"/>
        </w:rPr>
        <w:t xml:space="preserve">, D.; Gao, H.; </w:t>
      </w:r>
      <w:proofErr w:type="spellStart"/>
      <w:r w:rsidRPr="00654CB9">
        <w:rPr>
          <w:rFonts w:cs="Times New Roman"/>
        </w:rPr>
        <w:t>Marzoa</w:t>
      </w:r>
      <w:proofErr w:type="spellEnd"/>
      <w:r w:rsidRPr="00654CB9">
        <w:rPr>
          <w:rFonts w:cs="Times New Roman"/>
        </w:rPr>
        <w:t xml:space="preserve">, J.; Liu, Y.; Mobley, H. L. T.; Spinola, S. M. Evaluation of CpxRA as a Therapeutic Target for </w:t>
      </w:r>
      <w:proofErr w:type="spellStart"/>
      <w:r w:rsidRPr="00654CB9">
        <w:rPr>
          <w:rFonts w:cs="Times New Roman"/>
        </w:rPr>
        <w:t>Uropathogenic</w:t>
      </w:r>
      <w:proofErr w:type="spellEnd"/>
      <w:r w:rsidRPr="00654CB9">
        <w:rPr>
          <w:rFonts w:cs="Times New Roman"/>
        </w:rPr>
        <w:t xml:space="preserve"> Escherichia Coli Infections. </w:t>
      </w:r>
      <w:r w:rsidRPr="00654CB9">
        <w:rPr>
          <w:rFonts w:cs="Times New Roman"/>
          <w:i/>
          <w:iCs/>
        </w:rPr>
        <w:t xml:space="preserve">Infect </w:t>
      </w:r>
      <w:proofErr w:type="spellStart"/>
      <w:r w:rsidRPr="00654CB9">
        <w:rPr>
          <w:rFonts w:cs="Times New Roman"/>
          <w:i/>
          <w:iCs/>
        </w:rPr>
        <w:t>Immun</w:t>
      </w:r>
      <w:proofErr w:type="spellEnd"/>
      <w:r w:rsidRPr="00654CB9">
        <w:rPr>
          <w:rFonts w:cs="Times New Roman"/>
        </w:rPr>
        <w:t xml:space="preserve"> </w:t>
      </w:r>
      <w:r w:rsidRPr="00654CB9">
        <w:rPr>
          <w:rFonts w:cs="Times New Roman"/>
          <w:b/>
          <w:bCs/>
        </w:rPr>
        <w:t>2018</w:t>
      </w:r>
      <w:r w:rsidRPr="00654CB9">
        <w:rPr>
          <w:rFonts w:cs="Times New Roman"/>
        </w:rPr>
        <w:t xml:space="preserve">, </w:t>
      </w:r>
      <w:r w:rsidRPr="00654CB9">
        <w:rPr>
          <w:rFonts w:cs="Times New Roman"/>
          <w:i/>
          <w:iCs/>
        </w:rPr>
        <w:t>86</w:t>
      </w:r>
      <w:r w:rsidRPr="00654CB9">
        <w:rPr>
          <w:rFonts w:cs="Times New Roman"/>
        </w:rPr>
        <w:t xml:space="preserve"> (3). https://doi.org/10.1128/IAI.00798-17.</w:t>
      </w:r>
    </w:p>
    <w:p w14:paraId="19852063"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(15) </w:t>
      </w:r>
      <w:r w:rsidRPr="00654CB9">
        <w:rPr>
          <w:rFonts w:cs="Times New Roman"/>
        </w:rPr>
        <w:tab/>
        <w:t xml:space="preserve">Gotoh, Y.; Eguchi, Y.; Watanabe, T.; Okamoto, S.; Doi, A.; Utsumi, R. Two-Component Signal Transduction as Potential Drug Targets in Pathogenic Bacteria. </w:t>
      </w:r>
      <w:r w:rsidRPr="00654CB9">
        <w:rPr>
          <w:rFonts w:cs="Times New Roman"/>
          <w:i/>
          <w:iCs/>
        </w:rPr>
        <w:t>Current Opinion in Microbiology</w:t>
      </w:r>
      <w:r w:rsidRPr="00654CB9">
        <w:rPr>
          <w:rFonts w:cs="Times New Roman"/>
        </w:rPr>
        <w:t xml:space="preserve"> </w:t>
      </w:r>
      <w:r w:rsidRPr="00654CB9">
        <w:rPr>
          <w:rFonts w:cs="Times New Roman"/>
          <w:b/>
          <w:bCs/>
        </w:rPr>
        <w:t>2010</w:t>
      </w:r>
      <w:r w:rsidRPr="00654CB9">
        <w:rPr>
          <w:rFonts w:cs="Times New Roman"/>
        </w:rPr>
        <w:t xml:space="preserve">, </w:t>
      </w:r>
      <w:r w:rsidRPr="00654CB9">
        <w:rPr>
          <w:rFonts w:cs="Times New Roman"/>
          <w:i/>
          <w:iCs/>
        </w:rPr>
        <w:t>13</w:t>
      </w:r>
      <w:r w:rsidRPr="00654CB9">
        <w:rPr>
          <w:rFonts w:cs="Times New Roman"/>
        </w:rPr>
        <w:t xml:space="preserve"> (2), 232–239. https://doi.org/10.1016/j.mib.2010.01.008.</w:t>
      </w:r>
    </w:p>
    <w:p w14:paraId="23382D6A"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(16) </w:t>
      </w:r>
      <w:r w:rsidRPr="00654CB9">
        <w:rPr>
          <w:rFonts w:cs="Times New Roman"/>
        </w:rPr>
        <w:tab/>
        <w:t xml:space="preserve">Schreiber, M.; Res, I.; Matter, A. Protein Kinases as Antibacterial Targets. </w:t>
      </w:r>
      <w:r w:rsidRPr="00654CB9">
        <w:rPr>
          <w:rFonts w:cs="Times New Roman"/>
          <w:i/>
          <w:iCs/>
        </w:rPr>
        <w:t>Current Opinion in Cell Biology</w:t>
      </w:r>
      <w:r w:rsidRPr="00654CB9">
        <w:rPr>
          <w:rFonts w:cs="Times New Roman"/>
        </w:rPr>
        <w:t xml:space="preserve"> </w:t>
      </w:r>
      <w:r w:rsidRPr="00654CB9">
        <w:rPr>
          <w:rFonts w:cs="Times New Roman"/>
          <w:b/>
          <w:bCs/>
        </w:rPr>
        <w:t>2009</w:t>
      </w:r>
      <w:r w:rsidRPr="00654CB9">
        <w:rPr>
          <w:rFonts w:cs="Times New Roman"/>
        </w:rPr>
        <w:t xml:space="preserve">, </w:t>
      </w:r>
      <w:r w:rsidRPr="00654CB9">
        <w:rPr>
          <w:rFonts w:cs="Times New Roman"/>
          <w:i/>
          <w:iCs/>
        </w:rPr>
        <w:t>21</w:t>
      </w:r>
      <w:r w:rsidRPr="00654CB9">
        <w:rPr>
          <w:rFonts w:cs="Times New Roman"/>
        </w:rPr>
        <w:t xml:space="preserve"> (2), 325–330. https://doi.org/10.1016/j.ceb.2009.01.026.</w:t>
      </w:r>
    </w:p>
    <w:p w14:paraId="3D32FEDE"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(17) </w:t>
      </w:r>
      <w:r w:rsidRPr="00654CB9">
        <w:rPr>
          <w:rFonts w:cs="Times New Roman"/>
        </w:rPr>
        <w:tab/>
        <w:t xml:space="preserve">van Rensburg, J. J.; Fortney, K. R.; Chen, L.; Krieger, A. J.; Lima, B. P.; Wolfe, A. J.; Katz, B. P.; Zhang, Z.; Spinola, S. M. Development and Validation of a High-Throughput Cell-Based Screen </w:t>
      </w:r>
      <w:proofErr w:type="gramStart"/>
      <w:r w:rsidRPr="00654CB9">
        <w:rPr>
          <w:rFonts w:cs="Times New Roman"/>
        </w:rPr>
        <w:t>To</w:t>
      </w:r>
      <w:proofErr w:type="gramEnd"/>
      <w:r w:rsidRPr="00654CB9">
        <w:rPr>
          <w:rFonts w:cs="Times New Roman"/>
        </w:rPr>
        <w:t xml:space="preserve"> Identify Activators of a Bacterial Two-Component Signal Transduction System. </w:t>
      </w:r>
      <w:proofErr w:type="spellStart"/>
      <w:r w:rsidRPr="00654CB9">
        <w:rPr>
          <w:rFonts w:cs="Times New Roman"/>
          <w:i/>
          <w:iCs/>
        </w:rPr>
        <w:t>Antimicrob</w:t>
      </w:r>
      <w:proofErr w:type="spellEnd"/>
      <w:r w:rsidRPr="00654CB9">
        <w:rPr>
          <w:rFonts w:cs="Times New Roman"/>
          <w:i/>
          <w:iCs/>
        </w:rPr>
        <w:t xml:space="preserve">. Agents </w:t>
      </w:r>
      <w:proofErr w:type="spellStart"/>
      <w:r w:rsidRPr="00654CB9">
        <w:rPr>
          <w:rFonts w:cs="Times New Roman"/>
          <w:i/>
          <w:iCs/>
        </w:rPr>
        <w:t>Chemother</w:t>
      </w:r>
      <w:proofErr w:type="spellEnd"/>
      <w:r w:rsidRPr="00654CB9">
        <w:rPr>
          <w:rFonts w:cs="Times New Roman"/>
          <w:i/>
          <w:iCs/>
        </w:rPr>
        <w:t>.</w:t>
      </w:r>
      <w:r w:rsidRPr="00654CB9">
        <w:rPr>
          <w:rFonts w:cs="Times New Roman"/>
        </w:rPr>
        <w:t xml:space="preserve"> </w:t>
      </w:r>
      <w:r w:rsidRPr="00654CB9">
        <w:rPr>
          <w:rFonts w:cs="Times New Roman"/>
          <w:b/>
          <w:bCs/>
        </w:rPr>
        <w:t>2015</w:t>
      </w:r>
      <w:r w:rsidRPr="00654CB9">
        <w:rPr>
          <w:rFonts w:cs="Times New Roman"/>
        </w:rPr>
        <w:t xml:space="preserve">, </w:t>
      </w:r>
      <w:r w:rsidRPr="00654CB9">
        <w:rPr>
          <w:rFonts w:cs="Times New Roman"/>
          <w:i/>
          <w:iCs/>
        </w:rPr>
        <w:t>59</w:t>
      </w:r>
      <w:r w:rsidRPr="00654CB9">
        <w:rPr>
          <w:rFonts w:cs="Times New Roman"/>
        </w:rPr>
        <w:t xml:space="preserve"> (7), 3789–3799. https://doi.org/10.1128/AAC.00236-15.</w:t>
      </w:r>
    </w:p>
    <w:p w14:paraId="68686FCD"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(18) </w:t>
      </w:r>
      <w:r w:rsidRPr="00654CB9">
        <w:rPr>
          <w:rFonts w:cs="Times New Roman"/>
        </w:rPr>
        <w:tab/>
        <w:t xml:space="preserve">Robinson, B. The Fischer Indole Synthesis. </w:t>
      </w:r>
      <w:r w:rsidRPr="00654CB9">
        <w:rPr>
          <w:rFonts w:cs="Times New Roman"/>
          <w:i/>
          <w:iCs/>
        </w:rPr>
        <w:t>Chem. Rev.</w:t>
      </w:r>
      <w:r w:rsidRPr="00654CB9">
        <w:rPr>
          <w:rFonts w:cs="Times New Roman"/>
        </w:rPr>
        <w:t xml:space="preserve"> </w:t>
      </w:r>
      <w:r w:rsidRPr="00654CB9">
        <w:rPr>
          <w:rFonts w:cs="Times New Roman"/>
          <w:b/>
          <w:bCs/>
        </w:rPr>
        <w:t>1963</w:t>
      </w:r>
      <w:r w:rsidRPr="00654CB9">
        <w:rPr>
          <w:rFonts w:cs="Times New Roman"/>
        </w:rPr>
        <w:t xml:space="preserve">, </w:t>
      </w:r>
      <w:r w:rsidRPr="00654CB9">
        <w:rPr>
          <w:rFonts w:cs="Times New Roman"/>
          <w:i/>
          <w:iCs/>
        </w:rPr>
        <w:t>63</w:t>
      </w:r>
      <w:r w:rsidRPr="00654CB9">
        <w:rPr>
          <w:rFonts w:cs="Times New Roman"/>
        </w:rPr>
        <w:t xml:space="preserve"> (4), 373–401. https://doi.org/10.1021/cr60224a003.</w:t>
      </w:r>
    </w:p>
    <w:p w14:paraId="0995ED8F" w14:textId="77777777" w:rsidR="00654CB9" w:rsidRPr="00654CB9" w:rsidRDefault="00654CB9" w:rsidP="00654CB9">
      <w:pPr>
        <w:tabs>
          <w:tab w:val="left" w:pos="504"/>
        </w:tabs>
        <w:spacing w:after="0"/>
        <w:ind w:left="504" w:hanging="504"/>
        <w:rPr>
          <w:rFonts w:cs="Times New Roman"/>
        </w:rPr>
      </w:pPr>
      <w:r w:rsidRPr="00654CB9">
        <w:rPr>
          <w:rFonts w:cs="Times New Roman"/>
        </w:rPr>
        <w:lastRenderedPageBreak/>
        <w:t xml:space="preserve">(19) </w:t>
      </w:r>
      <w:r w:rsidRPr="00654CB9">
        <w:rPr>
          <w:rFonts w:cs="Times New Roman"/>
        </w:rPr>
        <w:tab/>
        <w:t xml:space="preserve">Scherer, G.; Kramer, M. L.; </w:t>
      </w:r>
      <w:proofErr w:type="spellStart"/>
      <w:r w:rsidRPr="00654CB9">
        <w:rPr>
          <w:rFonts w:cs="Times New Roman"/>
        </w:rPr>
        <w:t>Schutkowski</w:t>
      </w:r>
      <w:proofErr w:type="spellEnd"/>
      <w:r w:rsidRPr="00654CB9">
        <w:rPr>
          <w:rFonts w:cs="Times New Roman"/>
        </w:rPr>
        <w:t xml:space="preserve">, M.; Reimer, U.; Fischer, G. Barriers to Rotation of Secondary Amide Peptide Bonds. </w:t>
      </w:r>
      <w:r w:rsidRPr="00654CB9">
        <w:rPr>
          <w:rFonts w:cs="Times New Roman"/>
          <w:i/>
          <w:iCs/>
        </w:rPr>
        <w:t>J. Am. Chem. Soc.</w:t>
      </w:r>
      <w:r w:rsidRPr="00654CB9">
        <w:rPr>
          <w:rFonts w:cs="Times New Roman"/>
        </w:rPr>
        <w:t xml:space="preserve"> </w:t>
      </w:r>
      <w:r w:rsidRPr="00654CB9">
        <w:rPr>
          <w:rFonts w:cs="Times New Roman"/>
          <w:b/>
          <w:bCs/>
        </w:rPr>
        <w:t>1998</w:t>
      </w:r>
      <w:r w:rsidRPr="00654CB9">
        <w:rPr>
          <w:rFonts w:cs="Times New Roman"/>
        </w:rPr>
        <w:t xml:space="preserve">, </w:t>
      </w:r>
      <w:r w:rsidRPr="00654CB9">
        <w:rPr>
          <w:rFonts w:cs="Times New Roman"/>
          <w:i/>
          <w:iCs/>
        </w:rPr>
        <w:t>120</w:t>
      </w:r>
      <w:r w:rsidRPr="00654CB9">
        <w:rPr>
          <w:rFonts w:cs="Times New Roman"/>
        </w:rPr>
        <w:t xml:space="preserve"> (22), 5568–5574. https://doi.org/10.1021/ja980181t.</w:t>
      </w:r>
    </w:p>
    <w:p w14:paraId="57C73182"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(20) </w:t>
      </w:r>
      <w:r w:rsidRPr="00654CB9">
        <w:rPr>
          <w:rFonts w:cs="Times New Roman"/>
        </w:rPr>
        <w:tab/>
        <w:t xml:space="preserve">Richter, M. F.; Drown, B. S.; Riley, A. P.; Garcia, A.; Shirai, T.; Svec, R. L.; Hergenrother, P. J. Predictive Compound Accumulation Rules Yield a Broad-Spectrum Antibiotic. </w:t>
      </w:r>
      <w:r w:rsidRPr="00654CB9">
        <w:rPr>
          <w:rFonts w:cs="Times New Roman"/>
          <w:i/>
          <w:iCs/>
        </w:rPr>
        <w:t>Nature</w:t>
      </w:r>
      <w:r w:rsidRPr="00654CB9">
        <w:rPr>
          <w:rFonts w:cs="Times New Roman"/>
        </w:rPr>
        <w:t xml:space="preserve"> </w:t>
      </w:r>
      <w:r w:rsidRPr="00654CB9">
        <w:rPr>
          <w:rFonts w:cs="Times New Roman"/>
          <w:b/>
          <w:bCs/>
        </w:rPr>
        <w:t>2017</w:t>
      </w:r>
      <w:r w:rsidRPr="00654CB9">
        <w:rPr>
          <w:rFonts w:cs="Times New Roman"/>
        </w:rPr>
        <w:t xml:space="preserve">, </w:t>
      </w:r>
      <w:r w:rsidRPr="00654CB9">
        <w:rPr>
          <w:rFonts w:cs="Times New Roman"/>
          <w:i/>
          <w:iCs/>
        </w:rPr>
        <w:t>545</w:t>
      </w:r>
      <w:r w:rsidRPr="00654CB9">
        <w:rPr>
          <w:rFonts w:cs="Times New Roman"/>
        </w:rPr>
        <w:t xml:space="preserve"> (7654), 299–304. https://doi.org/10.1038/nature22308.</w:t>
      </w:r>
    </w:p>
    <w:p w14:paraId="0FC328AA"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(21) </w:t>
      </w:r>
      <w:r w:rsidRPr="00654CB9">
        <w:rPr>
          <w:rFonts w:cs="Times New Roman"/>
        </w:rPr>
        <w:tab/>
        <w:t xml:space="preserve">Krishnamoorthy, G.; </w:t>
      </w:r>
      <w:proofErr w:type="spellStart"/>
      <w:r w:rsidRPr="00654CB9">
        <w:rPr>
          <w:rFonts w:cs="Times New Roman"/>
        </w:rPr>
        <w:t>Wolloscheck</w:t>
      </w:r>
      <w:proofErr w:type="spellEnd"/>
      <w:r w:rsidRPr="00654CB9">
        <w:rPr>
          <w:rFonts w:cs="Times New Roman"/>
        </w:rPr>
        <w:t xml:space="preserve">, D.; Weeks, J. W.; Croft, C.; </w:t>
      </w:r>
      <w:proofErr w:type="spellStart"/>
      <w:r w:rsidRPr="00654CB9">
        <w:rPr>
          <w:rFonts w:cs="Times New Roman"/>
        </w:rPr>
        <w:t>Rybenkov</w:t>
      </w:r>
      <w:proofErr w:type="spellEnd"/>
      <w:r w:rsidRPr="00654CB9">
        <w:rPr>
          <w:rFonts w:cs="Times New Roman"/>
        </w:rPr>
        <w:t xml:space="preserve">, V. V.; Zgurskaya, H. I. Breaking the Permeability Barrier of Escherichia Coli by Controlled </w:t>
      </w:r>
      <w:proofErr w:type="spellStart"/>
      <w:r w:rsidRPr="00654CB9">
        <w:rPr>
          <w:rFonts w:cs="Times New Roman"/>
        </w:rPr>
        <w:t>Hyperporination</w:t>
      </w:r>
      <w:proofErr w:type="spellEnd"/>
      <w:r w:rsidRPr="00654CB9">
        <w:rPr>
          <w:rFonts w:cs="Times New Roman"/>
        </w:rPr>
        <w:t xml:space="preserve"> of the Outer Membrane. </w:t>
      </w:r>
      <w:proofErr w:type="spellStart"/>
      <w:r w:rsidRPr="00654CB9">
        <w:rPr>
          <w:rFonts w:cs="Times New Roman"/>
          <w:i/>
          <w:iCs/>
        </w:rPr>
        <w:t>Antimicrob</w:t>
      </w:r>
      <w:proofErr w:type="spellEnd"/>
      <w:r w:rsidRPr="00654CB9">
        <w:rPr>
          <w:rFonts w:cs="Times New Roman"/>
          <w:i/>
          <w:iCs/>
        </w:rPr>
        <w:t xml:space="preserve"> Agents </w:t>
      </w:r>
      <w:proofErr w:type="spellStart"/>
      <w:r w:rsidRPr="00654CB9">
        <w:rPr>
          <w:rFonts w:cs="Times New Roman"/>
          <w:i/>
          <w:iCs/>
        </w:rPr>
        <w:t>Chemother</w:t>
      </w:r>
      <w:proofErr w:type="spellEnd"/>
      <w:r w:rsidRPr="00654CB9">
        <w:rPr>
          <w:rFonts w:cs="Times New Roman"/>
        </w:rPr>
        <w:t xml:space="preserve"> </w:t>
      </w:r>
      <w:r w:rsidRPr="00654CB9">
        <w:rPr>
          <w:rFonts w:cs="Times New Roman"/>
          <w:b/>
          <w:bCs/>
        </w:rPr>
        <w:t>2016</w:t>
      </w:r>
      <w:r w:rsidRPr="00654CB9">
        <w:rPr>
          <w:rFonts w:cs="Times New Roman"/>
        </w:rPr>
        <w:t xml:space="preserve">, </w:t>
      </w:r>
      <w:r w:rsidRPr="00654CB9">
        <w:rPr>
          <w:rFonts w:cs="Times New Roman"/>
          <w:i/>
          <w:iCs/>
        </w:rPr>
        <w:t>60</w:t>
      </w:r>
      <w:r w:rsidRPr="00654CB9">
        <w:rPr>
          <w:rFonts w:cs="Times New Roman"/>
        </w:rPr>
        <w:t xml:space="preserve"> (12), 7372–7381. https://doi.org/10.1128/AAC.01882-16.</w:t>
      </w:r>
    </w:p>
    <w:p w14:paraId="4CFBAC77"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(22) </w:t>
      </w:r>
      <w:r w:rsidRPr="00654CB9">
        <w:rPr>
          <w:rFonts w:cs="Times New Roman"/>
        </w:rPr>
        <w:tab/>
      </w:r>
      <w:proofErr w:type="spellStart"/>
      <w:r w:rsidRPr="00654CB9">
        <w:rPr>
          <w:rFonts w:cs="Times New Roman"/>
        </w:rPr>
        <w:t>Krcmery</w:t>
      </w:r>
      <w:proofErr w:type="spellEnd"/>
      <w:r w:rsidRPr="00654CB9">
        <w:rPr>
          <w:rFonts w:cs="Times New Roman"/>
        </w:rPr>
        <w:t xml:space="preserve">, S.; Naber, K. G. Ciprofloxacin Once versus Twice Daily in the Treatment of Complicated Urinary Tract Infections. </w:t>
      </w:r>
      <w:r w:rsidRPr="00654CB9">
        <w:rPr>
          <w:rFonts w:cs="Times New Roman"/>
          <w:i/>
          <w:iCs/>
        </w:rPr>
        <w:t>International Journal of Antimicrobial Agents</w:t>
      </w:r>
      <w:r w:rsidRPr="00654CB9">
        <w:rPr>
          <w:rFonts w:cs="Times New Roman"/>
        </w:rPr>
        <w:t xml:space="preserve"> </w:t>
      </w:r>
      <w:r w:rsidRPr="00654CB9">
        <w:rPr>
          <w:rFonts w:cs="Times New Roman"/>
          <w:b/>
          <w:bCs/>
        </w:rPr>
        <w:t>1999</w:t>
      </w:r>
      <w:r w:rsidRPr="00654CB9">
        <w:rPr>
          <w:rFonts w:cs="Times New Roman"/>
        </w:rPr>
        <w:t xml:space="preserve">, </w:t>
      </w:r>
      <w:r w:rsidRPr="00654CB9">
        <w:rPr>
          <w:rFonts w:cs="Times New Roman"/>
          <w:i/>
          <w:iCs/>
        </w:rPr>
        <w:t>11</w:t>
      </w:r>
      <w:r w:rsidRPr="00654CB9">
        <w:rPr>
          <w:rFonts w:cs="Times New Roman"/>
        </w:rPr>
        <w:t xml:space="preserve"> (2), 133–138. https://doi.org/10.1016/S0924-8579(98)00088-0.</w:t>
      </w:r>
    </w:p>
    <w:p w14:paraId="6E143F99"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(23) </w:t>
      </w:r>
      <w:r w:rsidRPr="00654CB9">
        <w:rPr>
          <w:rFonts w:cs="Times New Roman"/>
        </w:rPr>
        <w:tab/>
        <w:t xml:space="preserve">Oliphant, C.; Green, G. Quinolones: A Comprehensive Review. </w:t>
      </w:r>
      <w:r w:rsidRPr="00654CB9">
        <w:rPr>
          <w:rFonts w:cs="Times New Roman"/>
          <w:i/>
          <w:iCs/>
        </w:rPr>
        <w:t>Am Fam Physician</w:t>
      </w:r>
      <w:r w:rsidRPr="00654CB9">
        <w:rPr>
          <w:rFonts w:cs="Times New Roman"/>
        </w:rPr>
        <w:t xml:space="preserve"> </w:t>
      </w:r>
      <w:r w:rsidRPr="00654CB9">
        <w:rPr>
          <w:rFonts w:cs="Times New Roman"/>
          <w:b/>
          <w:bCs/>
        </w:rPr>
        <w:t>2002</w:t>
      </w:r>
      <w:r w:rsidRPr="00654CB9">
        <w:rPr>
          <w:rFonts w:cs="Times New Roman"/>
        </w:rPr>
        <w:t xml:space="preserve">, </w:t>
      </w:r>
      <w:r w:rsidRPr="00654CB9">
        <w:rPr>
          <w:rFonts w:cs="Times New Roman"/>
          <w:i/>
          <w:iCs/>
        </w:rPr>
        <w:t>65</w:t>
      </w:r>
      <w:r w:rsidRPr="00654CB9">
        <w:rPr>
          <w:rFonts w:cs="Times New Roman"/>
        </w:rPr>
        <w:t xml:space="preserve"> (3), 455–465.</w:t>
      </w:r>
    </w:p>
    <w:p w14:paraId="19D8BFC7"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(24) </w:t>
      </w:r>
      <w:r w:rsidRPr="00654CB9">
        <w:rPr>
          <w:rFonts w:cs="Times New Roman"/>
        </w:rPr>
        <w:tab/>
        <w:t xml:space="preserve">Zhang, G.-F.; Liu, X.; Zhang, S.; Pan, B.; Liu, M.-L. Ciprofloxacin Derivatives and Their Antibacterial Activities. </w:t>
      </w:r>
      <w:r w:rsidRPr="00654CB9">
        <w:rPr>
          <w:rFonts w:cs="Times New Roman"/>
          <w:i/>
          <w:iCs/>
        </w:rPr>
        <w:t>European Journal of Medicinal Chemistry</w:t>
      </w:r>
      <w:r w:rsidRPr="00654CB9">
        <w:rPr>
          <w:rFonts w:cs="Times New Roman"/>
        </w:rPr>
        <w:t xml:space="preserve"> </w:t>
      </w:r>
      <w:r w:rsidRPr="00654CB9">
        <w:rPr>
          <w:rFonts w:cs="Times New Roman"/>
          <w:b/>
          <w:bCs/>
        </w:rPr>
        <w:t>2018</w:t>
      </w:r>
      <w:r w:rsidRPr="00654CB9">
        <w:rPr>
          <w:rFonts w:cs="Times New Roman"/>
        </w:rPr>
        <w:t xml:space="preserve">, </w:t>
      </w:r>
      <w:r w:rsidRPr="00654CB9">
        <w:rPr>
          <w:rFonts w:cs="Times New Roman"/>
          <w:i/>
          <w:iCs/>
        </w:rPr>
        <w:t>146</w:t>
      </w:r>
      <w:r w:rsidRPr="00654CB9">
        <w:rPr>
          <w:rFonts w:cs="Times New Roman"/>
        </w:rPr>
        <w:t>, 599–612. https://doi.org/10.1016/j.ejmech.2018.01.078.</w:t>
      </w:r>
    </w:p>
    <w:p w14:paraId="2B41FE0D"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(25) </w:t>
      </w:r>
      <w:r w:rsidRPr="00654CB9">
        <w:rPr>
          <w:rFonts w:cs="Times New Roman"/>
        </w:rPr>
        <w:tab/>
        <w:t xml:space="preserve">Lau, C. K. Y.; </w:t>
      </w:r>
      <w:proofErr w:type="spellStart"/>
      <w:r w:rsidRPr="00654CB9">
        <w:rPr>
          <w:rFonts w:cs="Times New Roman"/>
        </w:rPr>
        <w:t>Krewulak</w:t>
      </w:r>
      <w:proofErr w:type="spellEnd"/>
      <w:r w:rsidRPr="00654CB9">
        <w:rPr>
          <w:rFonts w:cs="Times New Roman"/>
        </w:rPr>
        <w:t xml:space="preserve">, K. D.; Vogel, H. J. Bacterial Ferrous Iron Transport: The Feo System. </w:t>
      </w:r>
      <w:r w:rsidRPr="00654CB9">
        <w:rPr>
          <w:rFonts w:cs="Times New Roman"/>
          <w:i/>
          <w:iCs/>
        </w:rPr>
        <w:t>FEMS Microbiology Reviews</w:t>
      </w:r>
      <w:r w:rsidRPr="00654CB9">
        <w:rPr>
          <w:rFonts w:cs="Times New Roman"/>
        </w:rPr>
        <w:t xml:space="preserve"> </w:t>
      </w:r>
      <w:r w:rsidRPr="00654CB9">
        <w:rPr>
          <w:rFonts w:cs="Times New Roman"/>
          <w:b/>
          <w:bCs/>
        </w:rPr>
        <w:t>2016</w:t>
      </w:r>
      <w:r w:rsidRPr="00654CB9">
        <w:rPr>
          <w:rFonts w:cs="Times New Roman"/>
        </w:rPr>
        <w:t xml:space="preserve">, </w:t>
      </w:r>
      <w:r w:rsidRPr="00654CB9">
        <w:rPr>
          <w:rFonts w:cs="Times New Roman"/>
          <w:i/>
          <w:iCs/>
        </w:rPr>
        <w:t>40</w:t>
      </w:r>
      <w:r w:rsidRPr="00654CB9">
        <w:rPr>
          <w:rFonts w:cs="Times New Roman"/>
        </w:rPr>
        <w:t xml:space="preserve"> (2), 273–298. https://doi.org/10.1093/femsre/fuv049.</w:t>
      </w:r>
    </w:p>
    <w:p w14:paraId="1DBBFA83"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(26) </w:t>
      </w:r>
      <w:r w:rsidRPr="00654CB9">
        <w:rPr>
          <w:rFonts w:cs="Times New Roman"/>
        </w:rPr>
        <w:tab/>
      </w:r>
      <w:proofErr w:type="spellStart"/>
      <w:r w:rsidRPr="00654CB9">
        <w:rPr>
          <w:rFonts w:cs="Times New Roman"/>
        </w:rPr>
        <w:t>Behnsen</w:t>
      </w:r>
      <w:proofErr w:type="spellEnd"/>
      <w:r w:rsidRPr="00654CB9">
        <w:rPr>
          <w:rFonts w:cs="Times New Roman"/>
        </w:rPr>
        <w:t xml:space="preserve">, J.; </w:t>
      </w:r>
      <w:proofErr w:type="spellStart"/>
      <w:r w:rsidRPr="00654CB9">
        <w:rPr>
          <w:rFonts w:cs="Times New Roman"/>
        </w:rPr>
        <w:t>Raffatellu</w:t>
      </w:r>
      <w:proofErr w:type="spellEnd"/>
      <w:r w:rsidRPr="00654CB9">
        <w:rPr>
          <w:rFonts w:cs="Times New Roman"/>
        </w:rPr>
        <w:t xml:space="preserve">, M. Siderophores: More than Stealing Iron. </w:t>
      </w:r>
      <w:r w:rsidRPr="00654CB9">
        <w:rPr>
          <w:rFonts w:cs="Times New Roman"/>
          <w:i/>
          <w:iCs/>
        </w:rPr>
        <w:t>mBio</w:t>
      </w:r>
      <w:r w:rsidRPr="00654CB9">
        <w:rPr>
          <w:rFonts w:cs="Times New Roman"/>
        </w:rPr>
        <w:t xml:space="preserve"> </w:t>
      </w:r>
      <w:r w:rsidRPr="00654CB9">
        <w:rPr>
          <w:rFonts w:cs="Times New Roman"/>
          <w:i/>
          <w:iCs/>
        </w:rPr>
        <w:t>7</w:t>
      </w:r>
      <w:r w:rsidRPr="00654CB9">
        <w:rPr>
          <w:rFonts w:cs="Times New Roman"/>
        </w:rPr>
        <w:t xml:space="preserve"> (6), e01906-16. https://doi.org/10.1128/mBio.01906-16.</w:t>
      </w:r>
    </w:p>
    <w:p w14:paraId="4F86397F" w14:textId="77777777" w:rsidR="00654CB9" w:rsidRPr="00654CB9" w:rsidRDefault="00654CB9" w:rsidP="00654CB9">
      <w:pPr>
        <w:tabs>
          <w:tab w:val="left" w:pos="504"/>
        </w:tabs>
        <w:spacing w:after="0"/>
        <w:ind w:left="504" w:hanging="504"/>
        <w:rPr>
          <w:rFonts w:cs="Times New Roman"/>
        </w:rPr>
      </w:pPr>
      <w:r w:rsidRPr="00654CB9">
        <w:rPr>
          <w:rFonts w:cs="Times New Roman"/>
        </w:rPr>
        <w:lastRenderedPageBreak/>
        <w:t xml:space="preserve">(27) </w:t>
      </w:r>
      <w:r w:rsidRPr="00654CB9">
        <w:rPr>
          <w:rFonts w:cs="Times New Roman"/>
        </w:rPr>
        <w:tab/>
        <w:t xml:space="preserve">Braun, V. Energy-Coupled Transport and Signal Transduction through the Gram-Negative Outer Membrane via </w:t>
      </w:r>
      <w:proofErr w:type="spellStart"/>
      <w:r w:rsidRPr="00654CB9">
        <w:rPr>
          <w:rFonts w:cs="Times New Roman"/>
        </w:rPr>
        <w:t>TonB</w:t>
      </w:r>
      <w:proofErr w:type="spellEnd"/>
      <w:r w:rsidRPr="00654CB9">
        <w:rPr>
          <w:rFonts w:cs="Times New Roman"/>
        </w:rPr>
        <w:t>-</w:t>
      </w:r>
      <w:proofErr w:type="spellStart"/>
      <w:r w:rsidRPr="00654CB9">
        <w:rPr>
          <w:rFonts w:cs="Times New Roman"/>
        </w:rPr>
        <w:t>ExbB</w:t>
      </w:r>
      <w:proofErr w:type="spellEnd"/>
      <w:r w:rsidRPr="00654CB9">
        <w:rPr>
          <w:rFonts w:cs="Times New Roman"/>
        </w:rPr>
        <w:t>-</w:t>
      </w:r>
      <w:proofErr w:type="spellStart"/>
      <w:r w:rsidRPr="00654CB9">
        <w:rPr>
          <w:rFonts w:cs="Times New Roman"/>
        </w:rPr>
        <w:t>ExbD</w:t>
      </w:r>
      <w:proofErr w:type="spellEnd"/>
      <w:r w:rsidRPr="00654CB9">
        <w:rPr>
          <w:rFonts w:cs="Times New Roman"/>
        </w:rPr>
        <w:t xml:space="preserve">-Dependent Receptor Proteins. </w:t>
      </w:r>
      <w:r w:rsidRPr="00654CB9">
        <w:rPr>
          <w:rFonts w:cs="Times New Roman"/>
          <w:i/>
          <w:iCs/>
        </w:rPr>
        <w:t xml:space="preserve">FEMS </w:t>
      </w:r>
      <w:proofErr w:type="spellStart"/>
      <w:r w:rsidRPr="00654CB9">
        <w:rPr>
          <w:rFonts w:cs="Times New Roman"/>
          <w:i/>
          <w:iCs/>
        </w:rPr>
        <w:t>Microbiol</w:t>
      </w:r>
      <w:proofErr w:type="spellEnd"/>
      <w:r w:rsidRPr="00654CB9">
        <w:rPr>
          <w:rFonts w:cs="Times New Roman"/>
          <w:i/>
          <w:iCs/>
        </w:rPr>
        <w:t xml:space="preserve"> Rev</w:t>
      </w:r>
      <w:r w:rsidRPr="00654CB9">
        <w:rPr>
          <w:rFonts w:cs="Times New Roman"/>
        </w:rPr>
        <w:t xml:space="preserve"> </w:t>
      </w:r>
      <w:r w:rsidRPr="00654CB9">
        <w:rPr>
          <w:rFonts w:cs="Times New Roman"/>
          <w:b/>
          <w:bCs/>
        </w:rPr>
        <w:t>1995</w:t>
      </w:r>
      <w:r w:rsidRPr="00654CB9">
        <w:rPr>
          <w:rFonts w:cs="Times New Roman"/>
        </w:rPr>
        <w:t xml:space="preserve">, </w:t>
      </w:r>
      <w:r w:rsidRPr="00654CB9">
        <w:rPr>
          <w:rFonts w:cs="Times New Roman"/>
          <w:i/>
          <w:iCs/>
        </w:rPr>
        <w:t>16</w:t>
      </w:r>
      <w:r w:rsidRPr="00654CB9">
        <w:rPr>
          <w:rFonts w:cs="Times New Roman"/>
        </w:rPr>
        <w:t xml:space="preserve"> (4), 295–307. https://doi.org/10.1111/j.1574-6976.1995.tb00177.x.</w:t>
      </w:r>
    </w:p>
    <w:p w14:paraId="6B58A908"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(28) </w:t>
      </w:r>
      <w:r w:rsidRPr="00654CB9">
        <w:rPr>
          <w:rFonts w:cs="Times New Roman"/>
        </w:rPr>
        <w:tab/>
        <w:t xml:space="preserve">Fujita, M.; Mori, K.; Hara, H.; </w:t>
      </w:r>
      <w:proofErr w:type="spellStart"/>
      <w:r w:rsidRPr="00654CB9">
        <w:rPr>
          <w:rFonts w:cs="Times New Roman"/>
        </w:rPr>
        <w:t>Hishiyama</w:t>
      </w:r>
      <w:proofErr w:type="spellEnd"/>
      <w:r w:rsidRPr="00654CB9">
        <w:rPr>
          <w:rFonts w:cs="Times New Roman"/>
        </w:rPr>
        <w:t xml:space="preserve">, S.; Kamimura, N.; Masai, E. A </w:t>
      </w:r>
      <w:proofErr w:type="spellStart"/>
      <w:r w:rsidRPr="00654CB9">
        <w:rPr>
          <w:rFonts w:cs="Times New Roman"/>
        </w:rPr>
        <w:t>TonB</w:t>
      </w:r>
      <w:proofErr w:type="spellEnd"/>
      <w:r w:rsidRPr="00654CB9">
        <w:rPr>
          <w:rFonts w:cs="Times New Roman"/>
        </w:rPr>
        <w:t xml:space="preserve">-Dependent Receptor Constitutes the Outer Membrane Transport System for a Lignin-Derived Aromatic Compound. </w:t>
      </w:r>
      <w:proofErr w:type="spellStart"/>
      <w:r w:rsidRPr="00654CB9">
        <w:rPr>
          <w:rFonts w:cs="Times New Roman"/>
          <w:i/>
          <w:iCs/>
        </w:rPr>
        <w:t>Commun</w:t>
      </w:r>
      <w:proofErr w:type="spellEnd"/>
      <w:r w:rsidRPr="00654CB9">
        <w:rPr>
          <w:rFonts w:cs="Times New Roman"/>
          <w:i/>
          <w:iCs/>
        </w:rPr>
        <w:t xml:space="preserve"> Biol</w:t>
      </w:r>
      <w:r w:rsidRPr="00654CB9">
        <w:rPr>
          <w:rFonts w:cs="Times New Roman"/>
        </w:rPr>
        <w:t xml:space="preserve"> </w:t>
      </w:r>
      <w:r w:rsidRPr="00654CB9">
        <w:rPr>
          <w:rFonts w:cs="Times New Roman"/>
          <w:b/>
          <w:bCs/>
        </w:rPr>
        <w:t>2019</w:t>
      </w:r>
      <w:r w:rsidRPr="00654CB9">
        <w:rPr>
          <w:rFonts w:cs="Times New Roman"/>
        </w:rPr>
        <w:t xml:space="preserve">, </w:t>
      </w:r>
      <w:r w:rsidRPr="00654CB9">
        <w:rPr>
          <w:rFonts w:cs="Times New Roman"/>
          <w:i/>
          <w:iCs/>
        </w:rPr>
        <w:t>2</w:t>
      </w:r>
      <w:r w:rsidRPr="00654CB9">
        <w:rPr>
          <w:rFonts w:cs="Times New Roman"/>
        </w:rPr>
        <w:t xml:space="preserve"> (1), 1–10. https://doi.org/10.1038/s42003-019-0676-z.</w:t>
      </w:r>
    </w:p>
    <w:p w14:paraId="43598753"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(29) </w:t>
      </w:r>
      <w:r w:rsidRPr="00654CB9">
        <w:rPr>
          <w:rFonts w:cs="Times New Roman"/>
        </w:rPr>
        <w:tab/>
        <w:t xml:space="preserve">Torres, A. G.; Redford, P.; Welch, R. A.; Payne, S. M. </w:t>
      </w:r>
      <w:proofErr w:type="spellStart"/>
      <w:r w:rsidRPr="00654CB9">
        <w:rPr>
          <w:rFonts w:cs="Times New Roman"/>
        </w:rPr>
        <w:t>TonB</w:t>
      </w:r>
      <w:proofErr w:type="spellEnd"/>
      <w:r w:rsidRPr="00654CB9">
        <w:rPr>
          <w:rFonts w:cs="Times New Roman"/>
        </w:rPr>
        <w:t xml:space="preserve">-Dependent Systems of </w:t>
      </w:r>
      <w:proofErr w:type="spellStart"/>
      <w:r w:rsidRPr="00654CB9">
        <w:rPr>
          <w:rFonts w:cs="Times New Roman"/>
        </w:rPr>
        <w:t>Uropathogenic</w:t>
      </w:r>
      <w:proofErr w:type="spellEnd"/>
      <w:r w:rsidRPr="00654CB9">
        <w:rPr>
          <w:rFonts w:cs="Times New Roman"/>
        </w:rPr>
        <w:t xml:space="preserve"> Escherichia Coli: Aerobactin and Heme Transport and </w:t>
      </w:r>
      <w:proofErr w:type="spellStart"/>
      <w:r w:rsidRPr="00654CB9">
        <w:rPr>
          <w:rFonts w:cs="Times New Roman"/>
        </w:rPr>
        <w:t>TonB</w:t>
      </w:r>
      <w:proofErr w:type="spellEnd"/>
      <w:r w:rsidRPr="00654CB9">
        <w:rPr>
          <w:rFonts w:cs="Times New Roman"/>
        </w:rPr>
        <w:t xml:space="preserve"> </w:t>
      </w:r>
      <w:proofErr w:type="gramStart"/>
      <w:r w:rsidRPr="00654CB9">
        <w:rPr>
          <w:rFonts w:cs="Times New Roman"/>
        </w:rPr>
        <w:t>Are  Required</w:t>
      </w:r>
      <w:proofErr w:type="gramEnd"/>
      <w:r w:rsidRPr="00654CB9">
        <w:rPr>
          <w:rFonts w:cs="Times New Roman"/>
        </w:rPr>
        <w:t xml:space="preserve"> for Virulence in the Mouse. </w:t>
      </w:r>
      <w:r w:rsidRPr="00654CB9">
        <w:rPr>
          <w:rFonts w:cs="Times New Roman"/>
          <w:i/>
          <w:iCs/>
        </w:rPr>
        <w:t xml:space="preserve">Infect </w:t>
      </w:r>
      <w:proofErr w:type="spellStart"/>
      <w:r w:rsidRPr="00654CB9">
        <w:rPr>
          <w:rFonts w:cs="Times New Roman"/>
          <w:i/>
          <w:iCs/>
        </w:rPr>
        <w:t>Immun</w:t>
      </w:r>
      <w:proofErr w:type="spellEnd"/>
      <w:r w:rsidRPr="00654CB9">
        <w:rPr>
          <w:rFonts w:cs="Times New Roman"/>
        </w:rPr>
        <w:t xml:space="preserve"> </w:t>
      </w:r>
      <w:r w:rsidRPr="00654CB9">
        <w:rPr>
          <w:rFonts w:cs="Times New Roman"/>
          <w:b/>
          <w:bCs/>
        </w:rPr>
        <w:t>2001</w:t>
      </w:r>
      <w:r w:rsidRPr="00654CB9">
        <w:rPr>
          <w:rFonts w:cs="Times New Roman"/>
        </w:rPr>
        <w:t xml:space="preserve">, </w:t>
      </w:r>
      <w:r w:rsidRPr="00654CB9">
        <w:rPr>
          <w:rFonts w:cs="Times New Roman"/>
          <w:i/>
          <w:iCs/>
        </w:rPr>
        <w:t>69</w:t>
      </w:r>
      <w:r w:rsidRPr="00654CB9">
        <w:rPr>
          <w:rFonts w:cs="Times New Roman"/>
        </w:rPr>
        <w:t xml:space="preserve"> (10), 6179–6185. https://doi.org/10.1128/IAI.69.10.6179-6185.2001.</w:t>
      </w:r>
    </w:p>
    <w:p w14:paraId="5CA958E3"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(30) </w:t>
      </w:r>
      <w:r w:rsidRPr="00654CB9">
        <w:rPr>
          <w:rFonts w:cs="Times New Roman"/>
        </w:rPr>
        <w:tab/>
        <w:t xml:space="preserve">Cao, J.; Woodhall, M. R.; Alvarez, J.; </w:t>
      </w:r>
      <w:proofErr w:type="spellStart"/>
      <w:r w:rsidRPr="00654CB9">
        <w:rPr>
          <w:rFonts w:cs="Times New Roman"/>
        </w:rPr>
        <w:t>Cartron</w:t>
      </w:r>
      <w:proofErr w:type="spellEnd"/>
      <w:r w:rsidRPr="00654CB9">
        <w:rPr>
          <w:rFonts w:cs="Times New Roman"/>
        </w:rPr>
        <w:t xml:space="preserve">, M. L.; Andrews, S. C. </w:t>
      </w:r>
      <w:proofErr w:type="spellStart"/>
      <w:r w:rsidRPr="00654CB9">
        <w:rPr>
          <w:rFonts w:cs="Times New Roman"/>
        </w:rPr>
        <w:t>EfeUOB</w:t>
      </w:r>
      <w:proofErr w:type="spellEnd"/>
      <w:r w:rsidRPr="00654CB9">
        <w:rPr>
          <w:rFonts w:cs="Times New Roman"/>
        </w:rPr>
        <w:t xml:space="preserve"> (</w:t>
      </w:r>
      <w:proofErr w:type="spellStart"/>
      <w:r w:rsidRPr="00654CB9">
        <w:rPr>
          <w:rFonts w:cs="Times New Roman"/>
        </w:rPr>
        <w:t>YcdNOB</w:t>
      </w:r>
      <w:proofErr w:type="spellEnd"/>
      <w:r w:rsidRPr="00654CB9">
        <w:rPr>
          <w:rFonts w:cs="Times New Roman"/>
        </w:rPr>
        <w:t xml:space="preserve">) Is a Tripartite, Acid-Induced and </w:t>
      </w:r>
      <w:proofErr w:type="spellStart"/>
      <w:r w:rsidRPr="00654CB9">
        <w:rPr>
          <w:rFonts w:cs="Times New Roman"/>
        </w:rPr>
        <w:t>CpxAR</w:t>
      </w:r>
      <w:proofErr w:type="spellEnd"/>
      <w:r w:rsidRPr="00654CB9">
        <w:rPr>
          <w:rFonts w:cs="Times New Roman"/>
        </w:rPr>
        <w:t xml:space="preserve">-Regulated, Low-PH Fe2+ Transporter That Is Cryptic in Escherichia Coli K-12 but Functional in E. Coli O157:H7. </w:t>
      </w:r>
      <w:r w:rsidRPr="00654CB9">
        <w:rPr>
          <w:rFonts w:cs="Times New Roman"/>
          <w:i/>
          <w:iCs/>
        </w:rPr>
        <w:t>Molecular Microbiology</w:t>
      </w:r>
      <w:r w:rsidRPr="00654CB9">
        <w:rPr>
          <w:rFonts w:cs="Times New Roman"/>
        </w:rPr>
        <w:t xml:space="preserve"> </w:t>
      </w:r>
      <w:r w:rsidRPr="00654CB9">
        <w:rPr>
          <w:rFonts w:cs="Times New Roman"/>
          <w:b/>
          <w:bCs/>
        </w:rPr>
        <w:t>2007</w:t>
      </w:r>
      <w:r w:rsidRPr="00654CB9">
        <w:rPr>
          <w:rFonts w:cs="Times New Roman"/>
        </w:rPr>
        <w:t xml:space="preserve">, </w:t>
      </w:r>
      <w:r w:rsidRPr="00654CB9">
        <w:rPr>
          <w:rFonts w:cs="Times New Roman"/>
          <w:i/>
          <w:iCs/>
        </w:rPr>
        <w:t>65</w:t>
      </w:r>
      <w:r w:rsidRPr="00654CB9">
        <w:rPr>
          <w:rFonts w:cs="Times New Roman"/>
        </w:rPr>
        <w:t xml:space="preserve"> (4), 857–875. https://doi.org/10.1111/j.1365-2958.2007.05802.x.</w:t>
      </w:r>
    </w:p>
    <w:p w14:paraId="67C3DF38"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(31) </w:t>
      </w:r>
      <w:r w:rsidRPr="00654CB9">
        <w:rPr>
          <w:rFonts w:cs="Times New Roman"/>
        </w:rPr>
        <w:tab/>
        <w:t xml:space="preserve">Welch, R. A.; Burland, V.; Plunkett, G.; Redford, P.; Roesch, P.; Rasko, D.; Buckles, E. L.; Liou, S.-R.; Boutin, A.; Hackett, J.; Stroud, D.; Mayhew, G. F.; Rose, D. J.; Zhou, S.; Schwartz, D. C.; Perna, N. T.; Mobley, H. L. T.; </w:t>
      </w:r>
      <w:proofErr w:type="spellStart"/>
      <w:r w:rsidRPr="00654CB9">
        <w:rPr>
          <w:rFonts w:cs="Times New Roman"/>
        </w:rPr>
        <w:t>Donnenberg</w:t>
      </w:r>
      <w:proofErr w:type="spellEnd"/>
      <w:r w:rsidRPr="00654CB9">
        <w:rPr>
          <w:rFonts w:cs="Times New Roman"/>
        </w:rPr>
        <w:t xml:space="preserve">, M. S.; Blattner, F. R. Extensive Mosaic Structure Revealed by the Complete Genome Sequence of </w:t>
      </w:r>
      <w:proofErr w:type="spellStart"/>
      <w:r w:rsidRPr="00654CB9">
        <w:rPr>
          <w:rFonts w:cs="Times New Roman"/>
        </w:rPr>
        <w:t>Uropathogenic</w:t>
      </w:r>
      <w:proofErr w:type="spellEnd"/>
      <w:r w:rsidRPr="00654CB9">
        <w:rPr>
          <w:rFonts w:cs="Times New Roman"/>
        </w:rPr>
        <w:t xml:space="preserve"> Escherichia Coli. </w:t>
      </w:r>
      <w:r w:rsidRPr="00654CB9">
        <w:rPr>
          <w:rFonts w:cs="Times New Roman"/>
          <w:i/>
          <w:iCs/>
        </w:rPr>
        <w:t>PNAS</w:t>
      </w:r>
      <w:r w:rsidRPr="00654CB9">
        <w:rPr>
          <w:rFonts w:cs="Times New Roman"/>
        </w:rPr>
        <w:t xml:space="preserve"> </w:t>
      </w:r>
      <w:r w:rsidRPr="00654CB9">
        <w:rPr>
          <w:rFonts w:cs="Times New Roman"/>
          <w:b/>
          <w:bCs/>
        </w:rPr>
        <w:t>2002</w:t>
      </w:r>
      <w:r w:rsidRPr="00654CB9">
        <w:rPr>
          <w:rFonts w:cs="Times New Roman"/>
        </w:rPr>
        <w:t xml:space="preserve">, </w:t>
      </w:r>
      <w:r w:rsidRPr="00654CB9">
        <w:rPr>
          <w:rFonts w:cs="Times New Roman"/>
          <w:i/>
          <w:iCs/>
        </w:rPr>
        <w:t>99</w:t>
      </w:r>
      <w:r w:rsidRPr="00654CB9">
        <w:rPr>
          <w:rFonts w:cs="Times New Roman"/>
        </w:rPr>
        <w:t xml:space="preserve"> (26), 17020–17024. https://doi.org/10.1073/pnas.252529799.</w:t>
      </w:r>
    </w:p>
    <w:p w14:paraId="6057509E"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(32) </w:t>
      </w:r>
      <w:r w:rsidRPr="00654CB9">
        <w:rPr>
          <w:rFonts w:cs="Times New Roman"/>
        </w:rPr>
        <w:tab/>
        <w:t xml:space="preserve">Johnson, J. R. Virulence Factors in Escherichia Coli Urinary Tract Infection. </w:t>
      </w:r>
      <w:r w:rsidRPr="00654CB9">
        <w:rPr>
          <w:rFonts w:cs="Times New Roman"/>
          <w:i/>
          <w:iCs/>
        </w:rPr>
        <w:t xml:space="preserve">Clin </w:t>
      </w:r>
      <w:proofErr w:type="spellStart"/>
      <w:r w:rsidRPr="00654CB9">
        <w:rPr>
          <w:rFonts w:cs="Times New Roman"/>
          <w:i/>
          <w:iCs/>
        </w:rPr>
        <w:t>Microbiol</w:t>
      </w:r>
      <w:proofErr w:type="spellEnd"/>
      <w:r w:rsidRPr="00654CB9">
        <w:rPr>
          <w:rFonts w:cs="Times New Roman"/>
          <w:i/>
          <w:iCs/>
        </w:rPr>
        <w:t xml:space="preserve"> Rev</w:t>
      </w:r>
      <w:r w:rsidRPr="00654CB9">
        <w:rPr>
          <w:rFonts w:cs="Times New Roman"/>
        </w:rPr>
        <w:t xml:space="preserve"> </w:t>
      </w:r>
      <w:r w:rsidRPr="00654CB9">
        <w:rPr>
          <w:rFonts w:cs="Times New Roman"/>
          <w:b/>
          <w:bCs/>
        </w:rPr>
        <w:t>1991</w:t>
      </w:r>
      <w:r w:rsidRPr="00654CB9">
        <w:rPr>
          <w:rFonts w:cs="Times New Roman"/>
        </w:rPr>
        <w:t xml:space="preserve">, </w:t>
      </w:r>
      <w:r w:rsidRPr="00654CB9">
        <w:rPr>
          <w:rFonts w:cs="Times New Roman"/>
          <w:i/>
          <w:iCs/>
        </w:rPr>
        <w:t>4</w:t>
      </w:r>
      <w:r w:rsidRPr="00654CB9">
        <w:rPr>
          <w:rFonts w:cs="Times New Roman"/>
        </w:rPr>
        <w:t xml:space="preserve"> (1), 80–128. https://doi.org/10.1128/CMR.4.1.80.</w:t>
      </w:r>
    </w:p>
    <w:p w14:paraId="10BC9F1C" w14:textId="77777777" w:rsidR="00654CB9" w:rsidRPr="00654CB9" w:rsidRDefault="00654CB9" w:rsidP="00654CB9">
      <w:pPr>
        <w:tabs>
          <w:tab w:val="left" w:pos="504"/>
        </w:tabs>
        <w:spacing w:after="0"/>
        <w:ind w:left="504" w:hanging="504"/>
        <w:rPr>
          <w:rFonts w:cs="Times New Roman"/>
        </w:rPr>
      </w:pPr>
      <w:r w:rsidRPr="00654CB9">
        <w:rPr>
          <w:rFonts w:cs="Times New Roman"/>
        </w:rPr>
        <w:lastRenderedPageBreak/>
        <w:t xml:space="preserve">(33) </w:t>
      </w:r>
      <w:r w:rsidRPr="00654CB9">
        <w:rPr>
          <w:rFonts w:cs="Times New Roman"/>
        </w:rPr>
        <w:tab/>
        <w:t xml:space="preserve">Lima, B. P.; Thanh Huyen, T. T.; </w:t>
      </w:r>
      <w:proofErr w:type="spellStart"/>
      <w:r w:rsidRPr="00654CB9">
        <w:rPr>
          <w:rFonts w:cs="Times New Roman"/>
        </w:rPr>
        <w:t>Bäsell</w:t>
      </w:r>
      <w:proofErr w:type="spellEnd"/>
      <w:r w:rsidRPr="00654CB9">
        <w:rPr>
          <w:rFonts w:cs="Times New Roman"/>
        </w:rPr>
        <w:t xml:space="preserve">, K.; Becher, D.; </w:t>
      </w:r>
      <w:proofErr w:type="spellStart"/>
      <w:r w:rsidRPr="00654CB9">
        <w:rPr>
          <w:rFonts w:cs="Times New Roman"/>
        </w:rPr>
        <w:t>Antelmann</w:t>
      </w:r>
      <w:proofErr w:type="spellEnd"/>
      <w:r w:rsidRPr="00654CB9">
        <w:rPr>
          <w:rFonts w:cs="Times New Roman"/>
        </w:rPr>
        <w:t xml:space="preserve">, H.; Wolfe, A. J. Inhibition of Acetyl Phosphate-Dependent Transcription by an </w:t>
      </w:r>
      <w:proofErr w:type="spellStart"/>
      <w:r w:rsidRPr="00654CB9">
        <w:rPr>
          <w:rFonts w:cs="Times New Roman"/>
        </w:rPr>
        <w:t>Acetylatable</w:t>
      </w:r>
      <w:proofErr w:type="spellEnd"/>
      <w:r w:rsidRPr="00654CB9">
        <w:rPr>
          <w:rFonts w:cs="Times New Roman"/>
        </w:rPr>
        <w:t xml:space="preserve"> Lysine on RNA Polymerase. </w:t>
      </w:r>
      <w:r w:rsidRPr="00654CB9">
        <w:rPr>
          <w:rFonts w:cs="Times New Roman"/>
          <w:i/>
          <w:iCs/>
        </w:rPr>
        <w:t>Journal of Biological Chemistry</w:t>
      </w:r>
      <w:r w:rsidRPr="00654CB9">
        <w:rPr>
          <w:rFonts w:cs="Times New Roman"/>
        </w:rPr>
        <w:t xml:space="preserve"> </w:t>
      </w:r>
      <w:r w:rsidRPr="00654CB9">
        <w:rPr>
          <w:rFonts w:cs="Times New Roman"/>
          <w:b/>
          <w:bCs/>
        </w:rPr>
        <w:t>2012</w:t>
      </w:r>
      <w:r w:rsidRPr="00654CB9">
        <w:rPr>
          <w:rFonts w:cs="Times New Roman"/>
        </w:rPr>
        <w:t xml:space="preserve">, </w:t>
      </w:r>
      <w:r w:rsidRPr="00654CB9">
        <w:rPr>
          <w:rFonts w:cs="Times New Roman"/>
          <w:i/>
          <w:iCs/>
        </w:rPr>
        <w:t>287</w:t>
      </w:r>
      <w:r w:rsidRPr="00654CB9">
        <w:rPr>
          <w:rFonts w:cs="Times New Roman"/>
        </w:rPr>
        <w:t xml:space="preserve"> (38), 32147–32160. https://doi.org/10.1074/jbc.M112.365502.</w:t>
      </w:r>
    </w:p>
    <w:p w14:paraId="2F30A341"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(34) </w:t>
      </w:r>
      <w:r w:rsidRPr="00654CB9">
        <w:rPr>
          <w:rFonts w:cs="Times New Roman"/>
        </w:rPr>
        <w:tab/>
        <w:t xml:space="preserve">Alteri, C. J.; Hagan, E. C.; Sivick, K. E.; Smith, S. N.; Mobley, H. L. T. Mucosal Immunization with Iron Receptor Antigens Protects against Urinary Tract Infection. </w:t>
      </w:r>
      <w:proofErr w:type="spellStart"/>
      <w:r w:rsidRPr="00654CB9">
        <w:rPr>
          <w:rFonts w:cs="Times New Roman"/>
          <w:i/>
          <w:iCs/>
        </w:rPr>
        <w:t>PLoS</w:t>
      </w:r>
      <w:proofErr w:type="spellEnd"/>
      <w:r w:rsidRPr="00654CB9">
        <w:rPr>
          <w:rFonts w:cs="Times New Roman"/>
          <w:i/>
          <w:iCs/>
        </w:rPr>
        <w:t xml:space="preserve"> </w:t>
      </w:r>
      <w:proofErr w:type="spellStart"/>
      <w:r w:rsidRPr="00654CB9">
        <w:rPr>
          <w:rFonts w:cs="Times New Roman"/>
          <w:i/>
          <w:iCs/>
        </w:rPr>
        <w:t>Pathog</w:t>
      </w:r>
      <w:proofErr w:type="spellEnd"/>
      <w:r w:rsidRPr="00654CB9">
        <w:rPr>
          <w:rFonts w:cs="Times New Roman"/>
        </w:rPr>
        <w:t xml:space="preserve"> </w:t>
      </w:r>
      <w:r w:rsidRPr="00654CB9">
        <w:rPr>
          <w:rFonts w:cs="Times New Roman"/>
          <w:b/>
          <w:bCs/>
        </w:rPr>
        <w:t>2009</w:t>
      </w:r>
      <w:r w:rsidRPr="00654CB9">
        <w:rPr>
          <w:rFonts w:cs="Times New Roman"/>
        </w:rPr>
        <w:t xml:space="preserve">, </w:t>
      </w:r>
      <w:r w:rsidRPr="00654CB9">
        <w:rPr>
          <w:rFonts w:cs="Times New Roman"/>
          <w:i/>
          <w:iCs/>
        </w:rPr>
        <w:t>5</w:t>
      </w:r>
      <w:r w:rsidRPr="00654CB9">
        <w:rPr>
          <w:rFonts w:cs="Times New Roman"/>
        </w:rPr>
        <w:t xml:space="preserve"> (9), e1000586. https://doi.org/10.1371/journal.ppat.1000586.</w:t>
      </w:r>
    </w:p>
    <w:p w14:paraId="77F3C349"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(35) </w:t>
      </w:r>
      <w:r w:rsidRPr="00654CB9">
        <w:rPr>
          <w:rFonts w:cs="Times New Roman"/>
        </w:rPr>
        <w:tab/>
        <w:t xml:space="preserve">Bishop, C. E.; Shadid, T.; Lavey, N. P.; Kempher, M. L.; Ahsan, N.; Ballard, J. D.; Duerfeldt, A. S. </w:t>
      </w:r>
      <w:r w:rsidRPr="00654CB9">
        <w:rPr>
          <w:rFonts w:cs="Times New Roman"/>
          <w:i/>
          <w:iCs/>
        </w:rPr>
        <w:t xml:space="preserve">Loss of </w:t>
      </w:r>
      <w:proofErr w:type="spellStart"/>
      <w:r w:rsidRPr="00654CB9">
        <w:rPr>
          <w:rFonts w:cs="Times New Roman"/>
          <w:i/>
          <w:iCs/>
        </w:rPr>
        <w:t>ClpP</w:t>
      </w:r>
      <w:proofErr w:type="spellEnd"/>
      <w:r w:rsidRPr="00654CB9">
        <w:rPr>
          <w:rFonts w:cs="Times New Roman"/>
          <w:i/>
          <w:iCs/>
        </w:rPr>
        <w:t xml:space="preserve"> Function in </w:t>
      </w:r>
      <w:proofErr w:type="spellStart"/>
      <w:r w:rsidRPr="00654CB9">
        <w:rPr>
          <w:rFonts w:cs="Times New Roman"/>
        </w:rPr>
        <w:t>Clostridioides</w:t>
      </w:r>
      <w:proofErr w:type="spellEnd"/>
      <w:r w:rsidRPr="00654CB9">
        <w:rPr>
          <w:rFonts w:cs="Times New Roman"/>
        </w:rPr>
        <w:t xml:space="preserve"> Difficile</w:t>
      </w:r>
      <w:r w:rsidRPr="00654CB9">
        <w:rPr>
          <w:rFonts w:cs="Times New Roman"/>
          <w:i/>
          <w:iCs/>
        </w:rPr>
        <w:t xml:space="preserve"> 630 Significantly Impacts Sporulation Systems</w:t>
      </w:r>
      <w:r w:rsidRPr="00654CB9">
        <w:rPr>
          <w:rFonts w:cs="Times New Roman"/>
        </w:rPr>
        <w:t>; preprint; Microbiology, 2021. https://doi.org/10.1101/2021.02.05.429978.</w:t>
      </w:r>
    </w:p>
    <w:p w14:paraId="5D97BD15" w14:textId="77777777" w:rsidR="00654CB9" w:rsidRPr="00654CB9" w:rsidRDefault="00654CB9" w:rsidP="00654CB9">
      <w:pPr>
        <w:tabs>
          <w:tab w:val="left" w:pos="504"/>
        </w:tabs>
        <w:spacing w:after="0"/>
        <w:ind w:left="504" w:hanging="504"/>
        <w:rPr>
          <w:rFonts w:cs="Times New Roman"/>
        </w:rPr>
      </w:pPr>
      <w:r w:rsidRPr="00654CB9">
        <w:rPr>
          <w:rFonts w:cs="Times New Roman"/>
        </w:rPr>
        <w:t xml:space="preserve">(36) </w:t>
      </w:r>
      <w:r w:rsidRPr="00654CB9">
        <w:rPr>
          <w:rFonts w:cs="Times New Roman"/>
        </w:rPr>
        <w:tab/>
        <w:t xml:space="preserve">Palomba, A.; Abbondio, M.; Fiorito, G.; </w:t>
      </w:r>
      <w:proofErr w:type="spellStart"/>
      <w:r w:rsidRPr="00654CB9">
        <w:rPr>
          <w:rFonts w:cs="Times New Roman"/>
        </w:rPr>
        <w:t>Uzzau</w:t>
      </w:r>
      <w:proofErr w:type="spellEnd"/>
      <w:r w:rsidRPr="00654CB9">
        <w:rPr>
          <w:rFonts w:cs="Times New Roman"/>
        </w:rPr>
        <w:t xml:space="preserve">, S.; Pagnozzi, D.; </w:t>
      </w:r>
      <w:proofErr w:type="spellStart"/>
      <w:r w:rsidRPr="00654CB9">
        <w:rPr>
          <w:rFonts w:cs="Times New Roman"/>
        </w:rPr>
        <w:t>Tanca</w:t>
      </w:r>
      <w:proofErr w:type="spellEnd"/>
      <w:r w:rsidRPr="00654CB9">
        <w:rPr>
          <w:rFonts w:cs="Times New Roman"/>
        </w:rPr>
        <w:t xml:space="preserve">, A. Comparative Evaluation of </w:t>
      </w:r>
      <w:proofErr w:type="spellStart"/>
      <w:r w:rsidRPr="00654CB9">
        <w:rPr>
          <w:rFonts w:cs="Times New Roman"/>
        </w:rPr>
        <w:t>MaxQuant</w:t>
      </w:r>
      <w:proofErr w:type="spellEnd"/>
      <w:r w:rsidRPr="00654CB9">
        <w:rPr>
          <w:rFonts w:cs="Times New Roman"/>
        </w:rPr>
        <w:t xml:space="preserve"> and Proteome Discoverer MS1-Based Protein Quantification Tools. </w:t>
      </w:r>
      <w:r w:rsidRPr="00654CB9">
        <w:rPr>
          <w:rFonts w:cs="Times New Roman"/>
          <w:i/>
          <w:iCs/>
        </w:rPr>
        <w:t>J. Proteome Res.</w:t>
      </w:r>
      <w:r w:rsidRPr="00654CB9">
        <w:rPr>
          <w:rFonts w:cs="Times New Roman"/>
        </w:rPr>
        <w:t xml:space="preserve"> </w:t>
      </w:r>
      <w:r w:rsidRPr="00654CB9">
        <w:rPr>
          <w:rFonts w:cs="Times New Roman"/>
          <w:b/>
          <w:bCs/>
        </w:rPr>
        <w:t>2021</w:t>
      </w:r>
      <w:r w:rsidRPr="00654CB9">
        <w:rPr>
          <w:rFonts w:cs="Times New Roman"/>
        </w:rPr>
        <w:t xml:space="preserve">, </w:t>
      </w:r>
      <w:r w:rsidRPr="00654CB9">
        <w:rPr>
          <w:rFonts w:cs="Times New Roman"/>
          <w:i/>
          <w:iCs/>
        </w:rPr>
        <w:t>20</w:t>
      </w:r>
      <w:r w:rsidRPr="00654CB9">
        <w:rPr>
          <w:rFonts w:cs="Times New Roman"/>
        </w:rPr>
        <w:t xml:space="preserve"> (7), 3497–3507. https://doi.org/10.1021/acs.jproteome.1c00143.</w:t>
      </w:r>
    </w:p>
    <w:p w14:paraId="213DA852" w14:textId="77777777" w:rsidR="00654CB9" w:rsidRPr="00654CB9" w:rsidRDefault="00654CB9" w:rsidP="00654CB9">
      <w:pPr>
        <w:rPr>
          <w:rFonts w:cs="Times New Roman"/>
          <w:noProof/>
          <w:szCs w:val="24"/>
        </w:rPr>
      </w:pPr>
      <w:r w:rsidRPr="00654CB9">
        <w:rPr>
          <w:rFonts w:cs="Times New Roman"/>
          <w:noProof/>
          <w:szCs w:val="24"/>
        </w:rPr>
        <w:fldChar w:fldCharType="end"/>
      </w:r>
    </w:p>
    <w:p w14:paraId="556F1586" w14:textId="77777777" w:rsidR="00654CB9" w:rsidRPr="00654CB9" w:rsidRDefault="00654CB9" w:rsidP="00654CB9">
      <w:pPr>
        <w:spacing w:line="259" w:lineRule="auto"/>
        <w:jc w:val="left"/>
        <w:rPr>
          <w:rFonts w:cs="Times New Roman"/>
          <w:noProof/>
          <w:szCs w:val="24"/>
        </w:rPr>
      </w:pPr>
      <w:r w:rsidRPr="00654CB9">
        <w:rPr>
          <w:rFonts w:cs="Times New Roman"/>
          <w:szCs w:val="24"/>
        </w:rPr>
        <w:br w:type="page"/>
      </w:r>
    </w:p>
    <w:p w14:paraId="21999750" w14:textId="77777777" w:rsidR="00654CB9" w:rsidRPr="00654CB9" w:rsidRDefault="00654CB9" w:rsidP="00654CB9">
      <w:pPr>
        <w:rPr>
          <w:rFonts w:cs="Times New Roman"/>
          <w:noProof/>
          <w:szCs w:val="24"/>
        </w:rPr>
      </w:pPr>
    </w:p>
    <w:p w14:paraId="1C4EA58A" w14:textId="77777777" w:rsidR="00654CB9" w:rsidRPr="00654CB9" w:rsidRDefault="00654CB9" w:rsidP="00654CB9">
      <w:pPr>
        <w:rPr>
          <w:rFonts w:cs="Times New Roman"/>
          <w:noProof/>
          <w:szCs w:val="24"/>
        </w:rPr>
      </w:pPr>
    </w:p>
    <w:p w14:paraId="103171EF" w14:textId="77777777" w:rsidR="00654CB9" w:rsidRPr="00654CB9" w:rsidRDefault="00654CB9" w:rsidP="00654CB9">
      <w:pPr>
        <w:spacing w:after="0"/>
        <w:rPr>
          <w:rFonts w:eastAsia="Times New Roman" w:cs="Times New Roman"/>
          <w:b/>
          <w:sz w:val="28"/>
          <w:szCs w:val="28"/>
        </w:rPr>
      </w:pPr>
    </w:p>
    <w:p w14:paraId="53EC8649" w14:textId="77777777" w:rsidR="00654CB9" w:rsidRPr="00654CB9" w:rsidRDefault="00654CB9" w:rsidP="00654CB9">
      <w:pPr>
        <w:spacing w:after="0"/>
        <w:rPr>
          <w:rFonts w:eastAsia="Times New Roman" w:cs="Times New Roman"/>
          <w:b/>
          <w:sz w:val="28"/>
          <w:szCs w:val="28"/>
        </w:rPr>
      </w:pPr>
    </w:p>
    <w:p w14:paraId="33E87BA8" w14:textId="77777777" w:rsidR="00654CB9" w:rsidRPr="00654CB9" w:rsidRDefault="00654CB9" w:rsidP="00654CB9">
      <w:pPr>
        <w:spacing w:after="0"/>
        <w:rPr>
          <w:rFonts w:eastAsia="Times New Roman" w:cs="Times New Roman"/>
          <w:b/>
          <w:sz w:val="28"/>
          <w:szCs w:val="28"/>
        </w:rPr>
      </w:pPr>
    </w:p>
    <w:p w14:paraId="78DCAD66" w14:textId="77777777" w:rsidR="00654CB9" w:rsidRPr="00654CB9" w:rsidRDefault="00654CB9" w:rsidP="00843627">
      <w:pPr>
        <w:pStyle w:val="ChapterTitles"/>
      </w:pPr>
      <w:bookmarkStart w:id="212" w:name="_Toc97238935"/>
      <w:bookmarkStart w:id="213" w:name="_Toc98429818"/>
      <w:bookmarkStart w:id="214" w:name="_Toc102586264"/>
      <w:r w:rsidRPr="00654CB9">
        <w:t xml:space="preserve">Appendix I. Spectra Relevant to Chapter </w:t>
      </w:r>
      <w:bookmarkEnd w:id="212"/>
      <w:r w:rsidRPr="00654CB9">
        <w:t>2</w:t>
      </w:r>
      <w:bookmarkEnd w:id="213"/>
      <w:bookmarkEnd w:id="214"/>
    </w:p>
    <w:p w14:paraId="44F52C4C" w14:textId="77777777" w:rsidR="00654CB9" w:rsidRPr="00654CB9" w:rsidRDefault="00654CB9" w:rsidP="00654CB9">
      <w:pPr>
        <w:spacing w:line="259" w:lineRule="auto"/>
        <w:jc w:val="left"/>
        <w:rPr>
          <w:rFonts w:asciiTheme="minorHAnsi" w:hAnsiTheme="minorHAnsi"/>
          <w:sz w:val="22"/>
        </w:rPr>
      </w:pPr>
      <w:r w:rsidRPr="00654CB9">
        <w:rPr>
          <w:rFonts w:asciiTheme="minorHAnsi" w:hAnsiTheme="minorHAnsi"/>
          <w:sz w:val="22"/>
        </w:rPr>
        <w:br w:type="page"/>
      </w:r>
    </w:p>
    <w:p w14:paraId="0CB13E66" w14:textId="77777777" w:rsidR="00654CB9" w:rsidRPr="00654CB9" w:rsidRDefault="00654CB9" w:rsidP="00654CB9">
      <w:pPr>
        <w:spacing w:line="259" w:lineRule="auto"/>
        <w:jc w:val="left"/>
        <w:rPr>
          <w:rFonts w:asciiTheme="minorHAnsi" w:hAnsiTheme="minorHAnsi"/>
          <w:sz w:val="22"/>
        </w:rPr>
      </w:pPr>
    </w:p>
    <w:p w14:paraId="06B379EB" w14:textId="762BBBD1"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mc:AlternateContent>
          <mc:Choice Requires="wps">
            <w:drawing>
              <wp:anchor distT="45720" distB="45720" distL="114300" distR="114300" simplePos="0" relativeHeight="251666432" behindDoc="0" locked="0" layoutInCell="1" allowOverlap="1" wp14:anchorId="0225034D" wp14:editId="00B512CC">
                <wp:simplePos x="0" y="0"/>
                <wp:positionH relativeFrom="margin">
                  <wp:align>left</wp:align>
                </wp:positionH>
                <wp:positionV relativeFrom="paragraph">
                  <wp:posOffset>1175385</wp:posOffset>
                </wp:positionV>
                <wp:extent cx="1400175" cy="942975"/>
                <wp:effectExtent l="0" t="0" r="0" b="0"/>
                <wp:wrapNone/>
                <wp:docPr id="40" name="Text Box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69D54638" w14:textId="77777777" w:rsidR="00654CB9" w:rsidRDefault="00654CB9" w:rsidP="00654CB9">
                            <w:pPr>
                              <w:jc w:val="center"/>
                            </w:pPr>
                            <w:r>
                              <w:object w:dxaOrig="2042" w:dyaOrig="1317" w14:anchorId="63F5DABC">
                                <v:shape id="_x0000_i1040" type="#_x0000_t75" style="width:1in;height:46.3pt" o:ole="">
                                  <v:imagedata r:id="rId135" o:title=""/>
                                </v:shape>
                                <o:OLEObject Type="Embed" ProgID="ChemDraw.Document.6.0" ShapeID="_x0000_i1040" DrawAspect="Content" ObjectID="_1713353478" r:id="rId136"/>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25034D" id="Text Box 40" o:spid="_x0000_s1061" type="#_x0000_t202" alt="&quot;&quot;" style="position:absolute;margin-left:0;margin-top:92.55pt;width:110.25pt;height:74.25pt;z-index:251666432;visibility:visible;mso-wrap-style:non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" filled="f" stroked="f">
                <v:textbox style="mso-fit-shape-to-text:t">
                  <w:txbxContent>
                    <w:p w14:paraId="69D54638" w14:textId="77777777" w:rsidR="00654CB9" w:rsidRDefault="00654CB9" w:rsidP="00654CB9">
                      <w:pPr>
                        <w:jc w:val="center"/>
                      </w:pPr>
                      <w:r>
                        <w:object w:dxaOrig="2042" w:dyaOrig="1317" w14:anchorId="63F5DABC">
                          <v:shape id="_x0000_i1040" type="#_x0000_t75" style="width:1in;height:46.3pt" o:ole="">
                            <v:imagedata r:id="rId135" o:title=""/>
                          </v:shape>
                          <o:OLEObject Type="Embed" ProgID="ChemDraw.Document.6.0" ShapeID="_x0000_i1040" DrawAspect="Content" ObjectID="_1713353478" r:id="rId137"/>
                        </w:object>
                      </w:r>
                    </w:p>
                  </w:txbxContent>
                </v:textbox>
                <w10:wrap anchorx="margin"/>
              </v:shape>
            </w:pict>
          </mc:Fallback>
        </mc:AlternateContent>
      </w:r>
      <w:r w:rsidR="00696E66" w:rsidRPr="00654CB9">
        <w:rPr>
          <w:rFonts w:asciiTheme="minorHAnsi" w:hAnsiTheme="minorHAnsi"/>
          <w:sz w:val="22"/>
        </w:rPr>
        <w:object w:dxaOrig="22456" w:dyaOrig="15893" w14:anchorId="6CEA88A0">
          <v:shape id="_x0000_i1041" type="#_x0000_t75" alt="Proton NMR for 2.6" style="width:411.9pt;height:291.75pt;mso-position-vertical:absolute" o:ole="">
            <v:imagedata r:id="rId138" o:title=""/>
          </v:shape>
          <o:OLEObject Type="Embed" ProgID="MestReNova.Document.1" ShapeID="_x0000_i1041" DrawAspect="Content" ObjectID="_1713353428" r:id="rId139"/>
        </w:object>
      </w:r>
    </w:p>
    <w:p w14:paraId="2E58DBF4" w14:textId="478FB062" w:rsidR="00654CB9" w:rsidRPr="00654CB9" w:rsidRDefault="00BC3267"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7C884F12">
          <v:shape id="_x0000_i1042" type="#_x0000_t75" alt="NMR" style="width:411.9pt;height:291.75pt" o:ole="">
            <v:imagedata r:id="rId140" o:title=""/>
          </v:shape>
          <o:OLEObject Type="Embed" ProgID="MestReNova.Document.1" ShapeID="_x0000_i1042" DrawAspect="Content" ObjectID="_1713353429" r:id="rId141"/>
        </w:object>
      </w:r>
    </w:p>
    <w:p w14:paraId="21FAE03B" w14:textId="77777777" w:rsidR="00654CB9" w:rsidRPr="00654CB9" w:rsidRDefault="00654CB9" w:rsidP="00654CB9">
      <w:pPr>
        <w:spacing w:line="259" w:lineRule="auto"/>
        <w:jc w:val="left"/>
        <w:rPr>
          <w:rFonts w:asciiTheme="minorHAnsi" w:hAnsiTheme="minorHAnsi"/>
          <w:sz w:val="22"/>
        </w:rPr>
      </w:pPr>
    </w:p>
    <w:p w14:paraId="307900F1" w14:textId="6914928C"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60288" behindDoc="0" locked="0" layoutInCell="1" allowOverlap="1" wp14:anchorId="4AF01513" wp14:editId="3D9ECBFD">
                <wp:simplePos x="0" y="0"/>
                <wp:positionH relativeFrom="margin">
                  <wp:posOffset>0</wp:posOffset>
                </wp:positionH>
                <wp:positionV relativeFrom="paragraph">
                  <wp:posOffset>1051560</wp:posOffset>
                </wp:positionV>
                <wp:extent cx="1400175" cy="942975"/>
                <wp:effectExtent l="0" t="0" r="0" b="3175"/>
                <wp:wrapNone/>
                <wp:docPr id="44" name="Text Box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50169267" w14:textId="77777777" w:rsidR="00654CB9" w:rsidRDefault="00654CB9" w:rsidP="00654CB9">
                            <w:pPr>
                              <w:jc w:val="center"/>
                            </w:pPr>
                            <w:r>
                              <w:object w:dxaOrig="1750" w:dyaOrig="1474" w14:anchorId="65823ACC">
                                <v:shape id="_x0000_i1043" type="#_x0000_t75" style="width:61.25pt;height:51.45pt" o:ole="">
                                  <v:imagedata r:id="rId142" o:title=""/>
                                </v:shape>
                                <o:OLEObject Type="Embed" ProgID="ChemDraw.Document.6.0" ShapeID="_x0000_i1043" DrawAspect="Content" ObjectID="_1713353479" r:id="rId143"/>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F01513" id="Text Box 44" o:spid="_x0000_s1062" type="#_x0000_t202" alt="&quot;&quot;" style="position:absolute;margin-left:0;margin-top:82.8pt;width:110.25pt;height:74.25pt;z-index:25166028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" filled="f" stroked="f">
                <v:textbox style="mso-fit-shape-to-text:t">
                  <w:txbxContent>
                    <w:p w14:paraId="50169267" w14:textId="77777777" w:rsidR="00654CB9" w:rsidRDefault="00654CB9" w:rsidP="00654CB9">
                      <w:pPr>
                        <w:jc w:val="center"/>
                      </w:pPr>
                      <w:r>
                        <w:object w:dxaOrig="1750" w:dyaOrig="1474" w14:anchorId="65823ACC">
                          <v:shape id="_x0000_i1043" type="#_x0000_t75" style="width:61.25pt;height:51.45pt" o:ole="">
                            <v:imagedata r:id="rId142" o:title=""/>
                          </v:shape>
                          <o:OLEObject Type="Embed" ProgID="ChemDraw.Document.6.0" ShapeID="_x0000_i1043" DrawAspect="Content" ObjectID="_1713353479" r:id="rId144"/>
                        </w:object>
                      </w:r>
                    </w:p>
                  </w:txbxContent>
                </v:textbox>
                <w10:wrap anchorx="margin"/>
              </v:shape>
            </w:pict>
          </mc:Fallback>
        </mc:AlternateContent>
      </w:r>
      <w:r w:rsidR="00BC3267" w:rsidRPr="00654CB9">
        <w:rPr>
          <w:rFonts w:asciiTheme="minorHAnsi" w:hAnsiTheme="minorHAnsi"/>
          <w:sz w:val="22"/>
        </w:rPr>
        <w:object w:dxaOrig="22456" w:dyaOrig="15893" w14:anchorId="144E5A81">
          <v:shape id="_x0000_i1044" type="#_x0000_t75" alt="NMR" style="width:411.9pt;height:291.75pt;mso-position-vertical:absolute" o:ole="">
            <v:imagedata r:id="rId145" o:title=""/>
          </v:shape>
          <o:OLEObject Type="Embed" ProgID="MestReNova.Document.1" ShapeID="_x0000_i1044" DrawAspect="Content" ObjectID="_1713353430" r:id="rId146"/>
        </w:object>
      </w:r>
    </w:p>
    <w:p w14:paraId="2D25D84C" w14:textId="0C9D1F2D" w:rsidR="00654CB9" w:rsidRPr="00654CB9" w:rsidRDefault="00BC3267"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1CF2CF2C">
          <v:shape id="_x0000_i1045" type="#_x0000_t75" alt="NMR" style="width:411.9pt;height:291.75pt" o:ole="">
            <v:imagedata r:id="rId147" o:title=""/>
          </v:shape>
          <o:OLEObject Type="Embed" ProgID="MestReNova.Document.1" ShapeID="_x0000_i1045" DrawAspect="Content" ObjectID="_1713353431" r:id="rId148"/>
        </w:object>
      </w:r>
    </w:p>
    <w:p w14:paraId="1FE79EAC" w14:textId="6A9CB954"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65408" behindDoc="0" locked="0" layoutInCell="1" allowOverlap="1" wp14:anchorId="02F76C78" wp14:editId="10048560">
                <wp:simplePos x="0" y="0"/>
                <wp:positionH relativeFrom="margin">
                  <wp:posOffset>0</wp:posOffset>
                </wp:positionH>
                <wp:positionV relativeFrom="paragraph">
                  <wp:posOffset>1176020</wp:posOffset>
                </wp:positionV>
                <wp:extent cx="1400175" cy="942975"/>
                <wp:effectExtent l="0" t="0" r="0" b="3175"/>
                <wp:wrapNone/>
                <wp:docPr id="54" name="Text Box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30AE10B4" w14:textId="77777777" w:rsidR="00654CB9" w:rsidRDefault="00654CB9" w:rsidP="00654CB9">
                            <w:pPr>
                              <w:jc w:val="center"/>
                            </w:pPr>
                            <w:r>
                              <w:object w:dxaOrig="1747" w:dyaOrig="1548" w14:anchorId="22DDC3D2">
                                <v:shape id="_x0000_i1046" type="#_x0000_t75" style="width:62.2pt;height:54.25pt" o:ole="">
                                  <v:imagedata r:id="rId149" o:title=""/>
                                </v:shape>
                                <o:OLEObject Type="Embed" ProgID="ChemDraw.Document.6.0" ShapeID="_x0000_i1046" DrawAspect="Content" ObjectID="_1713353480" r:id="rId150"/>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2F76C78" id="Text Box 54" o:spid="_x0000_s1063" type="#_x0000_t202" alt="&quot;&quot;" style="position:absolute;margin-left:0;margin-top:92.6pt;width:110.25pt;height:74.25pt;z-index:25166540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" filled="f" stroked="f">
                <v:textbox style="mso-fit-shape-to-text:t">
                  <w:txbxContent>
                    <w:p w14:paraId="30AE10B4" w14:textId="77777777" w:rsidR="00654CB9" w:rsidRDefault="00654CB9" w:rsidP="00654CB9">
                      <w:pPr>
                        <w:jc w:val="center"/>
                      </w:pPr>
                      <w:r>
                        <w:object w:dxaOrig="1747" w:dyaOrig="1548" w14:anchorId="22DDC3D2">
                          <v:shape id="_x0000_i1046" type="#_x0000_t75" style="width:62.2pt;height:54.25pt" o:ole="">
                            <v:imagedata r:id="rId149" o:title=""/>
                          </v:shape>
                          <o:OLEObject Type="Embed" ProgID="ChemDraw.Document.6.0" ShapeID="_x0000_i1046" DrawAspect="Content" ObjectID="_1713353480" r:id="rId151"/>
                        </w:object>
                      </w:r>
                    </w:p>
                  </w:txbxContent>
                </v:textbox>
                <w10:wrap anchorx="margin"/>
              </v:shape>
            </w:pict>
          </mc:Fallback>
        </mc:AlternateContent>
      </w:r>
      <w:r w:rsidR="00BC3267" w:rsidRPr="00654CB9">
        <w:rPr>
          <w:rFonts w:asciiTheme="minorHAnsi" w:hAnsiTheme="minorHAnsi"/>
          <w:sz w:val="22"/>
        </w:rPr>
        <w:object w:dxaOrig="22456" w:dyaOrig="15893" w14:anchorId="2A028954">
          <v:shape id="_x0000_i1047" type="#_x0000_t75" alt="NMR" style="width:410.95pt;height:291.75pt" o:ole="">
            <v:imagedata r:id="rId152" o:title=""/>
          </v:shape>
          <o:OLEObject Type="Embed" ProgID="MestReNova.Document.1" ShapeID="_x0000_i1047" DrawAspect="Content" ObjectID="_1713353432" r:id="rId153"/>
        </w:object>
      </w:r>
    </w:p>
    <w:p w14:paraId="13BEF5C4" w14:textId="40DA5E01" w:rsidR="00654CB9" w:rsidRPr="00654CB9" w:rsidRDefault="00BC3267"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3E5B13CA">
          <v:shape id="_x0000_i1048" type="#_x0000_t75" alt="NMR" style="width:410.95pt;height:291.75pt" o:ole="">
            <v:imagedata r:id="rId154" o:title=""/>
          </v:shape>
          <o:OLEObject Type="Embed" ProgID="MestReNova.Document.1" ShapeID="_x0000_i1048" DrawAspect="Content" ObjectID="_1713353433" r:id="rId155"/>
        </w:object>
      </w:r>
    </w:p>
    <w:p w14:paraId="1FE72C68" w14:textId="73E4ACE2"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61312" behindDoc="0" locked="0" layoutInCell="1" allowOverlap="1" wp14:anchorId="177C5437" wp14:editId="187D785D">
                <wp:simplePos x="0" y="0"/>
                <wp:positionH relativeFrom="margin">
                  <wp:posOffset>10795</wp:posOffset>
                </wp:positionH>
                <wp:positionV relativeFrom="paragraph">
                  <wp:posOffset>1036320</wp:posOffset>
                </wp:positionV>
                <wp:extent cx="1400175" cy="942975"/>
                <wp:effectExtent l="0" t="0" r="0" b="0"/>
                <wp:wrapNone/>
                <wp:docPr id="55" name="Text Box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18BAAF25" w14:textId="77777777" w:rsidR="00654CB9" w:rsidRDefault="00654CB9" w:rsidP="00654CB9">
                            <w:pPr>
                              <w:jc w:val="center"/>
                            </w:pPr>
                            <w:r>
                              <w:object w:dxaOrig="2042" w:dyaOrig="1325" w14:anchorId="09E45C6E">
                                <v:shape id="_x0000_i1049" type="#_x0000_t75" style="width:1in;height:46.3pt" o:ole="">
                                  <v:imagedata r:id="rId156" o:title=""/>
                                </v:shape>
                                <o:OLEObject Type="Embed" ProgID="ChemDraw.Document.6.0" ShapeID="_x0000_i1049" DrawAspect="Content" ObjectID="_1713353481" r:id="rId157"/>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77C5437" id="Text Box 55" o:spid="_x0000_s1064" type="#_x0000_t202" alt="&quot;&quot;" style="position:absolute;margin-left:.85pt;margin-top:81.6pt;width:110.25pt;height:74.25pt;z-index:251661312;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" filled="f" stroked="f">
                <v:textbox style="mso-fit-shape-to-text:t">
                  <w:txbxContent>
                    <w:p w14:paraId="18BAAF25" w14:textId="77777777" w:rsidR="00654CB9" w:rsidRDefault="00654CB9" w:rsidP="00654CB9">
                      <w:pPr>
                        <w:jc w:val="center"/>
                      </w:pPr>
                      <w:r>
                        <w:object w:dxaOrig="2042" w:dyaOrig="1325" w14:anchorId="09E45C6E">
                          <v:shape id="_x0000_i1049" type="#_x0000_t75" style="width:1in;height:46.3pt" o:ole="">
                            <v:imagedata r:id="rId156" o:title=""/>
                          </v:shape>
                          <o:OLEObject Type="Embed" ProgID="ChemDraw.Document.6.0" ShapeID="_x0000_i1049" DrawAspect="Content" ObjectID="_1713353481" r:id="rId158"/>
                        </w:object>
                      </w:r>
                    </w:p>
                  </w:txbxContent>
                </v:textbox>
                <w10:wrap anchorx="margin"/>
              </v:shape>
            </w:pict>
          </mc:Fallback>
        </mc:AlternateContent>
      </w:r>
      <w:r w:rsidR="00BC3267" w:rsidRPr="00654CB9">
        <w:rPr>
          <w:rFonts w:asciiTheme="minorHAnsi" w:hAnsiTheme="minorHAnsi"/>
          <w:sz w:val="22"/>
        </w:rPr>
        <w:object w:dxaOrig="22456" w:dyaOrig="15893" w14:anchorId="4712EFAB">
          <v:shape id="_x0000_i1050" type="#_x0000_t75" alt="NMR" style="width:411.9pt;height:291.75pt" o:ole="">
            <v:imagedata r:id="rId159" o:title=""/>
          </v:shape>
          <o:OLEObject Type="Embed" ProgID="MestReNova.Document.1" ShapeID="_x0000_i1050" DrawAspect="Content" ObjectID="_1713353434" r:id="rId160"/>
        </w:object>
      </w:r>
    </w:p>
    <w:p w14:paraId="029F6136" w14:textId="5C0828CB" w:rsidR="00654CB9" w:rsidRPr="00654CB9" w:rsidRDefault="00BC3267"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3C81514E">
          <v:shape id="_x0000_i1051" type="#_x0000_t75" alt="NMR" style="width:411.9pt;height:291.75pt" o:ole="">
            <v:imagedata r:id="rId161" o:title=""/>
          </v:shape>
          <o:OLEObject Type="Embed" ProgID="MestReNova.Document.1" ShapeID="_x0000_i1051" DrawAspect="Content" ObjectID="_1713353435" r:id="rId162"/>
        </w:object>
      </w:r>
    </w:p>
    <w:p w14:paraId="3760F669" w14:textId="40CB0C7B"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63360" behindDoc="0" locked="0" layoutInCell="1" allowOverlap="1" wp14:anchorId="74DCB2C4" wp14:editId="207F3C03">
                <wp:simplePos x="0" y="0"/>
                <wp:positionH relativeFrom="margin">
                  <wp:posOffset>7620</wp:posOffset>
                </wp:positionH>
                <wp:positionV relativeFrom="paragraph">
                  <wp:posOffset>1102995</wp:posOffset>
                </wp:positionV>
                <wp:extent cx="1400175" cy="942975"/>
                <wp:effectExtent l="0" t="0" r="0" b="0"/>
                <wp:wrapNone/>
                <wp:docPr id="56" name="Text Box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5BF82A1D" w14:textId="77777777" w:rsidR="00654CB9" w:rsidRDefault="00654CB9" w:rsidP="00654CB9">
                            <w:pPr>
                              <w:jc w:val="center"/>
                            </w:pPr>
                            <w:r>
                              <w:object w:dxaOrig="2236" w:dyaOrig="1385" w14:anchorId="7801110D">
                                <v:shape id="_x0000_i1052" type="#_x0000_t75" style="width:79pt;height:48.6pt" o:ole="">
                                  <v:imagedata r:id="rId163" o:title=""/>
                                </v:shape>
                                <o:OLEObject Type="Embed" ProgID="ChemDraw.Document.6.0" ShapeID="_x0000_i1052" DrawAspect="Content" ObjectID="_1713353482" r:id="rId164"/>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4DCB2C4" id="Text Box 56" o:spid="_x0000_s1065" type="#_x0000_t202" alt="&quot;&quot;" style="position:absolute;margin-left:.6pt;margin-top:86.85pt;width:110.25pt;height:74.25pt;z-index:25166336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" filled="f" stroked="f">
                <v:textbox style="mso-fit-shape-to-text:t">
                  <w:txbxContent>
                    <w:p w14:paraId="5BF82A1D" w14:textId="77777777" w:rsidR="00654CB9" w:rsidRDefault="00654CB9" w:rsidP="00654CB9">
                      <w:pPr>
                        <w:jc w:val="center"/>
                      </w:pPr>
                      <w:r>
                        <w:object w:dxaOrig="2236" w:dyaOrig="1385" w14:anchorId="7801110D">
                          <v:shape id="_x0000_i1052" type="#_x0000_t75" style="width:79pt;height:48.6pt" o:ole="">
                            <v:imagedata r:id="rId163" o:title=""/>
                          </v:shape>
                          <o:OLEObject Type="Embed" ProgID="ChemDraw.Document.6.0" ShapeID="_x0000_i1052" DrawAspect="Content" ObjectID="_1713353482" r:id="rId165"/>
                        </w:object>
                      </w:r>
                    </w:p>
                  </w:txbxContent>
                </v:textbox>
                <w10:wrap anchorx="margin"/>
              </v:shape>
            </w:pict>
          </mc:Fallback>
        </mc:AlternateContent>
      </w:r>
      <w:r w:rsidR="00BC3267" w:rsidRPr="00654CB9">
        <w:rPr>
          <w:rFonts w:asciiTheme="minorHAnsi" w:hAnsiTheme="minorHAnsi"/>
          <w:sz w:val="22"/>
        </w:rPr>
        <w:object w:dxaOrig="22456" w:dyaOrig="15893" w14:anchorId="4819038A">
          <v:shape id="_x0000_i1053" type="#_x0000_t75" alt="NMR" style="width:411.9pt;height:291.75pt" o:ole="">
            <v:imagedata r:id="rId166" o:title=""/>
          </v:shape>
          <o:OLEObject Type="Embed" ProgID="MestReNova.Document.1" ShapeID="_x0000_i1053" DrawAspect="Content" ObjectID="_1713353436" r:id="rId167"/>
        </w:object>
      </w:r>
    </w:p>
    <w:p w14:paraId="1DD9F0EB" w14:textId="28DE65E9" w:rsidR="00654CB9" w:rsidRPr="00654CB9" w:rsidRDefault="00BC3267"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02A995AF">
          <v:shape id="_x0000_i1054" type="#_x0000_t75" alt="NMR" style="width:411.9pt;height:291.75pt" o:ole="">
            <v:imagedata r:id="rId168" o:title=""/>
          </v:shape>
          <o:OLEObject Type="Embed" ProgID="MestReNova.Document.1" ShapeID="_x0000_i1054" DrawAspect="Content" ObjectID="_1713353437" r:id="rId169"/>
        </w:object>
      </w:r>
    </w:p>
    <w:p w14:paraId="4CFC1886" w14:textId="584F4751"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62336" behindDoc="0" locked="0" layoutInCell="1" allowOverlap="1" wp14:anchorId="42554C37" wp14:editId="4C2E09B8">
                <wp:simplePos x="0" y="0"/>
                <wp:positionH relativeFrom="margin">
                  <wp:posOffset>0</wp:posOffset>
                </wp:positionH>
                <wp:positionV relativeFrom="paragraph">
                  <wp:posOffset>1074420</wp:posOffset>
                </wp:positionV>
                <wp:extent cx="1400175" cy="942975"/>
                <wp:effectExtent l="0" t="0" r="0" b="0"/>
                <wp:wrapNone/>
                <wp:docPr id="57" name="Text Box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161F08B3" w14:textId="77777777" w:rsidR="00654CB9" w:rsidRDefault="00654CB9" w:rsidP="00654CB9">
                            <w:pPr>
                              <w:jc w:val="center"/>
                            </w:pPr>
                            <w:r>
                              <w:object w:dxaOrig="1749" w:dyaOrig="1349" w14:anchorId="4375B7F5">
                                <v:shape id="_x0000_i1055" type="#_x0000_t75" style="width:61.25pt;height:46.75pt" o:ole="">
                                  <v:imagedata r:id="rId170" o:title=""/>
                                </v:shape>
                                <o:OLEObject Type="Embed" ProgID="ChemDraw.Document.6.0" ShapeID="_x0000_i1055" DrawAspect="Content" ObjectID="_1713353483" r:id="rId171"/>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2554C37" id="Text Box 57" o:spid="_x0000_s1066" type="#_x0000_t202" alt="&quot;&quot;" style="position:absolute;margin-left:0;margin-top:84.6pt;width:110.25pt;height:74.25pt;z-index:251662336;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" filled="f" stroked="f">
                <v:textbox style="mso-fit-shape-to-text:t">
                  <w:txbxContent>
                    <w:p w14:paraId="161F08B3" w14:textId="77777777" w:rsidR="00654CB9" w:rsidRDefault="00654CB9" w:rsidP="00654CB9">
                      <w:pPr>
                        <w:jc w:val="center"/>
                      </w:pPr>
                      <w:r>
                        <w:object w:dxaOrig="1749" w:dyaOrig="1349" w14:anchorId="4375B7F5">
                          <v:shape id="_x0000_i1055" type="#_x0000_t75" style="width:61.25pt;height:46.75pt" o:ole="">
                            <v:imagedata r:id="rId170" o:title=""/>
                          </v:shape>
                          <o:OLEObject Type="Embed" ProgID="ChemDraw.Document.6.0" ShapeID="_x0000_i1055" DrawAspect="Content" ObjectID="_1713353483" r:id="rId172"/>
                        </w:object>
                      </w:r>
                    </w:p>
                  </w:txbxContent>
                </v:textbox>
                <w10:wrap anchorx="margin"/>
              </v:shape>
            </w:pict>
          </mc:Fallback>
        </mc:AlternateContent>
      </w:r>
      <w:r w:rsidR="00BC3267" w:rsidRPr="00654CB9">
        <w:rPr>
          <w:rFonts w:asciiTheme="minorHAnsi" w:hAnsiTheme="minorHAnsi"/>
          <w:sz w:val="22"/>
        </w:rPr>
        <w:object w:dxaOrig="22456" w:dyaOrig="15893" w14:anchorId="3EE0182A">
          <v:shape id="_x0000_i1056" type="#_x0000_t75" alt="NMR" style="width:411.9pt;height:291.75pt" o:ole="">
            <v:imagedata r:id="rId173" o:title=""/>
          </v:shape>
          <o:OLEObject Type="Embed" ProgID="MestReNova.Document.1" ShapeID="_x0000_i1056" DrawAspect="Content" ObjectID="_1713353438" r:id="rId174"/>
        </w:object>
      </w:r>
    </w:p>
    <w:p w14:paraId="7E45AC82" w14:textId="4EEE4832" w:rsidR="00654CB9" w:rsidRPr="00654CB9" w:rsidRDefault="00BC3267"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360BE8F0">
          <v:shape id="_x0000_i1057" type="#_x0000_t75" alt="NMR" style="width:411.9pt;height:291.75pt" o:ole="">
            <v:imagedata r:id="rId175" o:title=""/>
          </v:shape>
          <o:OLEObject Type="Embed" ProgID="MestReNova.Document.1" ShapeID="_x0000_i1057" DrawAspect="Content" ObjectID="_1713353439" r:id="rId176"/>
        </w:object>
      </w:r>
    </w:p>
    <w:p w14:paraId="51F803A4" w14:textId="655BBE71"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64384" behindDoc="0" locked="0" layoutInCell="1" allowOverlap="1" wp14:anchorId="557F6F05" wp14:editId="137A9056">
                <wp:simplePos x="0" y="0"/>
                <wp:positionH relativeFrom="margin">
                  <wp:posOffset>0</wp:posOffset>
                </wp:positionH>
                <wp:positionV relativeFrom="paragraph">
                  <wp:posOffset>1061720</wp:posOffset>
                </wp:positionV>
                <wp:extent cx="1400175" cy="942975"/>
                <wp:effectExtent l="0" t="0" r="0" b="0"/>
                <wp:wrapNone/>
                <wp:docPr id="58" name="Text Box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5E8C0E4D" w14:textId="77777777" w:rsidR="00654CB9" w:rsidRDefault="00654CB9" w:rsidP="00654CB9">
                            <w:pPr>
                              <w:jc w:val="center"/>
                            </w:pPr>
                            <w:r>
                              <w:object w:dxaOrig="1749" w:dyaOrig="1438" w14:anchorId="168DF210">
                                <v:shape id="_x0000_i1058" type="#_x0000_t75" style="width:61.25pt;height:50.5pt" o:ole="">
                                  <v:imagedata r:id="rId177" o:title=""/>
                                </v:shape>
                                <o:OLEObject Type="Embed" ProgID="ChemDraw.Document.6.0" ShapeID="_x0000_i1058" DrawAspect="Content" ObjectID="_1713353484" r:id="rId178"/>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57F6F05" id="Text Box 58" o:spid="_x0000_s1067" type="#_x0000_t202" alt="&quot;&quot;" style="position:absolute;margin-left:0;margin-top:83.6pt;width:110.25pt;height:74.25pt;z-index:25166438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" filled="f" stroked="f">
                <v:textbox style="mso-fit-shape-to-text:t">
                  <w:txbxContent>
                    <w:p w14:paraId="5E8C0E4D" w14:textId="77777777" w:rsidR="00654CB9" w:rsidRDefault="00654CB9" w:rsidP="00654CB9">
                      <w:pPr>
                        <w:jc w:val="center"/>
                      </w:pPr>
                      <w:r>
                        <w:object w:dxaOrig="1749" w:dyaOrig="1438" w14:anchorId="168DF210">
                          <v:shape id="_x0000_i1058" type="#_x0000_t75" style="width:61.25pt;height:50.5pt" o:ole="">
                            <v:imagedata r:id="rId177" o:title=""/>
                          </v:shape>
                          <o:OLEObject Type="Embed" ProgID="ChemDraw.Document.6.0" ShapeID="_x0000_i1058" DrawAspect="Content" ObjectID="_1713353484" r:id="rId179"/>
                        </w:object>
                      </w:r>
                    </w:p>
                  </w:txbxContent>
                </v:textbox>
                <w10:wrap anchorx="margin"/>
              </v:shape>
            </w:pict>
          </mc:Fallback>
        </mc:AlternateContent>
      </w:r>
      <w:r w:rsidR="00BC3267" w:rsidRPr="00654CB9">
        <w:rPr>
          <w:rFonts w:asciiTheme="minorHAnsi" w:hAnsiTheme="minorHAnsi"/>
          <w:sz w:val="22"/>
        </w:rPr>
        <w:object w:dxaOrig="22456" w:dyaOrig="15893" w14:anchorId="01F41C54">
          <v:shape id="_x0000_i1059" type="#_x0000_t75" alt="NMR" style="width:410.95pt;height:291.75pt" o:ole="">
            <v:imagedata r:id="rId180" o:title=""/>
          </v:shape>
          <o:OLEObject Type="Embed" ProgID="MestReNova.Document.1" ShapeID="_x0000_i1059" DrawAspect="Content" ObjectID="_1713353440" r:id="rId181"/>
        </w:object>
      </w:r>
    </w:p>
    <w:p w14:paraId="32B093B4" w14:textId="078E4C00" w:rsidR="00654CB9" w:rsidRPr="00654CB9" w:rsidRDefault="00BC3267"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0CEF6D87">
          <v:shape id="_x0000_i1060" type="#_x0000_t75" alt="NMR" style="width:410.95pt;height:291.75pt" o:ole="">
            <v:imagedata r:id="rId182" o:title=""/>
          </v:shape>
          <o:OLEObject Type="Embed" ProgID="MestReNova.Document.1" ShapeID="_x0000_i1060" DrawAspect="Content" ObjectID="_1713353441" r:id="rId183"/>
        </w:object>
      </w:r>
    </w:p>
    <w:p w14:paraId="3B1F3429" w14:textId="16EB31B6"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67456" behindDoc="0" locked="0" layoutInCell="1" allowOverlap="1" wp14:anchorId="7CF881BD" wp14:editId="5FFFE418">
                <wp:simplePos x="0" y="0"/>
                <wp:positionH relativeFrom="margin">
                  <wp:posOffset>0</wp:posOffset>
                </wp:positionH>
                <wp:positionV relativeFrom="paragraph">
                  <wp:posOffset>1141095</wp:posOffset>
                </wp:positionV>
                <wp:extent cx="1400175" cy="942975"/>
                <wp:effectExtent l="0" t="0" r="0" b="0"/>
                <wp:wrapNone/>
                <wp:docPr id="59" name="Text Box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244B29DB" w14:textId="77777777" w:rsidR="00654CB9" w:rsidRDefault="00654CB9" w:rsidP="00654CB9">
                            <w:pPr>
                              <w:jc w:val="center"/>
                            </w:pPr>
                            <w:r>
                              <w:object w:dxaOrig="1891" w:dyaOrig="1329" w14:anchorId="28D591E8">
                                <v:shape id="_x0000_i1061" type="#_x0000_t75" style="width:65.9pt;height:46.3pt" o:ole="">
                                  <v:imagedata r:id="rId184" o:title=""/>
                                </v:shape>
                                <o:OLEObject Type="Embed" ProgID="ChemDraw.Document.6.0" ShapeID="_x0000_i1061" DrawAspect="Content" ObjectID="_1713353485" r:id="rId185"/>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F881BD" id="Text Box 59" o:spid="_x0000_s1068" type="#_x0000_t202" alt="&quot;&quot;" style="position:absolute;margin-left:0;margin-top:89.85pt;width:110.25pt;height:74.25pt;z-index:251667456;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" filled="f" stroked="f">
                <v:textbox style="mso-fit-shape-to-text:t">
                  <w:txbxContent>
                    <w:p w14:paraId="244B29DB" w14:textId="77777777" w:rsidR="00654CB9" w:rsidRDefault="00654CB9" w:rsidP="00654CB9">
                      <w:pPr>
                        <w:jc w:val="center"/>
                      </w:pPr>
                      <w:r>
                        <w:object w:dxaOrig="1891" w:dyaOrig="1329" w14:anchorId="28D591E8">
                          <v:shape id="_x0000_i1061" type="#_x0000_t75" style="width:65.9pt;height:46.3pt" o:ole="">
                            <v:imagedata r:id="rId184" o:title=""/>
                          </v:shape>
                          <o:OLEObject Type="Embed" ProgID="ChemDraw.Document.6.0" ShapeID="_x0000_i1061" DrawAspect="Content" ObjectID="_1713353485" r:id="rId186"/>
                        </w:object>
                      </w:r>
                    </w:p>
                  </w:txbxContent>
                </v:textbox>
                <w10:wrap anchorx="margin"/>
              </v:shape>
            </w:pict>
          </mc:Fallback>
        </mc:AlternateContent>
      </w:r>
      <w:r w:rsidR="00FC74D4" w:rsidRPr="00654CB9">
        <w:rPr>
          <w:rFonts w:asciiTheme="minorHAnsi" w:hAnsiTheme="minorHAnsi"/>
          <w:sz w:val="22"/>
        </w:rPr>
        <w:object w:dxaOrig="22456" w:dyaOrig="15893" w14:anchorId="5849918F">
          <v:shape id="_x0000_i1062" type="#_x0000_t75" alt="NMR" style="width:411.9pt;height:291.75pt" o:ole="">
            <v:imagedata r:id="rId187" o:title=""/>
          </v:shape>
          <o:OLEObject Type="Embed" ProgID="MestReNova.Document.1" ShapeID="_x0000_i1062" DrawAspect="Content" ObjectID="_1713353442" r:id="rId188"/>
        </w:object>
      </w:r>
    </w:p>
    <w:p w14:paraId="3720E595" w14:textId="70726C25" w:rsidR="00654CB9" w:rsidRPr="00654CB9" w:rsidRDefault="00FC74D4"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196210A8">
          <v:shape id="_x0000_i1063" type="#_x0000_t75" alt="NMR" style="width:411.9pt;height:291.75pt" o:ole="">
            <v:imagedata r:id="rId189" o:title=""/>
          </v:shape>
          <o:OLEObject Type="Embed" ProgID="MestReNova.Document.1" ShapeID="_x0000_i1063" DrawAspect="Content" ObjectID="_1713353443" r:id="rId190"/>
        </w:object>
      </w:r>
    </w:p>
    <w:p w14:paraId="0414530F" w14:textId="25983133"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68480" behindDoc="0" locked="0" layoutInCell="1" allowOverlap="1" wp14:anchorId="722F922A" wp14:editId="76DE570A">
                <wp:simplePos x="0" y="0"/>
                <wp:positionH relativeFrom="margin">
                  <wp:posOffset>635</wp:posOffset>
                </wp:positionH>
                <wp:positionV relativeFrom="paragraph">
                  <wp:posOffset>1083945</wp:posOffset>
                </wp:positionV>
                <wp:extent cx="1400175" cy="942975"/>
                <wp:effectExtent l="0" t="0" r="0" b="0"/>
                <wp:wrapNone/>
                <wp:docPr id="60" name="Text Box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0487D142" w14:textId="77777777" w:rsidR="00654CB9" w:rsidRDefault="00654CB9" w:rsidP="00654CB9">
                            <w:pPr>
                              <w:jc w:val="center"/>
                            </w:pPr>
                            <w:r>
                              <w:object w:dxaOrig="2127" w:dyaOrig="1322" w14:anchorId="5069C3C2">
                                <v:shape id="_x0000_i1064" type="#_x0000_t75" style="width:73.4pt;height:45.8pt" o:ole="">
                                  <v:imagedata r:id="rId191" o:title=""/>
                                </v:shape>
                                <o:OLEObject Type="Embed" ProgID="ChemDraw.Document.6.0" ShapeID="_x0000_i1064" DrawAspect="Content" ObjectID="_1713353486" r:id="rId192"/>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2F922A" id="Text Box 60" o:spid="_x0000_s1069" type="#_x0000_t202" alt="&quot;&quot;" style="position:absolute;margin-left:.05pt;margin-top:85.35pt;width:110.25pt;height:74.25pt;z-index:25166848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" filled="f" stroked="f">
                <v:textbox style="mso-fit-shape-to-text:t">
                  <w:txbxContent>
                    <w:p w14:paraId="0487D142" w14:textId="77777777" w:rsidR="00654CB9" w:rsidRDefault="00654CB9" w:rsidP="00654CB9">
                      <w:pPr>
                        <w:jc w:val="center"/>
                      </w:pPr>
                      <w:r>
                        <w:object w:dxaOrig="2127" w:dyaOrig="1322" w14:anchorId="5069C3C2">
                          <v:shape id="_x0000_i1064" type="#_x0000_t75" style="width:73.4pt;height:45.8pt" o:ole="">
                            <v:imagedata r:id="rId191" o:title=""/>
                          </v:shape>
                          <o:OLEObject Type="Embed" ProgID="ChemDraw.Document.6.0" ShapeID="_x0000_i1064" DrawAspect="Content" ObjectID="_1713353486" r:id="rId193"/>
                        </w:object>
                      </w:r>
                    </w:p>
                  </w:txbxContent>
                </v:textbox>
                <w10:wrap anchorx="margin"/>
              </v:shape>
            </w:pict>
          </mc:Fallback>
        </mc:AlternateContent>
      </w:r>
      <w:r w:rsidR="00FC74D4" w:rsidRPr="00654CB9">
        <w:rPr>
          <w:rFonts w:asciiTheme="minorHAnsi" w:hAnsiTheme="minorHAnsi"/>
          <w:sz w:val="22"/>
        </w:rPr>
        <w:object w:dxaOrig="22456" w:dyaOrig="15893" w14:anchorId="6225AEEF">
          <v:shape id="_x0000_i1065" type="#_x0000_t75" alt="NMR" style="width:411.9pt;height:291.75pt" o:ole="">
            <v:imagedata r:id="rId194" o:title=""/>
          </v:shape>
          <o:OLEObject Type="Embed" ProgID="MestReNova.Document.1" ShapeID="_x0000_i1065" DrawAspect="Content" ObjectID="_1713353444" r:id="rId195"/>
        </w:object>
      </w:r>
    </w:p>
    <w:p w14:paraId="1AC31655" w14:textId="679D5A26" w:rsidR="00654CB9" w:rsidRPr="00654CB9" w:rsidRDefault="00FC74D4"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5AB4DF9D">
          <v:shape id="_x0000_i1066" type="#_x0000_t75" alt="NMR" style="width:411.9pt;height:291.75pt" o:ole="">
            <v:imagedata r:id="rId196" o:title=""/>
          </v:shape>
          <o:OLEObject Type="Embed" ProgID="MestReNova.Document.1" ShapeID="_x0000_i1066" DrawAspect="Content" ObjectID="_1713353445" r:id="rId197"/>
        </w:object>
      </w:r>
    </w:p>
    <w:p w14:paraId="493C70FA" w14:textId="77777777"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69504" behindDoc="0" locked="0" layoutInCell="1" allowOverlap="1" wp14:anchorId="7E41B168" wp14:editId="4ABE112B">
                <wp:simplePos x="0" y="0"/>
                <wp:positionH relativeFrom="margin">
                  <wp:posOffset>0</wp:posOffset>
                </wp:positionH>
                <wp:positionV relativeFrom="paragraph">
                  <wp:posOffset>1064895</wp:posOffset>
                </wp:positionV>
                <wp:extent cx="1400175" cy="942975"/>
                <wp:effectExtent l="0" t="0" r="0" b="0"/>
                <wp:wrapNone/>
                <wp:docPr id="61" name="Text Box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2AA099E6" w14:textId="77777777" w:rsidR="00654CB9" w:rsidRDefault="00654CB9" w:rsidP="00654CB9">
                            <w:pPr>
                              <w:jc w:val="center"/>
                            </w:pPr>
                            <w:r>
                              <w:object w:dxaOrig="2376" w:dyaOrig="1269" w14:anchorId="0D37A423">
                                <v:shape id="_x0000_i1067" type="#_x0000_t75" style="width:82.75pt;height:44.9pt" o:ole="">
                                  <v:imagedata r:id="rId198" o:title=""/>
                                </v:shape>
                                <o:OLEObject Type="Embed" ProgID="ChemDraw.Document.6.0" ShapeID="_x0000_i1067" DrawAspect="Content" ObjectID="_1713353487" r:id="rId199"/>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E41B168" id="Text Box 61" o:spid="_x0000_s1070" type="#_x0000_t202" alt="&quot;&quot;" style="position:absolute;margin-left:0;margin-top:83.85pt;width:110.25pt;height:74.25pt;z-index:25166950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" filled="f" stroked="f">
                <v:textbox style="mso-fit-shape-to-text:t">
                  <w:txbxContent>
                    <w:p w14:paraId="2AA099E6" w14:textId="77777777" w:rsidR="00654CB9" w:rsidRDefault="00654CB9" w:rsidP="00654CB9">
                      <w:pPr>
                        <w:jc w:val="center"/>
                      </w:pPr>
                      <w:r>
                        <w:object w:dxaOrig="2376" w:dyaOrig="1269" w14:anchorId="0D37A423">
                          <v:shape id="_x0000_i1067" type="#_x0000_t75" style="width:82.75pt;height:44.9pt" o:ole="">
                            <v:imagedata r:id="rId198" o:title=""/>
                          </v:shape>
                          <o:OLEObject Type="Embed" ProgID="ChemDraw.Document.6.0" ShapeID="_x0000_i1067" DrawAspect="Content" ObjectID="_1713353487" r:id="rId200"/>
                        </w:object>
                      </w:r>
                    </w:p>
                  </w:txbxContent>
                </v:textbox>
                <w10:wrap anchorx="margin"/>
              </v:shape>
            </w:pict>
          </mc:Fallback>
        </mc:AlternateContent>
      </w:r>
      <w:r w:rsidRPr="00654CB9">
        <w:rPr>
          <w:rFonts w:asciiTheme="minorHAnsi" w:hAnsiTheme="minorHAnsi"/>
          <w:sz w:val="22"/>
        </w:rPr>
        <w:object w:dxaOrig="22456" w:dyaOrig="15893" w14:anchorId="67F36D3D">
          <v:shape id="_x0000_i1068" type="#_x0000_t75" style="width:411.9pt;height:291.75pt" o:ole="">
            <v:imagedata r:id="rId201" o:title=""/>
          </v:shape>
          <o:OLEObject Type="Embed" ProgID="MestReNova.Document.1" ShapeID="_x0000_i1068" DrawAspect="Content" ObjectID="_1713353446" r:id="rId202"/>
        </w:object>
      </w:r>
    </w:p>
    <w:p w14:paraId="2EC70635" w14:textId="77777777" w:rsidR="00654CB9" w:rsidRPr="00654CB9" w:rsidRDefault="00654CB9"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00B2A9E3">
          <v:shape id="_x0000_i1069" type="#_x0000_t75" style="width:411.9pt;height:291.75pt" o:ole="">
            <v:imagedata r:id="rId203" o:title=""/>
          </v:shape>
          <o:OLEObject Type="Embed" ProgID="MestReNova.Document.1" ShapeID="_x0000_i1069" DrawAspect="Content" ObjectID="_1713353447" r:id="rId204"/>
        </w:object>
      </w:r>
    </w:p>
    <w:p w14:paraId="2445DB80" w14:textId="77777777"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70528" behindDoc="0" locked="0" layoutInCell="1" allowOverlap="1" wp14:anchorId="62E55003" wp14:editId="78A5863E">
                <wp:simplePos x="0" y="0"/>
                <wp:positionH relativeFrom="margin">
                  <wp:posOffset>0</wp:posOffset>
                </wp:positionH>
                <wp:positionV relativeFrom="paragraph">
                  <wp:posOffset>1038225</wp:posOffset>
                </wp:positionV>
                <wp:extent cx="1400175" cy="942975"/>
                <wp:effectExtent l="0" t="0" r="0" b="0"/>
                <wp:wrapNone/>
                <wp:docPr id="62" name="Text Box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5DEF87E2" w14:textId="77777777" w:rsidR="00654CB9" w:rsidRDefault="00654CB9" w:rsidP="00654CB9">
                            <w:pPr>
                              <w:jc w:val="center"/>
                            </w:pPr>
                            <w:r>
                              <w:object w:dxaOrig="2131" w:dyaOrig="1732" w14:anchorId="2ED5DF98">
                                <v:shape id="_x0000_i1070" type="#_x0000_t75" style="width:75.25pt;height:61.25pt" o:ole="">
                                  <v:imagedata r:id="rId205" o:title=""/>
                                </v:shape>
                                <o:OLEObject Type="Embed" ProgID="ChemDraw.Document.6.0" ShapeID="_x0000_i1070" DrawAspect="Content" ObjectID="_1713353488" r:id="rId206"/>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2E55003" id="Text Box 62" o:spid="_x0000_s1071" type="#_x0000_t202" alt="&quot;&quot;" style="position:absolute;margin-left:0;margin-top:81.75pt;width:110.25pt;height:74.25pt;z-index:25167052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" filled="f" stroked="f">
                <v:textbox style="mso-fit-shape-to-text:t">
                  <w:txbxContent>
                    <w:p w14:paraId="5DEF87E2" w14:textId="77777777" w:rsidR="00654CB9" w:rsidRDefault="00654CB9" w:rsidP="00654CB9">
                      <w:pPr>
                        <w:jc w:val="center"/>
                      </w:pPr>
                      <w:r>
                        <w:object w:dxaOrig="2131" w:dyaOrig="1732" w14:anchorId="2ED5DF98">
                          <v:shape id="_x0000_i1070" type="#_x0000_t75" style="width:75.25pt;height:61.25pt" o:ole="">
                            <v:imagedata r:id="rId205" o:title=""/>
                          </v:shape>
                          <o:OLEObject Type="Embed" ProgID="ChemDraw.Document.6.0" ShapeID="_x0000_i1070" DrawAspect="Content" ObjectID="_1713353488" r:id="rId207"/>
                        </w:object>
                      </w:r>
                    </w:p>
                  </w:txbxContent>
                </v:textbox>
                <w10:wrap anchorx="margin"/>
              </v:shape>
            </w:pict>
          </mc:Fallback>
        </mc:AlternateContent>
      </w:r>
      <w:r w:rsidRPr="00654CB9">
        <w:rPr>
          <w:rFonts w:asciiTheme="minorHAnsi" w:hAnsiTheme="minorHAnsi"/>
          <w:sz w:val="22"/>
        </w:rPr>
        <w:object w:dxaOrig="22456" w:dyaOrig="15893" w14:anchorId="612C0C14">
          <v:shape id="_x0000_i1071" type="#_x0000_t75" style="width:411.9pt;height:291.75pt" o:ole="">
            <v:imagedata r:id="rId208" o:title=""/>
          </v:shape>
          <o:OLEObject Type="Embed" ProgID="MestReNova.Document.1" ShapeID="_x0000_i1071" DrawAspect="Content" ObjectID="_1713353448" r:id="rId209"/>
        </w:object>
      </w:r>
    </w:p>
    <w:p w14:paraId="2702727A" w14:textId="77777777" w:rsidR="00654CB9" w:rsidRPr="00654CB9" w:rsidRDefault="00654CB9"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71D85852">
          <v:shape id="_x0000_i1072" type="#_x0000_t75" style="width:411.9pt;height:291.75pt" o:ole="">
            <v:imagedata r:id="rId210" o:title=""/>
          </v:shape>
          <o:OLEObject Type="Embed" ProgID="MestReNova.Document.1" ShapeID="_x0000_i1072" DrawAspect="Content" ObjectID="_1713353449" r:id="rId211"/>
        </w:object>
      </w:r>
    </w:p>
    <w:p w14:paraId="23EE75E8" w14:textId="77777777"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71552" behindDoc="0" locked="0" layoutInCell="1" allowOverlap="1" wp14:anchorId="0F84CD4B" wp14:editId="011C00BF">
                <wp:simplePos x="0" y="0"/>
                <wp:positionH relativeFrom="margin">
                  <wp:posOffset>0</wp:posOffset>
                </wp:positionH>
                <wp:positionV relativeFrom="paragraph">
                  <wp:posOffset>1112520</wp:posOffset>
                </wp:positionV>
                <wp:extent cx="1400175" cy="942975"/>
                <wp:effectExtent l="0" t="0" r="0" b="0"/>
                <wp:wrapNone/>
                <wp:docPr id="63" name="Text Box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784E5BA6" w14:textId="77777777" w:rsidR="00654CB9" w:rsidRDefault="00654CB9" w:rsidP="00654CB9">
                            <w:pPr>
                              <w:jc w:val="center"/>
                            </w:pPr>
                            <w:r>
                              <w:object w:dxaOrig="1891" w:dyaOrig="1313" w14:anchorId="3DE0E8C3">
                                <v:shape id="_x0000_i1073" type="#_x0000_t75" style="width:65.9pt;height:46.3pt" o:ole="">
                                  <v:imagedata r:id="rId212" o:title=""/>
                                </v:shape>
                                <o:OLEObject Type="Embed" ProgID="ChemDraw.Document.6.0" ShapeID="_x0000_i1073" DrawAspect="Content" ObjectID="_1713353489" r:id="rId213"/>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84CD4B" id="Text Box 63" o:spid="_x0000_s1072" type="#_x0000_t202" alt="&quot;&quot;" style="position:absolute;margin-left:0;margin-top:87.6pt;width:110.25pt;height:74.25pt;z-index:251671552;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" filled="f" stroked="f">
                <v:textbox style="mso-fit-shape-to-text:t">
                  <w:txbxContent>
                    <w:p w14:paraId="784E5BA6" w14:textId="77777777" w:rsidR="00654CB9" w:rsidRDefault="00654CB9" w:rsidP="00654CB9">
                      <w:pPr>
                        <w:jc w:val="center"/>
                      </w:pPr>
                      <w:r>
                        <w:object w:dxaOrig="1891" w:dyaOrig="1313" w14:anchorId="3DE0E8C3">
                          <v:shape id="_x0000_i1073" type="#_x0000_t75" style="width:65.9pt;height:46.3pt" o:ole="">
                            <v:imagedata r:id="rId212" o:title=""/>
                          </v:shape>
                          <o:OLEObject Type="Embed" ProgID="ChemDraw.Document.6.0" ShapeID="_x0000_i1073" DrawAspect="Content" ObjectID="_1713353489" r:id="rId214"/>
                        </w:object>
                      </w:r>
                    </w:p>
                  </w:txbxContent>
                </v:textbox>
                <w10:wrap anchorx="margin"/>
              </v:shape>
            </w:pict>
          </mc:Fallback>
        </mc:AlternateContent>
      </w:r>
      <w:r w:rsidRPr="00654CB9">
        <w:rPr>
          <w:rFonts w:asciiTheme="minorHAnsi" w:hAnsiTheme="minorHAnsi"/>
          <w:sz w:val="22"/>
        </w:rPr>
        <w:object w:dxaOrig="22456" w:dyaOrig="15893" w14:anchorId="13C12D2A">
          <v:shape id="_x0000_i1074" type="#_x0000_t75" style="width:411.9pt;height:291.75pt" o:ole="">
            <v:imagedata r:id="rId215" o:title=""/>
          </v:shape>
          <o:OLEObject Type="Embed" ProgID="MestReNova.Document.1" ShapeID="_x0000_i1074" DrawAspect="Content" ObjectID="_1713353450" r:id="rId216"/>
        </w:object>
      </w:r>
    </w:p>
    <w:p w14:paraId="0E2E18FB" w14:textId="77777777" w:rsidR="00654CB9" w:rsidRPr="00654CB9" w:rsidRDefault="00654CB9"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74EE62F8">
          <v:shape id="_x0000_i1075" type="#_x0000_t75" style="width:411.9pt;height:291.75pt" o:ole="">
            <v:imagedata r:id="rId217" o:title=""/>
          </v:shape>
          <o:OLEObject Type="Embed" ProgID="MestReNova.Document.1" ShapeID="_x0000_i1075" DrawAspect="Content" ObjectID="_1713353451" r:id="rId218"/>
        </w:object>
      </w:r>
    </w:p>
    <w:p w14:paraId="1981048A" w14:textId="77777777"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72576" behindDoc="0" locked="0" layoutInCell="1" allowOverlap="1" wp14:anchorId="2EBC8882" wp14:editId="2A555B8E">
                <wp:simplePos x="0" y="0"/>
                <wp:positionH relativeFrom="margin">
                  <wp:posOffset>0</wp:posOffset>
                </wp:positionH>
                <wp:positionV relativeFrom="paragraph">
                  <wp:posOffset>1083945</wp:posOffset>
                </wp:positionV>
                <wp:extent cx="1400175" cy="942975"/>
                <wp:effectExtent l="0" t="0" r="0" b="0"/>
                <wp:wrapNone/>
                <wp:docPr id="46" name="Text Box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76D9E394" w14:textId="77777777" w:rsidR="00654CB9" w:rsidRDefault="00654CB9" w:rsidP="00654CB9">
                            <w:pPr>
                              <w:jc w:val="center"/>
                            </w:pPr>
                            <w:r>
                              <w:object w:dxaOrig="2127" w:dyaOrig="1313" w14:anchorId="4BB19625">
                                <v:shape id="_x0000_i1076" type="#_x0000_t75" style="width:74.35pt;height:45.8pt" o:ole="">
                                  <v:imagedata r:id="rId219" o:title=""/>
                                </v:shape>
                                <o:OLEObject Type="Embed" ProgID="ChemDraw.Document.6.0" ShapeID="_x0000_i1076" DrawAspect="Content" ObjectID="_1713353490" r:id="rId220"/>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EBC8882" id="Text Box 46" o:spid="_x0000_s1073" type="#_x0000_t202" alt="&quot;&quot;" style="position:absolute;margin-left:0;margin-top:85.35pt;width:110.25pt;height:74.25pt;z-index:251672576;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" filled="f" stroked="f">
                <v:textbox style="mso-fit-shape-to-text:t">
                  <w:txbxContent>
                    <w:p w14:paraId="76D9E394" w14:textId="77777777" w:rsidR="00654CB9" w:rsidRDefault="00654CB9" w:rsidP="00654CB9">
                      <w:pPr>
                        <w:jc w:val="center"/>
                      </w:pPr>
                      <w:r>
                        <w:object w:dxaOrig="2127" w:dyaOrig="1313" w14:anchorId="4BB19625">
                          <v:shape id="_x0000_i1076" type="#_x0000_t75" style="width:74.35pt;height:45.8pt" o:ole="">
                            <v:imagedata r:id="rId219" o:title=""/>
                          </v:shape>
                          <o:OLEObject Type="Embed" ProgID="ChemDraw.Document.6.0" ShapeID="_x0000_i1076" DrawAspect="Content" ObjectID="_1713353490" r:id="rId221"/>
                        </w:object>
                      </w:r>
                    </w:p>
                  </w:txbxContent>
                </v:textbox>
                <w10:wrap anchorx="margin"/>
              </v:shape>
            </w:pict>
          </mc:Fallback>
        </mc:AlternateContent>
      </w:r>
      <w:r w:rsidRPr="00654CB9">
        <w:rPr>
          <w:rFonts w:asciiTheme="minorHAnsi" w:hAnsiTheme="minorHAnsi"/>
          <w:sz w:val="22"/>
        </w:rPr>
        <w:object w:dxaOrig="22456" w:dyaOrig="15893" w14:anchorId="7857C591">
          <v:shape id="_x0000_i1077" type="#_x0000_t75" style="width:411.9pt;height:291.75pt" o:ole="">
            <v:imagedata r:id="rId222" o:title=""/>
          </v:shape>
          <o:OLEObject Type="Embed" ProgID="MestReNova.Document.1" ShapeID="_x0000_i1077" DrawAspect="Content" ObjectID="_1713353452" r:id="rId223"/>
        </w:object>
      </w:r>
    </w:p>
    <w:p w14:paraId="0597F42F" w14:textId="77777777" w:rsidR="00654CB9" w:rsidRPr="00654CB9" w:rsidRDefault="00654CB9" w:rsidP="00654CB9">
      <w:pPr>
        <w:spacing w:line="259" w:lineRule="auto"/>
        <w:jc w:val="left"/>
        <w:rPr>
          <w:rFonts w:asciiTheme="minorHAnsi" w:hAnsiTheme="minorHAnsi"/>
          <w:sz w:val="22"/>
        </w:rPr>
      </w:pPr>
      <w:r w:rsidRPr="00654CB9">
        <w:rPr>
          <w:rFonts w:asciiTheme="minorHAnsi" w:hAnsiTheme="minorHAnsi"/>
          <w:sz w:val="22"/>
        </w:rPr>
        <w:object w:dxaOrig="22456" w:dyaOrig="15893" w14:anchorId="5A434715">
          <v:shape id="_x0000_i1078" type="#_x0000_t75" style="width:411.9pt;height:291.75pt" o:ole="">
            <v:imagedata r:id="rId224" o:title=""/>
          </v:shape>
          <o:OLEObject Type="Embed" ProgID="MestReNova.Document.1" ShapeID="_x0000_i1078" DrawAspect="Content" ObjectID="_1713353453" r:id="rId225"/>
        </w:object>
      </w:r>
    </w:p>
    <w:p w14:paraId="317F5E94" w14:textId="77777777" w:rsidR="00654CB9" w:rsidRPr="00654CB9" w:rsidRDefault="00654CB9" w:rsidP="00654CB9">
      <w:pPr>
        <w:spacing w:line="259" w:lineRule="auto"/>
        <w:jc w:val="left"/>
        <w:rPr>
          <w:rFonts w:asciiTheme="minorHAnsi" w:hAnsiTheme="minorHAnsi"/>
          <w:sz w:val="22"/>
        </w:rPr>
      </w:pPr>
      <w:r w:rsidRPr="00654CB9">
        <w:rPr>
          <w:rFonts w:asciiTheme="minorHAnsi" w:hAnsiTheme="minorHAnsi"/>
          <w:noProof/>
          <w:sz w:val="22"/>
        </w:rPr>
        <w:lastRenderedPageBreak/>
        <mc:AlternateContent>
          <mc:Choice Requires="wps">
            <w:drawing>
              <wp:anchor distT="45720" distB="45720" distL="114300" distR="114300" simplePos="0" relativeHeight="251659264" behindDoc="0" locked="0" layoutInCell="1" allowOverlap="1" wp14:anchorId="1C178FA5" wp14:editId="27A62AF5">
                <wp:simplePos x="0" y="0"/>
                <wp:positionH relativeFrom="margin">
                  <wp:posOffset>-47625</wp:posOffset>
                </wp:positionH>
                <wp:positionV relativeFrom="paragraph">
                  <wp:posOffset>1339215</wp:posOffset>
                </wp:positionV>
                <wp:extent cx="1400175" cy="942975"/>
                <wp:effectExtent l="0" t="0" r="0" b="0"/>
                <wp:wrapNone/>
                <wp:docPr id="4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42975"/>
                        </a:xfrm>
                        <a:prstGeom prst="rect">
                          <a:avLst/>
                        </a:prstGeom>
                        <a:noFill/>
                        <a:ln w="9525">
                          <a:noFill/>
                          <a:miter lim="800000"/>
                          <a:headEnd/>
                          <a:tailEnd/>
                        </a:ln>
                      </wps:spPr>
                      <wps:txbx>
                        <w:txbxContent>
                          <w:p w14:paraId="238DEC90" w14:textId="77777777" w:rsidR="00654CB9" w:rsidRDefault="00654CB9" w:rsidP="00654CB9">
                            <w:pPr>
                              <w:jc w:val="center"/>
                            </w:pPr>
                            <w:r>
                              <w:object w:dxaOrig="1733" w:dyaOrig="1265" w14:anchorId="3785D01E">
                                <v:shape id="_x0000_i1079" type="#_x0000_t75" style="width:61.25pt;height:44.9pt" o:ole="">
                                  <v:imagedata r:id="rId226" o:title=""/>
                                </v:shape>
                                <o:OLEObject Type="Embed" ProgID="ChemDraw.Document.6.0" ShapeID="_x0000_i1079" DrawAspect="Content" ObjectID="_1713353491" r:id="rId227"/>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C178FA5" id="_x0000_s1074" type="#_x0000_t202" alt="&quot;&quot;" style="position:absolute;margin-left:-3.75pt;margin-top:105.45pt;width:110.25pt;height:74.25pt;z-index:25165926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" filled="f" stroked="f">
                <v:textbox style="mso-fit-shape-to-text:t">
                  <w:txbxContent>
                    <w:p w14:paraId="238DEC90" w14:textId="77777777" w:rsidR="00654CB9" w:rsidRDefault="00654CB9" w:rsidP="00654CB9">
                      <w:pPr>
                        <w:jc w:val="center"/>
                      </w:pPr>
                      <w:r>
                        <w:object w:dxaOrig="1733" w:dyaOrig="1265" w14:anchorId="3785D01E">
                          <v:shape id="_x0000_i1079" type="#_x0000_t75" style="width:61.25pt;height:44.9pt" o:ole="">
                            <v:imagedata r:id="rId226" o:title=""/>
                          </v:shape>
                          <o:OLEObject Type="Embed" ProgID="ChemDraw.Document.6.0" ShapeID="_x0000_i1079" DrawAspect="Content" ObjectID="_1713353491" r:id="rId228"/>
                        </w:object>
                      </w:r>
                    </w:p>
                  </w:txbxContent>
                </v:textbox>
                <w10:wrap anchorx="margin"/>
              </v:shape>
            </w:pict>
          </mc:Fallback>
        </mc:AlternateContent>
      </w:r>
      <w:r w:rsidRPr="00654CB9">
        <w:rPr>
          <w:rFonts w:asciiTheme="minorHAnsi" w:hAnsiTheme="minorHAnsi"/>
          <w:sz w:val="22"/>
        </w:rPr>
        <w:object w:dxaOrig="22456" w:dyaOrig="15893" w14:anchorId="620AD0C3">
          <v:shape id="_x0000_i1080" type="#_x0000_t75" style="width:411.9pt;height:291.75pt;mso-position-vertical:absolute" o:ole="">
            <v:imagedata r:id="rId229" o:title=""/>
          </v:shape>
          <o:OLEObject Type="Embed" ProgID="MestReNova.Document.1" ShapeID="_x0000_i1080" DrawAspect="Content" ObjectID="_1713353454" r:id="rId230"/>
        </w:object>
      </w:r>
    </w:p>
    <w:p w14:paraId="767DF971" w14:textId="1D4F0935" w:rsidR="00C232F3" w:rsidRDefault="00654CB9" w:rsidP="00654CB9">
      <w:pPr>
        <w:spacing w:line="259" w:lineRule="auto"/>
        <w:jc w:val="left"/>
        <w:rPr>
          <w:rFonts w:asciiTheme="minorHAnsi" w:hAnsiTheme="minorHAnsi"/>
          <w:sz w:val="22"/>
        </w:rPr>
        <w:sectPr w:rsidR="00C232F3" w:rsidSect="003E3CA9">
          <w:footerReference w:type="default" r:id="rId231"/>
          <w:type w:val="continuous"/>
          <w:pgSz w:w="12240" w:h="15840"/>
          <w:pgMar w:top="1440" w:right="1440" w:bottom="1440" w:left="1440" w:header="720" w:footer="720" w:gutter="0"/>
          <w:pgNumType w:start="0"/>
          <w:cols w:space="720"/>
          <w:docGrid w:linePitch="360"/>
        </w:sectPr>
      </w:pPr>
      <w:r w:rsidRPr="00654CB9">
        <w:rPr>
          <w:rFonts w:asciiTheme="minorHAnsi" w:hAnsiTheme="minorHAnsi"/>
          <w:sz w:val="22"/>
        </w:rPr>
        <w:object w:dxaOrig="22456" w:dyaOrig="15893" w14:anchorId="53F7A467">
          <v:shape id="_x0000_i1081" type="#_x0000_t75" style="width:411.9pt;height:291.75pt" o:ole="">
            <v:imagedata r:id="rId232" o:title=""/>
          </v:shape>
          <o:OLEObject Type="Embed" ProgID="MestReNova.Document.1" ShapeID="_x0000_i1081" DrawAspect="Content" ObjectID="_1713353455" r:id="rId233"/>
        </w:object>
      </w:r>
    </w:p>
    <w:p w14:paraId="343BD7F4" w14:textId="55DA6C6D" w:rsidR="007B7129" w:rsidRPr="007B7129" w:rsidRDefault="007B7129" w:rsidP="007B7129">
      <w:pPr>
        <w:pStyle w:val="ChapterTitles"/>
      </w:pPr>
      <w:bookmarkStart w:id="215" w:name="_Toc97337846"/>
      <w:bookmarkStart w:id="216" w:name="_Toc100241901"/>
      <w:bookmarkStart w:id="217" w:name="_Toc102586265"/>
      <w:r w:rsidRPr="007B7129">
        <w:lastRenderedPageBreak/>
        <w:t xml:space="preserve">Chapter 3: β-carboline </w:t>
      </w:r>
      <w:r w:rsidR="007B3DF1">
        <w:t>s</w:t>
      </w:r>
      <w:r w:rsidRPr="007B7129">
        <w:t xml:space="preserve">ynthesis and </w:t>
      </w:r>
      <w:r w:rsidR="007B3DF1">
        <w:t>f</w:t>
      </w:r>
      <w:r w:rsidRPr="007B7129">
        <w:t xml:space="preserve">unctionalization for </w:t>
      </w:r>
      <w:r w:rsidR="007B3DF1">
        <w:t>s</w:t>
      </w:r>
      <w:r w:rsidRPr="007B7129">
        <w:t xml:space="preserve">tudies </w:t>
      </w:r>
      <w:r w:rsidR="007B3DF1">
        <w:t>t</w:t>
      </w:r>
      <w:r w:rsidRPr="007B7129">
        <w:t xml:space="preserve">oward the </w:t>
      </w:r>
      <w:r w:rsidR="007B3DF1">
        <w:t>t</w:t>
      </w:r>
      <w:r w:rsidRPr="007B7129">
        <w:t xml:space="preserve">otal </w:t>
      </w:r>
      <w:r w:rsidR="007B3DF1">
        <w:t>s</w:t>
      </w:r>
      <w:r w:rsidRPr="007B7129">
        <w:t xml:space="preserve">ynthesis of </w:t>
      </w:r>
      <w:r w:rsidR="007B3DF1">
        <w:t>p</w:t>
      </w:r>
      <w:r w:rsidRPr="007B7129">
        <w:t xml:space="preserve">icrasidine </w:t>
      </w:r>
      <w:r w:rsidR="007B3DF1">
        <w:t>a</w:t>
      </w:r>
      <w:r w:rsidRPr="007B7129">
        <w:t>lkaloids</w:t>
      </w:r>
      <w:bookmarkEnd w:id="215"/>
      <w:bookmarkEnd w:id="216"/>
      <w:bookmarkEnd w:id="217"/>
    </w:p>
    <w:p w14:paraId="76D88793" w14:textId="77777777" w:rsidR="007B7129" w:rsidRPr="007B7129" w:rsidRDefault="007B7129" w:rsidP="007B7129">
      <w:pPr>
        <w:spacing w:after="0"/>
        <w:rPr>
          <w:rFonts w:cs="Times New Roman"/>
          <w:b/>
          <w:bCs/>
          <w:szCs w:val="24"/>
        </w:rPr>
      </w:pPr>
    </w:p>
    <w:p w14:paraId="756F747E" w14:textId="74BFDB28" w:rsidR="007B7129" w:rsidRPr="00B366E8" w:rsidRDefault="007B7129" w:rsidP="00B366E8">
      <w:pPr>
        <w:ind w:firstLine="720"/>
        <w:rPr>
          <w:rFonts w:cs="Times New Roman"/>
          <w:b/>
          <w:bCs/>
          <w:szCs w:val="24"/>
        </w:rPr>
      </w:pPr>
      <w:r w:rsidRPr="007B7129">
        <w:rPr>
          <w:rFonts w:cs="Times New Roman"/>
          <w:b/>
          <w:bCs/>
          <w:szCs w:val="24"/>
        </w:rPr>
        <w:t>Abstract</w:t>
      </w:r>
      <w:r w:rsidR="00B366E8">
        <w:rPr>
          <w:rFonts w:cs="Times New Roman"/>
          <w:b/>
          <w:bCs/>
          <w:szCs w:val="24"/>
        </w:rPr>
        <w:t xml:space="preserve">. </w:t>
      </w:r>
      <w:r w:rsidRPr="007B7129">
        <w:rPr>
          <w:rFonts w:cs="Times New Roman"/>
          <w:szCs w:val="24"/>
        </w:rPr>
        <w:t xml:space="preserve">The stem and root bark from </w:t>
      </w:r>
      <w:r w:rsidRPr="007B7129">
        <w:rPr>
          <w:rFonts w:cs="Times New Roman"/>
          <w:i/>
          <w:iCs/>
          <w:szCs w:val="24"/>
        </w:rPr>
        <w:t xml:space="preserve">Picrasma </w:t>
      </w:r>
      <w:proofErr w:type="spellStart"/>
      <w:r w:rsidRPr="007B7129">
        <w:rPr>
          <w:rFonts w:cs="Times New Roman"/>
          <w:i/>
          <w:iCs/>
          <w:szCs w:val="24"/>
        </w:rPr>
        <w:t>quassioides</w:t>
      </w:r>
      <w:proofErr w:type="spellEnd"/>
      <w:r w:rsidRPr="007B7129">
        <w:rPr>
          <w:rFonts w:cs="Times New Roman"/>
          <w:szCs w:val="24"/>
        </w:rPr>
        <w:t xml:space="preserve"> have been used historically in China, India, and the Himalayas as a traditional herbal medicine to treat a wide variety of illnesses such as fever, gastric discomfort, and pediculosis, or head lice infestation. As such, several research studies have been conducted in China and Japan to assess the efficacy of quassia-based medicines, leading to the identification and structural characterization of the </w:t>
      </w:r>
      <w:r w:rsidRPr="007B7129">
        <w:rPr>
          <w:rFonts w:cs="Times New Roman"/>
          <w:i/>
          <w:iCs/>
          <w:szCs w:val="24"/>
        </w:rPr>
        <w:t>Picrasma</w:t>
      </w:r>
      <w:r w:rsidRPr="007B7129">
        <w:rPr>
          <w:rFonts w:cs="Times New Roman"/>
          <w:szCs w:val="24"/>
        </w:rPr>
        <w:t xml:space="preserve"> alkaloids. The </w:t>
      </w:r>
      <w:r w:rsidRPr="007B7129">
        <w:rPr>
          <w:rFonts w:cs="Times New Roman"/>
          <w:i/>
          <w:iCs/>
          <w:szCs w:val="24"/>
        </w:rPr>
        <w:t>Picrasma</w:t>
      </w:r>
      <w:r w:rsidRPr="007B7129">
        <w:rPr>
          <w:rFonts w:cs="Times New Roman"/>
          <w:szCs w:val="24"/>
        </w:rPr>
        <w:t xml:space="preserve"> natural products are a large (approx. 94 phytochemicals) class of structurally diverse compounds with a wide array of biological activities, but the β-carboline alkaloids will be the focus of this chapter. Specifically, our lab is interested in picrasidine C (</w:t>
      </w:r>
      <w:r w:rsidRPr="007B7129">
        <w:rPr>
          <w:rFonts w:cs="Times New Roman"/>
          <w:b/>
          <w:bCs/>
          <w:szCs w:val="24"/>
        </w:rPr>
        <w:t>1</w:t>
      </w:r>
      <w:r w:rsidRPr="007B7129">
        <w:rPr>
          <w:rFonts w:cs="Times New Roman"/>
          <w:szCs w:val="24"/>
        </w:rPr>
        <w:t xml:space="preserve">) and its demonstrated efficacy for subtype selective PPARα agonism as a promising treatment for diabetic retinopathy. The original aim was to complete the total synthesis of </w:t>
      </w:r>
      <w:r w:rsidRPr="007B7129">
        <w:rPr>
          <w:rFonts w:cs="Times New Roman"/>
          <w:b/>
          <w:bCs/>
          <w:szCs w:val="24"/>
        </w:rPr>
        <w:t>1</w:t>
      </w:r>
      <w:r w:rsidRPr="007B7129">
        <w:rPr>
          <w:rFonts w:cs="Times New Roman"/>
          <w:szCs w:val="24"/>
        </w:rPr>
        <w:t xml:space="preserve"> and design analogs in order to probe structure-activity relationships (SAR) and explore the therapeutic potential of this chemotype. </w:t>
      </w:r>
      <w:bookmarkStart w:id="218" w:name="_Hlk97320898"/>
      <w:r w:rsidRPr="007B7129">
        <w:rPr>
          <w:rFonts w:cs="Times New Roman"/>
          <w:szCs w:val="24"/>
        </w:rPr>
        <w:t xml:space="preserve">Two approaches were considered for this total synthesis: </w:t>
      </w:r>
      <w:r w:rsidRPr="007B7129">
        <w:t xml:space="preserve">(1) building the heterocycle from structural fragments or (2) functionalizing an existing β-carboline ring. </w:t>
      </w:r>
      <w:bookmarkEnd w:id="218"/>
      <w:r w:rsidRPr="007B7129">
        <w:t xml:space="preserve">While the total synthesis of </w:t>
      </w:r>
      <w:r w:rsidRPr="007B7129">
        <w:rPr>
          <w:b/>
          <w:bCs/>
        </w:rPr>
        <w:t>1</w:t>
      </w:r>
      <w:r w:rsidRPr="007B7129">
        <w:t xml:space="preserve"> was unsuccessful, six new </w:t>
      </w:r>
      <w:r w:rsidRPr="007B7129">
        <w:rPr>
          <w:i/>
          <w:iCs/>
        </w:rPr>
        <w:t>Picrasma</w:t>
      </w:r>
      <w:r w:rsidRPr="007B7129">
        <w:t xml:space="preserve"> alkaloid analogs, two mono- and four bis-</w:t>
      </w:r>
      <w:r w:rsidRPr="007B7129">
        <w:rPr>
          <w:rFonts w:cs="Times New Roman"/>
        </w:rPr>
        <w:t>β</w:t>
      </w:r>
      <w:r w:rsidRPr="007B7129">
        <w:t xml:space="preserve">-carbolines, were synthesized. These analogs have the capacity to serve as synthetic building blocks for </w:t>
      </w:r>
      <w:r w:rsidRPr="007B7129">
        <w:rPr>
          <w:rFonts w:cs="Times New Roman"/>
        </w:rPr>
        <w:t>β</w:t>
      </w:r>
      <w:r w:rsidRPr="007B7129">
        <w:t xml:space="preserve">-carboline natural products because of their reactive functional groups (enamine, carbonyl, epoxide). Furthermore, </w:t>
      </w:r>
      <w:r w:rsidRPr="007B7129">
        <w:rPr>
          <w:rFonts w:cs="Times New Roman"/>
          <w:szCs w:val="24"/>
        </w:rPr>
        <w:t xml:space="preserve">a novel, metal-free acid-catalyzed Pictet-Spengler enamine cyclization cascade was discovered, providing efficient access to </w:t>
      </w:r>
      <w:proofErr w:type="spellStart"/>
      <w:r w:rsidRPr="007B7129">
        <w:rPr>
          <w:rFonts w:cs="Times New Roman"/>
          <w:szCs w:val="24"/>
        </w:rPr>
        <w:t>indoloquinolizine</w:t>
      </w:r>
      <w:proofErr w:type="spellEnd"/>
      <w:r w:rsidRPr="007B7129">
        <w:rPr>
          <w:rFonts w:cs="Times New Roman"/>
          <w:szCs w:val="24"/>
        </w:rPr>
        <w:t xml:space="preserve"> heterocycles. </w:t>
      </w:r>
    </w:p>
    <w:p w14:paraId="6D607DA9" w14:textId="7F477B73" w:rsidR="00C232F3" w:rsidRDefault="00C232F3" w:rsidP="00C232F3">
      <w:pPr>
        <w:rPr>
          <w:rFonts w:cs="Times New Roman"/>
          <w:szCs w:val="24"/>
        </w:rPr>
      </w:pPr>
    </w:p>
    <w:p w14:paraId="7457D699" w14:textId="77777777" w:rsidR="00B366E8" w:rsidRPr="007B7129" w:rsidRDefault="00B366E8" w:rsidP="00C232F3">
      <w:pPr>
        <w:rPr>
          <w:rFonts w:cs="Times New Roman"/>
          <w:szCs w:val="24"/>
        </w:rPr>
      </w:pPr>
    </w:p>
    <w:p w14:paraId="4FD50719" w14:textId="77777777" w:rsidR="007B7129" w:rsidRPr="007B7129" w:rsidRDefault="007B7129" w:rsidP="00EC026C">
      <w:pPr>
        <w:pStyle w:val="Section"/>
      </w:pPr>
      <w:bookmarkStart w:id="219" w:name="_Toc97337847"/>
      <w:bookmarkStart w:id="220" w:name="_Toc100241902"/>
      <w:bookmarkStart w:id="221" w:name="_Toc102586266"/>
      <w:r w:rsidRPr="007B7129">
        <w:lastRenderedPageBreak/>
        <w:t xml:space="preserve">3.1 Introduction to </w:t>
      </w:r>
      <w:r w:rsidRPr="007B7129">
        <w:rPr>
          <w:i/>
          <w:iCs/>
        </w:rPr>
        <w:t>Picrasma</w:t>
      </w:r>
      <w:r w:rsidRPr="007B7129">
        <w:t xml:space="preserve"> alkaloids</w:t>
      </w:r>
      <w:bookmarkEnd w:id="219"/>
      <w:bookmarkEnd w:id="220"/>
      <w:bookmarkEnd w:id="221"/>
    </w:p>
    <w:p w14:paraId="3A7E37B4" w14:textId="77777777" w:rsidR="007B7129" w:rsidRPr="007B7129" w:rsidRDefault="007B7129" w:rsidP="00EC026C">
      <w:pPr>
        <w:pStyle w:val="Subsection"/>
      </w:pPr>
      <w:bookmarkStart w:id="222" w:name="_Toc97337848"/>
      <w:bookmarkStart w:id="223" w:name="_Toc100241903"/>
      <w:bookmarkStart w:id="224" w:name="_Toc102586267"/>
      <w:r w:rsidRPr="007B7129">
        <w:t xml:space="preserve">3.1.1 </w:t>
      </w:r>
      <w:r w:rsidRPr="007B7129">
        <w:rPr>
          <w:i/>
          <w:iCs/>
        </w:rPr>
        <w:t>Picrasma</w:t>
      </w:r>
      <w:r w:rsidRPr="007B7129">
        <w:t xml:space="preserve"> alkaloids in traditional medicine</w:t>
      </w:r>
      <w:bookmarkEnd w:id="222"/>
      <w:bookmarkEnd w:id="223"/>
      <w:r w:rsidRPr="007B7129">
        <w:t>.</w:t>
      </w:r>
      <w:bookmarkEnd w:id="224"/>
    </w:p>
    <w:p w14:paraId="172BC444" w14:textId="77777777" w:rsidR="007B7129" w:rsidRPr="007B7129" w:rsidRDefault="007B7129" w:rsidP="007B7129">
      <w:pPr>
        <w:spacing w:after="0"/>
        <w:rPr>
          <w:rFonts w:cs="Times New Roman"/>
          <w:i/>
          <w:iCs/>
          <w:szCs w:val="24"/>
        </w:rPr>
      </w:pPr>
      <w:r w:rsidRPr="007B7129">
        <w:rPr>
          <w:rFonts w:cs="Times New Roman"/>
          <w:noProof/>
          <w:szCs w:val="24"/>
        </w:rPr>
        <mc:AlternateContent>
          <mc:Choice Requires="wps">
            <w:drawing>
              <wp:inline distT="0" distB="0" distL="0" distR="0" wp14:anchorId="6E01759B" wp14:editId="49099CB7">
                <wp:extent cx="5943600" cy="4539615"/>
                <wp:effectExtent l="0" t="0" r="19050" b="13335"/>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539615"/>
                        </a:xfrm>
                        <a:prstGeom prst="rect">
                          <a:avLst/>
                        </a:prstGeom>
                        <a:solidFill>
                          <a:srgbClr val="FFFFFF"/>
                        </a:solidFill>
                        <a:ln w="9525">
                          <a:solidFill>
                            <a:srgbClr val="000000"/>
                          </a:solidFill>
                          <a:miter lim="800000"/>
                          <a:headEnd/>
                          <a:tailEnd/>
                        </a:ln>
                      </wps:spPr>
                      <wps:txbx>
                        <w:txbxContent>
                          <w:p w14:paraId="5946D23E" w14:textId="77777777" w:rsidR="009653EB" w:rsidRDefault="007B7129" w:rsidP="009653EB">
                            <w:pPr>
                              <w:keepNext/>
                              <w:spacing w:after="0" w:line="240" w:lineRule="auto"/>
                              <w:jc w:val="center"/>
                            </w:pPr>
                            <w:r>
                              <w:rPr>
                                <w:noProof/>
                              </w:rPr>
                              <w:drawing>
                                <wp:inline distT="0" distB="0" distL="0" distR="0" wp14:anchorId="4F762B5D" wp14:editId="7D025F5A">
                                  <wp:extent cx="5751830" cy="4184015"/>
                                  <wp:effectExtent l="0" t="0" r="1270" b="0"/>
                                  <wp:docPr id="284" name="Picture 284" descr="Structures of β-carboline alkaloids from Picrasma quassioides extr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Structures of β-carboline alkaloids from Picrasma quassioides extracts."/>
                                          <pic:cNvPicPr/>
                                        </pic:nvPicPr>
                                        <pic:blipFill>
                                          <a:blip r:embed="rId98">
                                            <a:extLst>
                                              <a:ext uri="{28A0092B-C50C-407E-A947-70E740481C1C}">
                                                <a14:useLocalDpi xmlns:a14="http://schemas.microsoft.com/office/drawing/2010/main" val="0"/>
                                              </a:ext>
                                            </a:extLst>
                                          </a:blip>
                                          <a:stretch>
                                            <a:fillRect/>
                                          </a:stretch>
                                        </pic:blipFill>
                                        <pic:spPr>
                                          <a:xfrm>
                                            <a:off x="0" y="0"/>
                                            <a:ext cx="5751830" cy="4184015"/>
                                          </a:xfrm>
                                          <a:prstGeom prst="rect">
                                            <a:avLst/>
                                          </a:prstGeom>
                                        </pic:spPr>
                                      </pic:pic>
                                    </a:graphicData>
                                  </a:graphic>
                                </wp:inline>
                              </w:drawing>
                            </w:r>
                          </w:p>
                          <w:p w14:paraId="43D4B2C9" w14:textId="25555DE7" w:rsidR="007B7129" w:rsidRPr="009D4CC5" w:rsidRDefault="009653EB" w:rsidP="00DF51F5">
                            <w:pPr>
                              <w:pStyle w:val="Caption"/>
                            </w:pPr>
                            <w:bookmarkStart w:id="225" w:name="_Ref102582535"/>
                            <w:bookmarkStart w:id="226" w:name="_Toc100748308"/>
                            <w:r>
                              <w:t>Figure 3.</w:t>
                            </w:r>
                            <w:fldSimple w:instr=" SEQ Figure \* ARABIC \r1 ">
                              <w:r w:rsidR="00AA5AAC">
                                <w:rPr>
                                  <w:noProof/>
                                </w:rPr>
                                <w:t>1</w:t>
                              </w:r>
                            </w:fldSimple>
                            <w:bookmarkEnd w:id="225"/>
                            <w:r>
                              <w:t xml:space="preserve">. </w:t>
                            </w:r>
                            <w:bookmarkStart w:id="227" w:name="_Toc100243254"/>
                            <w:r w:rsidR="007B7129">
                              <w:t xml:space="preserve">Structures of β-carboline alkaloids from </w:t>
                            </w:r>
                            <w:r w:rsidR="007B7129" w:rsidRPr="00BC1019">
                              <w:rPr>
                                <w:i/>
                              </w:rPr>
                              <w:t xml:space="preserve">Picrasma </w:t>
                            </w:r>
                            <w:proofErr w:type="spellStart"/>
                            <w:r w:rsidR="007B7129" w:rsidRPr="00BC1019">
                              <w:rPr>
                                <w:i/>
                              </w:rPr>
                              <w:t>quassioides</w:t>
                            </w:r>
                            <w:proofErr w:type="spellEnd"/>
                            <w:r w:rsidR="007B7129">
                              <w:rPr>
                                <w:i/>
                              </w:rPr>
                              <w:t xml:space="preserve"> </w:t>
                            </w:r>
                            <w:r w:rsidR="007B7129">
                              <w:t>extracts.</w:t>
                            </w:r>
                            <w:bookmarkEnd w:id="226"/>
                            <w:bookmarkEnd w:id="227"/>
                          </w:p>
                          <w:p w14:paraId="51DBAB40" w14:textId="77777777" w:rsidR="007B7129" w:rsidRPr="009D4CC5" w:rsidRDefault="007B7129" w:rsidP="007B7129">
                            <w:pPr>
                              <w:spacing w:line="240" w:lineRule="auto"/>
                            </w:pPr>
                          </w:p>
                        </w:txbxContent>
                      </wps:txbx>
                      <wps:bodyPr rot="0" vert="horz" wrap="square" lIns="91440" tIns="45720" rIns="91440" bIns="45720" anchor="t" anchorCtr="0">
                        <a:noAutofit/>
                      </wps:bodyPr>
                    </wps:wsp>
                  </a:graphicData>
                </a:graphic>
              </wp:inline>
            </w:drawing>
          </mc:Choice>
          <mc:Fallback>
            <w:pict>
              <v:shape w14:anchorId="6E01759B" id="_x0000_s1075" type="#_x0000_t202" style="width:468pt;height:35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">
                <v:textbox>
                  <w:txbxContent>
                    <w:p w14:paraId="5946D23E" w14:textId="77777777" w:rsidR="009653EB" w:rsidRDefault="007B7129" w:rsidP="009653EB">
                      <w:pPr>
                        <w:keepNext/>
                        <w:spacing w:after="0" w:line="240" w:lineRule="auto"/>
                        <w:jc w:val="center"/>
                      </w:pPr>
                      <w:r>
                        <w:rPr>
                          <w:noProof/>
                        </w:rPr>
                        <w:drawing>
                          <wp:inline distT="0" distB="0" distL="0" distR="0" wp14:anchorId="4F762B5D" wp14:editId="7D025F5A">
                            <wp:extent cx="5751830" cy="4184015"/>
                            <wp:effectExtent l="0" t="0" r="1270" b="0"/>
                            <wp:docPr id="284" name="Picture 284" descr="Structures of β-carboline alkaloids from Picrasma quassioides extr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Structures of β-carboline alkaloids from Picrasma quassioides extracts."/>
                                    <pic:cNvPicPr/>
                                  </pic:nvPicPr>
                                  <pic:blipFill>
                                    <a:blip r:embed="rId98">
                                      <a:extLst>
                                        <a:ext uri="{28A0092B-C50C-407E-A947-70E740481C1C}">
                                          <a14:useLocalDpi xmlns:a14="http://schemas.microsoft.com/office/drawing/2010/main" val="0"/>
                                        </a:ext>
                                      </a:extLst>
                                    </a:blip>
                                    <a:stretch>
                                      <a:fillRect/>
                                    </a:stretch>
                                  </pic:blipFill>
                                  <pic:spPr>
                                    <a:xfrm>
                                      <a:off x="0" y="0"/>
                                      <a:ext cx="5751830" cy="4184015"/>
                                    </a:xfrm>
                                    <a:prstGeom prst="rect">
                                      <a:avLst/>
                                    </a:prstGeom>
                                  </pic:spPr>
                                </pic:pic>
                              </a:graphicData>
                            </a:graphic>
                          </wp:inline>
                        </w:drawing>
                      </w:r>
                    </w:p>
                    <w:p w14:paraId="43D4B2C9" w14:textId="25555DE7" w:rsidR="007B7129" w:rsidRPr="009D4CC5" w:rsidRDefault="009653EB" w:rsidP="00DF51F5">
                      <w:pPr>
                        <w:pStyle w:val="Caption"/>
                      </w:pPr>
                      <w:bookmarkStart w:id="228" w:name="_Ref102582535"/>
                      <w:bookmarkStart w:id="229" w:name="_Toc100748308"/>
                      <w:r>
                        <w:t>Figure 3.</w:t>
                      </w:r>
                      <w:fldSimple w:instr=" SEQ Figure \* ARABIC \r1 ">
                        <w:r w:rsidR="00AA5AAC">
                          <w:rPr>
                            <w:noProof/>
                          </w:rPr>
                          <w:t>1</w:t>
                        </w:r>
                      </w:fldSimple>
                      <w:bookmarkEnd w:id="228"/>
                      <w:r>
                        <w:t xml:space="preserve">. </w:t>
                      </w:r>
                      <w:bookmarkStart w:id="230" w:name="_Toc100243254"/>
                      <w:r w:rsidR="007B7129">
                        <w:t xml:space="preserve">Structures of β-carboline alkaloids from </w:t>
                      </w:r>
                      <w:r w:rsidR="007B7129" w:rsidRPr="00BC1019">
                        <w:rPr>
                          <w:i/>
                        </w:rPr>
                        <w:t xml:space="preserve">Picrasma </w:t>
                      </w:r>
                      <w:proofErr w:type="spellStart"/>
                      <w:r w:rsidR="007B7129" w:rsidRPr="00BC1019">
                        <w:rPr>
                          <w:i/>
                        </w:rPr>
                        <w:t>quassioides</w:t>
                      </w:r>
                      <w:proofErr w:type="spellEnd"/>
                      <w:r w:rsidR="007B7129">
                        <w:rPr>
                          <w:i/>
                        </w:rPr>
                        <w:t xml:space="preserve"> </w:t>
                      </w:r>
                      <w:r w:rsidR="007B7129">
                        <w:t>extracts.</w:t>
                      </w:r>
                      <w:bookmarkEnd w:id="229"/>
                      <w:bookmarkEnd w:id="230"/>
                    </w:p>
                    <w:p w14:paraId="51DBAB40" w14:textId="77777777" w:rsidR="007B7129" w:rsidRPr="009D4CC5" w:rsidRDefault="007B7129" w:rsidP="007B7129">
                      <w:pPr>
                        <w:spacing w:line="240" w:lineRule="auto"/>
                      </w:pPr>
                    </w:p>
                  </w:txbxContent>
                </v:textbox>
                <w10:anchorlock/>
              </v:shape>
            </w:pict>
          </mc:Fallback>
        </mc:AlternateContent>
      </w:r>
    </w:p>
    <w:p w14:paraId="0515304F" w14:textId="0A4FB807" w:rsidR="007B7129" w:rsidRPr="007B7129" w:rsidRDefault="007B7129" w:rsidP="007B7129">
      <w:pPr>
        <w:spacing w:after="0"/>
        <w:ind w:firstLine="720"/>
        <w:rPr>
          <w:rFonts w:cs="Times New Roman"/>
          <w:szCs w:val="24"/>
        </w:rPr>
      </w:pPr>
      <w:r w:rsidRPr="007B7129">
        <w:rPr>
          <w:rFonts w:cs="Times New Roman"/>
          <w:i/>
          <w:iCs/>
          <w:szCs w:val="24"/>
        </w:rPr>
        <w:t xml:space="preserve">Picrasma </w:t>
      </w:r>
      <w:proofErr w:type="spellStart"/>
      <w:r w:rsidRPr="007B7129">
        <w:rPr>
          <w:rFonts w:cs="Times New Roman"/>
          <w:i/>
          <w:iCs/>
          <w:szCs w:val="24"/>
        </w:rPr>
        <w:t>quassioides</w:t>
      </w:r>
      <w:proofErr w:type="spellEnd"/>
      <w:r w:rsidRPr="007B7129">
        <w:rPr>
          <w:rFonts w:cs="Times New Roman"/>
          <w:szCs w:val="24"/>
        </w:rPr>
        <w:t xml:space="preserve"> of the Simaroubaceae family is a deciduous bitterwood tree, native to temperate regions of southern Asia.</w:t>
      </w:r>
      <w:r w:rsidRPr="007B7129">
        <w:rPr>
          <w:rFonts w:cs="Times New Roman"/>
          <w:szCs w:val="24"/>
        </w:rPr>
        <w:fldChar w:fldCharType="begin"/>
      </w:r>
      <w:r w:rsidRPr="007B7129">
        <w:rPr>
          <w:rFonts w:cs="Times New Roman"/>
          <w:szCs w:val="24"/>
        </w:rPr>
        <w:instrText xml:space="preserve"> ADDIN ZOTERO_ITEM CSL_CITATION {"citationID":"nraLjQVN","properties":{"formattedCitation":"\\super 1\\nosupersub{}","plainCitation":"1","noteIndex":0},"citationItems":[{"id":341,"uris":["http://zotero.org/users/6503767/items/EUX4NK36"],"itemData":{"id":341,"type":"book","collection-title":"Collins Wildlife Trust guides","event-place":"London","ISBN":"978-0-00-220013-4","language":"eng","number-of-pages":"1336","publisher":"HarperCollins","publisher-place":"London","source":"K10plus ISBN","title":"Collins Wildlife Trust guide Trees: a photographic guide to the trees of Britain and Europe","title-short":"Collins Wildlife Trust guide Trees","author":[{"family":"Rushforth","given":"Keith D."}],"issued":{"date-parts":[["1999"]]}}}],"schema":"https://github.com/citation-style-language/schema/raw/master/csl-citation.json"}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1</w:t>
      </w:r>
      <w:r w:rsidRPr="007B7129">
        <w:rPr>
          <w:rFonts w:cs="Times New Roman"/>
          <w:szCs w:val="24"/>
        </w:rPr>
        <w:fldChar w:fldCharType="end"/>
      </w:r>
      <w:r w:rsidRPr="007B7129">
        <w:rPr>
          <w:rFonts w:cs="Times New Roman"/>
          <w:szCs w:val="24"/>
        </w:rPr>
        <w:t xml:space="preserve"> The stem and bark of these plants have been used historically in China, India, and the Himalayas as traditional herbal medicine to treat a wide variety of illnesses such as fever,</w:t>
      </w:r>
      <w:r w:rsidRPr="007B7129">
        <w:rPr>
          <w:rFonts w:cs="Times New Roman"/>
          <w:szCs w:val="24"/>
        </w:rPr>
        <w:fldChar w:fldCharType="begin"/>
      </w:r>
      <w:r w:rsidRPr="007B7129">
        <w:rPr>
          <w:rFonts w:cs="Times New Roman"/>
          <w:szCs w:val="24"/>
        </w:rPr>
        <w:instrText xml:space="preserve"> ADDIN ZOTERO_ITEM CSL_CITATION {"citationID":"RHwBVZcn","properties":{"formattedCitation":"\\super 2\\nosupersub{}","plainCitation":"2","noteIndex":0},"citationItems":[{"id":352,"uris":["http://zotero.org/users/6503767/items/6MWIEYVB"],"itemData":{"id":352,"type":"article-journal","abstract":"Kumu injection (KMI) is a common-used traditional Chinese medicine (TCM) preparation made from Picrasma quassioides (D. Don) Benn. rich in alkaloids. An innovative technique for quality assessment of KMI was developed using high performance liquid chromatography (HPLC) combined with chemometric methods and qualitative and quantitative analysis of multi-components by single marker (QAMS). Nigakinone (PQ-6, 5-hydroxy-4-methoxycanthin-6-one), one of the most abundant alkaloids responsible for the major pharmacological activities of Kumu, was used as a reference substance. Six alkaloids in KMI were quantified, including 6-hydroxy-β-carboline-1-carboxylic acid (PQ-1), 4,5-dimethoxycanthin-6-one (PQ-2), β-carboline-1-carboxylic acid (PQ-3), β-carboline-1-propanoic acid (PQ-4), 3-methylcanthin-5,6-dione (PQ-5), and PQ-6. Based on the outcomes of twenty batches of KMI samples, the contents of six alkaloids were used for further chemometric analysis. By hierarchical cluster analysis (HCA), radar plots, and principal component analysis (PCA), all the KMI samples could be categorized into three groups, which were closely related to production date and indicated the crucial influence of herbal raw material on end products of KMI. QAMS combined with chemometric analysis could accurately measure and clearly distinguish the different quality samples of KMI. Hence, QAMS is a feasible and promising method for the quality control of KMI.","container-title":"Molecules : A Journal of Synthetic Chemistry and Natural Product Chemistry","DOI":"10.3390/molecules23040856","ISSN":"1420-3049","issue":"4","journalAbbreviation":"Molecules","note":"PMID: 29642544\nPMCID: PMC6017852","page":"856","source":"PubMed Central","title":"Quality Assessment of Kumu Injection, a Traditional Chinese Medicine Preparation, Using HPLC Combined with Chemometric Methods and Qualitative and Quantitative Analysis of Multiple Alkaloids by Single Marker","volume":"23","author":[{"family":"Wang","given":"Ning"},{"family":"Li","given":"Zhi-Yong"},{"family":"Zheng","given":"Xiao-Li"},{"family":"Li","given":"Qiao"},{"family":"Yang","given":"Xin"},{"family":"Xu","given":"Hui"}],"issued":{"date-parts":[["2018",4,9]]}}}],"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2</w:t>
      </w:r>
      <w:r w:rsidRPr="007B7129">
        <w:rPr>
          <w:rFonts w:cs="Times New Roman"/>
          <w:szCs w:val="24"/>
        </w:rPr>
        <w:fldChar w:fldCharType="end"/>
      </w:r>
      <w:r w:rsidRPr="007B7129">
        <w:rPr>
          <w:rFonts w:cs="Times New Roman"/>
          <w:szCs w:val="24"/>
        </w:rPr>
        <w:t xml:space="preserve"> gastric discomfort,</w:t>
      </w:r>
      <w:r w:rsidRPr="007B7129">
        <w:rPr>
          <w:rFonts w:cs="Times New Roman"/>
          <w:szCs w:val="24"/>
        </w:rPr>
        <w:fldChar w:fldCharType="begin"/>
      </w:r>
      <w:r w:rsidRPr="007B7129">
        <w:rPr>
          <w:rFonts w:cs="Times New Roman"/>
          <w:szCs w:val="24"/>
        </w:rPr>
        <w:instrText xml:space="preserve"> ADDIN ZOTERO_ITEM CSL_CITATION {"citationID":"jK2QaxeF","properties":{"formattedCitation":"\\super 3\\nosupersub{}","plainCitation":"3","noteIndex":0},"citationItems":[{"id":355,"uris":["http://zotero.org/users/6503767/items/L7VBT7YY"],"itemData":{"id":355,"type":"article-journal","abstract":"Peptic ulcer disease is a deep gastrointestinal erosion disorder that involves the entire mucosal thickness and can even penetrate the muscular mucosa. Numerous natural products have been evaluated as therapeutics for the treatment of a variety of diseases, including this one. These products usually derive from plant and animal sources that contain active constituents such as alkaloids, flavonoids, terpenoids, tannins and others. The alkaloids are natural nitrogen-containing secondary metabolites mostly derived from amino acids and found in about 20% of plants. There has been considerable pharmacological research into the antiulcer activity of these compounds. In this work we review the literature on alkaloids with antiulcer activity, which covers about sixty-one alkaloids, fifty-five of which have activity against this disease when induced in animals.","container-title":"Molecules","DOI":"10.3390/molecules13123198","ISSN":"1420-3049","issue":"12","journalAbbreviation":"Molecules","note":"PMID: 19104486\nPMCID: PMC6245425","page":"3198-3223","source":"PubMed Central","title":"Gastric and Duodenal Antiulcer Activity of Alkaloids: A Review","title-short":"Gastric and Duodenal Antiulcer Activity of Alkaloids","volume":"13","author":[{"family":"Sousa Falcão","given":"Heloina","non-dropping-particle":"de"},{"family":"Leite","given":"Jacqueline Alves"},{"family":"Barbosa-Filho","given":"José Maria"},{"family":"Athayde-Filho","given":"Petrônio Filgueiras","non-dropping-particle":"de"},{"family":"Oliveira Chaves","given":"Maria Célia","non-dropping-particle":"de"},{"family":"Moura","given":"Marcelo Dantas"},{"family":"Ferreira","given":"Anderson Luiz"},{"family":"Almeida","given":"Ana Beatriz Albino","non-dropping-particle":"de"},{"family":"Souza-Brito","given":"Alba Regina Monteiro"},{"family":"Fátima Formiga Melo Diniz","given":"Margareth","non-dropping-particle":"de"},{"family":"Batista","given":"Leônia Maria"}],"issued":{"date-parts":[["2008",12,17]]}}}],"schema":"https://github.com/citation-style-language/schema/raw/master/csl-citation.json"}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3</w:t>
      </w:r>
      <w:r w:rsidRPr="007B7129">
        <w:rPr>
          <w:rFonts w:cs="Times New Roman"/>
          <w:szCs w:val="24"/>
        </w:rPr>
        <w:fldChar w:fldCharType="end"/>
      </w:r>
      <w:r w:rsidRPr="007B7129">
        <w:rPr>
          <w:rFonts w:cs="Times New Roman"/>
          <w:szCs w:val="24"/>
        </w:rPr>
        <w:t xml:space="preserve"> and pediculosis, or head lice infestation. Although there is no evidence for inhibition of louse growth, one study observed that among 454 patients, 99% reported reduced irritation associated with pediculosis, when ground quassia powders were administered topically.</w:t>
      </w:r>
      <w:r w:rsidRPr="007B7129">
        <w:rPr>
          <w:rFonts w:cs="Times New Roman"/>
          <w:szCs w:val="24"/>
        </w:rPr>
        <w:fldChar w:fldCharType="begin"/>
      </w:r>
      <w:r w:rsidRPr="007B7129">
        <w:rPr>
          <w:rFonts w:cs="Times New Roman"/>
          <w:szCs w:val="24"/>
        </w:rPr>
        <w:instrText xml:space="preserve"> ADDIN ZOTERO_ITEM CSL_CITATION {"citationID":"E37xFiXt","properties":{"formattedCitation":"\\super 4\\nosupersub{}","plainCitation":"4","noteIndex":0},"citationItems":[{"id":345,"uris":["http://zotero.org/users/6503767/items/CETXS427"],"itemData":{"id":345,"type":"article-journal","abstract":"454 patients were treated with quassia tincture for head lice. At examination one week later only three patients had hatched lice. There was firm evidence that these patients had been reinfested. The treatment procedure was acceptable both to patients and to staff and no side-effects were observed. As resistance to clophenothane has appeared, alternative cures are needed. This study confirms earlier reports on the effectiveness of quassia tincture, which seems to be a useful alternative to clophenothane. At present the recommended treatment is two applications with an interval of one week.","container-title":"Acta Dermato-Venereologica","ISSN":"0001-5555","issue":"6","journalAbbreviation":"Acta Derm Venereol","language":"eng","note":"PMID: 83089","page":"557-559","source":"PubMed","title":"Pediculosis capitis treated with quassia tincture","volume":"58","author":[{"family":"Jensen","given":"O."},{"family":"Nielsen","given":"A. O."},{"family":"Bjerregaard","given":"P."}],"issued":{"date-parts":[["1978"]]}}}],"schema":"https://github.com/citation-style-language/schema/raw/master/csl-citation.json"}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4</w:t>
      </w:r>
      <w:r w:rsidRPr="007B7129">
        <w:rPr>
          <w:rFonts w:cs="Times New Roman"/>
          <w:szCs w:val="24"/>
        </w:rPr>
        <w:fldChar w:fldCharType="end"/>
      </w:r>
      <w:r w:rsidRPr="007B7129">
        <w:rPr>
          <w:rFonts w:cs="Times New Roman"/>
          <w:szCs w:val="24"/>
        </w:rPr>
        <w:t xml:space="preserve"> Moreover, quassia tinctures were historically consumed orally to treat infections such as the common cold, infections of the upper respiratory tract, and diarrhea, </w:t>
      </w:r>
      <w:r w:rsidRPr="007B7129">
        <w:rPr>
          <w:rFonts w:cs="Times New Roman"/>
          <w:szCs w:val="24"/>
        </w:rPr>
        <w:lastRenderedPageBreak/>
        <w:t xml:space="preserve">demonstrating a broad pharmacological profile. As such, several research studies have been conducted in China and Japan to not only assess the efficacy of quassia-based medicines but also to identify and structurally characterize the natural products responsible for such biological activities. These efforts led to the discovery of the </w:t>
      </w:r>
      <w:r w:rsidRPr="007B7129">
        <w:rPr>
          <w:rFonts w:cs="Times New Roman"/>
          <w:i/>
          <w:iCs/>
          <w:szCs w:val="24"/>
        </w:rPr>
        <w:t>Picrasma</w:t>
      </w:r>
      <w:r w:rsidRPr="007B7129">
        <w:rPr>
          <w:rFonts w:cs="Times New Roman"/>
          <w:szCs w:val="24"/>
        </w:rPr>
        <w:t xml:space="preserve"> alkaloids (examples in</w:t>
      </w:r>
      <w:r w:rsidR="00876C02">
        <w:rPr>
          <w:rFonts w:cs="Times New Roman"/>
          <w:b/>
          <w:bCs/>
          <w:szCs w:val="24"/>
        </w:rPr>
        <w:t xml:space="preserve"> </w:t>
      </w:r>
      <w:r w:rsidR="00CB171A" w:rsidRPr="00CB171A">
        <w:rPr>
          <w:rFonts w:cs="Times New Roman"/>
          <w:b/>
          <w:bCs/>
          <w:szCs w:val="24"/>
        </w:rPr>
        <w:fldChar w:fldCharType="begin"/>
      </w:r>
      <w:r w:rsidR="00CB171A" w:rsidRPr="00CB171A">
        <w:rPr>
          <w:rFonts w:cs="Times New Roman"/>
          <w:b/>
          <w:bCs/>
          <w:szCs w:val="24"/>
        </w:rPr>
        <w:instrText xml:space="preserve"> REF _Ref102582535 \h  \* MERGEFORMAT </w:instrText>
      </w:r>
      <w:r w:rsidR="00CB171A" w:rsidRPr="00CB171A">
        <w:rPr>
          <w:rFonts w:cs="Times New Roman"/>
          <w:b/>
          <w:bCs/>
          <w:szCs w:val="24"/>
        </w:rPr>
      </w:r>
      <w:r w:rsidR="00CB171A" w:rsidRPr="00CB171A">
        <w:rPr>
          <w:rFonts w:cs="Times New Roman"/>
          <w:b/>
          <w:bCs/>
          <w:szCs w:val="24"/>
        </w:rPr>
        <w:fldChar w:fldCharType="separate"/>
      </w:r>
      <w:r w:rsidR="00AA5AAC" w:rsidRPr="00AA5AAC">
        <w:rPr>
          <w:b/>
          <w:bCs/>
        </w:rPr>
        <w:t>Figure 3.1</w:t>
      </w:r>
      <w:r w:rsidR="00CB171A" w:rsidRPr="00CB171A">
        <w:rPr>
          <w:rFonts w:cs="Times New Roman"/>
          <w:b/>
          <w:bCs/>
          <w:szCs w:val="24"/>
        </w:rPr>
        <w:fldChar w:fldCharType="end"/>
      </w:r>
      <w:r w:rsidRPr="007B7129">
        <w:rPr>
          <w:rFonts w:cs="Times New Roman"/>
          <w:szCs w:val="24"/>
        </w:rPr>
        <w:t>).</w:t>
      </w:r>
      <w:r w:rsidRPr="007B7129">
        <w:rPr>
          <w:rFonts w:cs="Times New Roman"/>
          <w:szCs w:val="24"/>
        </w:rPr>
        <w:fldChar w:fldCharType="begin"/>
      </w:r>
      <w:r w:rsidRPr="007B7129">
        <w:rPr>
          <w:rFonts w:cs="Times New Roman"/>
          <w:szCs w:val="24"/>
        </w:rPr>
        <w:instrText xml:space="preserve"> ADDIN ZOTERO_ITEM CSL_CITATION {"citationID":"JUHr5rGu","properties":{"formattedCitation":"\\super 5\\nosupersub{}","plainCitation":"5","noteIndex":0},"citationItems":[{"id":342,"uris":["http://zotero.org/users/6503767/items/X63SKJA8"],"itemData":{"id":342,"type":"article-journal","abstract":"Picrasma quassioides is a member of the Simaroubaceae family commonly grown in the regions of Asia, the Himalayas, and India and has been used as a traditional herbal medicine to treat various illnesses such as fever, gastric discomfort, and pediculosis. This study aims to critically review the presence of phytochemicals in P. quassioides and correlate their pharmacological activities with the significance of its use as traditional medicine. Data were collected by reviewing numerous scientific articles from several journal databases on the pharmacological activities of P. quassioides using certain keywords. As a result, approximately 94 phytochemicals extracted from P. quassioides were found to be associated with quassinoids, β-carbolines and canthinones. These molecules exhibited various pharmacological benefits such as anti-inflammatory, antioxidant, anti-cancer, anti-microbial, and anti-parasitic activities which help to treat different diseases. However, P. quassioides were also found to have several toxicity effects in high doses, although the evidence regarding these effects is limited in proving its safe use and efficacy as herbal medicine. Accordingly, while it can be concluded that P. quassioides may have many potential pharmacological benefits with more phytochemistry discoveries, further research is required to determine its real value in terms of quality, safety, and efficacy of use.","container-title":"Nutrients","DOI":"10.3390/nu12092584","ISSN":"2072-6643","issue":"9","journalAbbreviation":"Nutrients","note":"PMID: 32858812\nPMCID: PMC7551903","page":"2584","source":"PubMed Central","title":"Phytochemistry, Traditional Use and Pharmacological Activity of Picrasma quassioides: A Critical Reviews","title-short":"Phytochemistry, Traditional Use and Pharmacological Activity of Picrasma quassioides","volume":"12","author":[{"family":"Mohd Jamil","given":"Muhammad Daniel Hakim"},{"family":"Taher","given":"Muhammad"},{"family":"Susanti","given":"Deny"},{"family":"Rahman","given":"Md Atiar"},{"family":"Zakaria","given":"Zainul Amiruddin"}],"issued":{"date-parts":[["2020",8,26]]}}}],"schema":"https://github.com/citation-style-language/schema/raw/master/csl-citation.json"}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5</w:t>
      </w:r>
      <w:r w:rsidRPr="007B7129">
        <w:rPr>
          <w:rFonts w:cs="Times New Roman"/>
          <w:szCs w:val="24"/>
        </w:rPr>
        <w:fldChar w:fldCharType="end"/>
      </w:r>
      <w:r w:rsidRPr="007B7129">
        <w:rPr>
          <w:rFonts w:cs="Times New Roman"/>
          <w:szCs w:val="24"/>
        </w:rPr>
        <w:t xml:space="preserve"> </w:t>
      </w:r>
    </w:p>
    <w:p w14:paraId="18EB04BE" w14:textId="77777777" w:rsidR="007B7129" w:rsidRPr="007B7129" w:rsidRDefault="007B7129" w:rsidP="007B7129">
      <w:pPr>
        <w:spacing w:after="200" w:line="240" w:lineRule="auto"/>
        <w:rPr>
          <w:b/>
          <w:szCs w:val="18"/>
        </w:rPr>
      </w:pPr>
      <w:bookmarkStart w:id="231" w:name="_Ref87121107"/>
    </w:p>
    <w:bookmarkEnd w:id="231"/>
    <w:p w14:paraId="5B93925F" w14:textId="1344B3F5" w:rsidR="009653EB" w:rsidRDefault="009653EB" w:rsidP="00DF51F5">
      <w:pPr>
        <w:pStyle w:val="Caption"/>
      </w:pPr>
      <w:r>
        <w:t>Table 3.</w:t>
      </w:r>
      <w:fldSimple w:instr=" SEQ Table \* ARABIC \r1 ">
        <w:r w:rsidR="00AA5AAC">
          <w:rPr>
            <w:noProof/>
          </w:rPr>
          <w:t>1</w:t>
        </w:r>
      </w:fldSimple>
      <w:r>
        <w:t xml:space="preserve"> </w:t>
      </w:r>
      <w:r w:rsidRPr="007B7129">
        <w:t>Source and biological relevance of bis-</w:t>
      </w:r>
      <w:r w:rsidRPr="007B7129">
        <w:rPr>
          <w:rFonts w:cs="Times New Roman"/>
          <w:szCs w:val="24"/>
        </w:rPr>
        <w:t xml:space="preserve">β-carboline alkaloids from </w:t>
      </w:r>
      <w:r w:rsidRPr="007B7129">
        <w:rPr>
          <w:rFonts w:cs="Times New Roman"/>
          <w:i/>
          <w:szCs w:val="24"/>
        </w:rPr>
        <w:t xml:space="preserve">Picrasma </w:t>
      </w:r>
      <w:proofErr w:type="spellStart"/>
      <w:r w:rsidRPr="007B7129">
        <w:rPr>
          <w:rFonts w:cs="Times New Roman"/>
          <w:i/>
          <w:szCs w:val="24"/>
        </w:rPr>
        <w:t>quassioides</w:t>
      </w:r>
      <w:proofErr w:type="spellEnd"/>
      <w:r w:rsidRPr="007B7129">
        <w:rPr>
          <w:rFonts w:cs="Times New Roman"/>
          <w:szCs w:val="24"/>
        </w:rPr>
        <w:t xml:space="preserve"> plant extracts.</w:t>
      </w:r>
    </w:p>
    <w:tbl>
      <w:tblPr>
        <w:tblStyle w:val="TableGrid"/>
        <w:tblW w:w="9350" w:type="dxa"/>
        <w:tblLook w:val="04A0" w:firstRow="1" w:lastRow="0" w:firstColumn="1" w:lastColumn="0" w:noHBand="0" w:noVBand="1"/>
      </w:tblPr>
      <w:tblGrid>
        <w:gridCol w:w="1795"/>
        <w:gridCol w:w="2160"/>
        <w:gridCol w:w="1880"/>
        <w:gridCol w:w="3515"/>
      </w:tblGrid>
      <w:tr w:rsidR="007B7129" w:rsidRPr="007B7129" w14:paraId="25D8DC6C" w14:textId="77777777" w:rsidTr="00562397">
        <w:tc>
          <w:tcPr>
            <w:tcW w:w="1795" w:type="dxa"/>
            <w:shd w:val="clear" w:color="auto" w:fill="E7E6E6" w:themeFill="background2"/>
            <w:vAlign w:val="center"/>
          </w:tcPr>
          <w:p w14:paraId="266185CB" w14:textId="77777777" w:rsidR="007B7129" w:rsidRPr="007B7129" w:rsidRDefault="007B7129" w:rsidP="007B7129">
            <w:pPr>
              <w:spacing w:line="240" w:lineRule="auto"/>
              <w:contextualSpacing/>
              <w:jc w:val="center"/>
              <w:rPr>
                <w:rFonts w:cs="Times New Roman"/>
                <w:color w:val="000000"/>
                <w:szCs w:val="24"/>
                <w:shd w:val="clear" w:color="auto" w:fill="FFFFFF"/>
              </w:rPr>
            </w:pPr>
            <w:r w:rsidRPr="007B7129">
              <w:rPr>
                <w:rFonts w:cs="Times New Roman"/>
                <w:color w:val="000000"/>
                <w:szCs w:val="24"/>
                <w:shd w:val="clear" w:color="auto" w:fill="FFFFFF"/>
              </w:rPr>
              <w:t>Compound No.</w:t>
            </w:r>
          </w:p>
        </w:tc>
        <w:tc>
          <w:tcPr>
            <w:tcW w:w="2160" w:type="dxa"/>
            <w:shd w:val="clear" w:color="auto" w:fill="E7E6E6" w:themeFill="background2"/>
            <w:vAlign w:val="center"/>
          </w:tcPr>
          <w:p w14:paraId="06567313"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Compound Name</w:t>
            </w:r>
          </w:p>
        </w:tc>
        <w:tc>
          <w:tcPr>
            <w:tcW w:w="1880" w:type="dxa"/>
            <w:shd w:val="clear" w:color="auto" w:fill="E7E6E6" w:themeFill="background2"/>
          </w:tcPr>
          <w:p w14:paraId="3D894777"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Extract Source</w:t>
            </w:r>
          </w:p>
        </w:tc>
        <w:tc>
          <w:tcPr>
            <w:tcW w:w="3515" w:type="dxa"/>
            <w:shd w:val="clear" w:color="auto" w:fill="E7E6E6" w:themeFill="background2"/>
            <w:vAlign w:val="center"/>
          </w:tcPr>
          <w:p w14:paraId="56877679"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Significance or Activity</w:t>
            </w:r>
          </w:p>
        </w:tc>
      </w:tr>
      <w:tr w:rsidR="007B7129" w:rsidRPr="007B7129" w14:paraId="61B28C96" w14:textId="77777777" w:rsidTr="00562397">
        <w:tc>
          <w:tcPr>
            <w:tcW w:w="1795" w:type="dxa"/>
          </w:tcPr>
          <w:p w14:paraId="0B8CD442"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3.1</w:t>
            </w:r>
          </w:p>
        </w:tc>
        <w:tc>
          <w:tcPr>
            <w:tcW w:w="2160" w:type="dxa"/>
          </w:tcPr>
          <w:p w14:paraId="34B7A43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Picrasidine C</w:t>
            </w:r>
          </w:p>
        </w:tc>
        <w:tc>
          <w:tcPr>
            <w:tcW w:w="1880" w:type="dxa"/>
          </w:tcPr>
          <w:p w14:paraId="0423D3A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Stem or bark</w:t>
            </w:r>
          </w:p>
        </w:tc>
        <w:tc>
          <w:tcPr>
            <w:tcW w:w="3515" w:type="dxa"/>
          </w:tcPr>
          <w:p w14:paraId="6D7CA428"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Glucose and lipid homeostasis</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{"citationID":"GGimPeUH","properties":{"formattedCitation":"\\super 6\\nosupersub{}","plainCitation":"6","noteIndex":0},"citationItems":[{"id":253,"uris":["http://zotero.org/users/6503767/items/6QWFZRX9"],"itemData":{"id":253,"type":"article-journal","abstract":"Picrasidine C (1), a dimeric β-carboline-type alkaloid isolated from the root of Picrasma quassioides, was identiﬁed to have PPARα agonistic activity by a mammalian one-hybrid assay from a compound library. Among the PPAR subtypes, 1 selectively activated PPARα in a concentrationdependent manner. Remarkably, 1 also promoted PPARα transcriptional activity by a peroxisome proliferator response element-driven luciferase reporter assay. Furthermore, 1 induced the expression of PPARα-regulated genes involved in lipid, glucose, and cholesterol metabolism, such as CPT-1, PPARα, PDK4, and ABCA1, which was abrogated by the PPARα antagonist MK-886, indicating that the eﬀect of 1 was dependent on PPARα activation. This is the ﬁrst report to demonstrate 1 to be a subtype-selective PPARα agonist with potential application in treating metabolic diseases, such as hyperlipidemia, atherosclerosis, and hypercholesterolemia.","container-title":"Journal of Natural Products","DOI":"10.1021/acs.jnatprod.6b00883","ISSN":"0163-3864, 1520-6025","issue":"12","journalAbbreviation":"J. Nat. Prod.","language":"en","page":"3127-3133","source":"DOI.org (Crossref)","title":"Identification of Picrasidine C as a Subtype-Selective PPARα Agonist","volume":"79","author":[{"family":"Zhao","given":"Shuai"},{"family":"Kanno","given":"Yuichiro"},{"family":"Li","given":"Wei"},{"family":"Sasaki","given":"Tatsunori"},{"family":"Zhang","given":"Xiangyu"},{"family":"Wang","given":"Jian"},{"family":"Cheng","given":"Maosheng"},{"family":"Koike","given":"Kazuo"},{"family":"Nemoto","given":"Kiyomitsu"},{"family":"Li","given":"Huicheng"}],"issued":{"date-parts":[["2016",12,23]]}}}],"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6</w:t>
            </w:r>
            <w:r w:rsidRPr="007B7129">
              <w:rPr>
                <w:rFonts w:cs="Times New Roman"/>
                <w:color w:val="000000"/>
                <w:szCs w:val="24"/>
                <w:shd w:val="clear" w:color="auto" w:fill="FFFFFF"/>
              </w:rPr>
              <w:fldChar w:fldCharType="end"/>
            </w:r>
          </w:p>
        </w:tc>
      </w:tr>
      <w:tr w:rsidR="007B7129" w:rsidRPr="007B7129" w14:paraId="41174618" w14:textId="77777777" w:rsidTr="00562397">
        <w:tc>
          <w:tcPr>
            <w:tcW w:w="1795" w:type="dxa"/>
          </w:tcPr>
          <w:p w14:paraId="19C852A7"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3.2</w:t>
            </w:r>
          </w:p>
        </w:tc>
        <w:tc>
          <w:tcPr>
            <w:tcW w:w="2160" w:type="dxa"/>
          </w:tcPr>
          <w:p w14:paraId="3517835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Picrasidine R</w:t>
            </w:r>
          </w:p>
        </w:tc>
        <w:tc>
          <w:tcPr>
            <w:tcW w:w="1880" w:type="dxa"/>
          </w:tcPr>
          <w:p w14:paraId="6215B28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Root bark</w:t>
            </w:r>
          </w:p>
        </w:tc>
        <w:tc>
          <w:tcPr>
            <w:tcW w:w="3515" w:type="dxa"/>
          </w:tcPr>
          <w:p w14:paraId="756F122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Unknown</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{"citationID":"Iwv2B8w9","properties":{"formattedCitation":"\\super 7\\nosupersub{}","plainCitation":"7","noteIndex":0},"citationItems":[{"id":255,"uris":["http://zotero.org/users/6503767/items/4RUU49HA"],"itemData":{"id":255,"type":"article-journal","abstract":"Two new β-carboline dimer alkaloids, picrasidines-H (1) and (2), have been isolated from the root bark of Picrasma quassioides BENNET (Simaroubaceae). The structures were determined on the basis of spectral analysis.","container-title":"Chemical &amp; Pharmaceutical Bulletin","DOI":"10.1248/cpb.34.2090","issue":"5","page":"2090-2093","source":"J-Stage","title":"Studies on the Alkaloids from Picrasma quassioides BENNET.VII. : Structures of β-Carboline Dimer Alkaloids, Picrasidines-H and -R","title-short":"Studies on the Alkaloids from Picrasma quassioides BENNET.VII.","volume":"34","author":[{"family":"Koike","given":"Kazuo"},{"family":"Ohmoto","given":"Taichi"}],"issued":{"date-parts":[["1986"]]}}}],"schema":"https://github.com/citation-style-language/schema/raw/master/csl-citation.json"}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7</w:t>
            </w:r>
            <w:r w:rsidRPr="007B7129">
              <w:rPr>
                <w:rFonts w:cs="Times New Roman"/>
                <w:color w:val="000000"/>
                <w:szCs w:val="24"/>
                <w:shd w:val="clear" w:color="auto" w:fill="FFFFFF"/>
              </w:rPr>
              <w:fldChar w:fldCharType="end"/>
            </w:r>
          </w:p>
        </w:tc>
      </w:tr>
      <w:tr w:rsidR="007B7129" w:rsidRPr="007B7129" w14:paraId="0FD40F4A" w14:textId="77777777" w:rsidTr="00562397">
        <w:tc>
          <w:tcPr>
            <w:tcW w:w="1795" w:type="dxa"/>
          </w:tcPr>
          <w:p w14:paraId="34E8D2EC"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3.3</w:t>
            </w:r>
          </w:p>
        </w:tc>
        <w:tc>
          <w:tcPr>
            <w:tcW w:w="2160" w:type="dxa"/>
          </w:tcPr>
          <w:p w14:paraId="62F0772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Picrasidine H</w:t>
            </w:r>
          </w:p>
        </w:tc>
        <w:tc>
          <w:tcPr>
            <w:tcW w:w="1880" w:type="dxa"/>
          </w:tcPr>
          <w:p w14:paraId="3E18280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Root bark</w:t>
            </w:r>
          </w:p>
        </w:tc>
        <w:tc>
          <w:tcPr>
            <w:tcW w:w="3515" w:type="dxa"/>
          </w:tcPr>
          <w:p w14:paraId="3FC5517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Unknown</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{"citationID":"zeNvddG6","properties":{"formattedCitation":"\\super 7\\nosupersub{}","plainCitation":"7","noteIndex":0},"citationItems":[{"id":255,"uris":["http://zotero.org/users/6503767/items/4RUU49HA"],"itemData":{"id":255,"type":"article-journal","abstract":"Two new β-carboline dimer alkaloids, picrasidines-H (1) and (2), have been isolated from the root bark of Picrasma quassioides BENNET (Simaroubaceae). The structures were determined on the basis of spectral analysis.","container-title":"Chemical &amp; Pharmaceutical Bulletin","DOI":"10.1248/cpb.34.2090","issue":"5","page":"2090-2093","source":"J-Stage","title":"Studies on the Alkaloids from Picrasma quassioides BENNET.VII. : Structures of β-Carboline Dimer Alkaloids, Picrasidines-H and -R","title-short":"Studies on the Alkaloids from Picrasma quassioides BENNET.VII.","volume":"34","author":[{"family":"Koike","given":"Kazuo"},{"family":"Ohmoto","given":"Taichi"}],"issued":{"date-parts":[["1986"]]}}}],"schema":"https://github.com/citation-style-language/schema/raw/master/csl-citation.json"}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7</w:t>
            </w:r>
            <w:r w:rsidRPr="007B7129">
              <w:rPr>
                <w:rFonts w:cs="Times New Roman"/>
                <w:color w:val="000000"/>
                <w:szCs w:val="24"/>
                <w:shd w:val="clear" w:color="auto" w:fill="FFFFFF"/>
              </w:rPr>
              <w:fldChar w:fldCharType="end"/>
            </w:r>
          </w:p>
        </w:tc>
      </w:tr>
      <w:tr w:rsidR="007B7129" w:rsidRPr="007B7129" w14:paraId="334A83FA" w14:textId="77777777" w:rsidTr="00562397">
        <w:tc>
          <w:tcPr>
            <w:tcW w:w="1795" w:type="dxa"/>
          </w:tcPr>
          <w:p w14:paraId="555B4C6B"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3.4</w:t>
            </w:r>
          </w:p>
        </w:tc>
        <w:tc>
          <w:tcPr>
            <w:tcW w:w="2160" w:type="dxa"/>
          </w:tcPr>
          <w:p w14:paraId="2A8F8A1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Quassidine B</w:t>
            </w:r>
          </w:p>
        </w:tc>
        <w:tc>
          <w:tcPr>
            <w:tcW w:w="1880" w:type="dxa"/>
          </w:tcPr>
          <w:p w14:paraId="5FB1CA2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Stem</w:t>
            </w:r>
          </w:p>
        </w:tc>
        <w:tc>
          <w:tcPr>
            <w:tcW w:w="3515" w:type="dxa"/>
          </w:tcPr>
          <w:p w14:paraId="42A4472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Anti-inflammatory</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{"citationID":"zN89JNlE","properties":{"formattedCitation":"\\super 8\\nosupersub{}","plainCitation":"8","noteIndex":0},"citationItems":[{"id":347,"uris":["http://zotero.org/users/6503767/items/PNWG4FBH"],"itemData":{"id":347,"type":"article-journal","abstract":"Four new bis-β-carboline alkaloids, quassidines A−D (1−4), together with a known alkaloid, picrasidine C (5), were isolated from the stems of Picrasma quassioides. Quassidine A (1) is the first reported bis-β-carboline alkaloid possessing a novel cyclobutane moiety. The structures of the new compounds were determined on the basis of their 1D and 2D NMR and X-ray diffraction data. A possible biogenetic pathway for these alkaloids was proposed, and all compounds were evaluated for anti-inflammatory activity. Only quassidine A (1) showed weak activity.","container-title":"Journal of Natural Products","DOI":"10.1021/np900538r","ISSN":"0163-3864","issue":"2","journalAbbreviation":"J. Nat. Prod.","note":"publisher: American Chemical Society","page":"167-171","source":"ACS Publications","title":"Quassidines A−D, Bis-β-carboline Alkaloids from the Stems of Picrasma quassioides","volume":"73","author":[{"family":"Jiao","given":"Wei-Hua"},{"family":"Gao","given":"Hao"},{"family":"Li","given":"Chen-Yang"},{"family":"Zhao","given":"Feng"},{"family":"Jiang","given":"Ren-Wang"},{"family":"Wang","given":"Ying"},{"family":"Zhou","given":"Guang-Xiong"},{"family":"Yao","given":"Xin-Sheng"}],"issued":{"date-parts":[["2010",2,26]]}}}],"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8</w:t>
            </w:r>
            <w:r w:rsidRPr="007B7129">
              <w:rPr>
                <w:rFonts w:cs="Times New Roman"/>
                <w:color w:val="000000"/>
                <w:szCs w:val="24"/>
                <w:shd w:val="clear" w:color="auto" w:fill="FFFFFF"/>
              </w:rPr>
              <w:fldChar w:fldCharType="end"/>
            </w:r>
          </w:p>
        </w:tc>
      </w:tr>
      <w:tr w:rsidR="007B7129" w:rsidRPr="007B7129" w14:paraId="53A45606" w14:textId="77777777" w:rsidTr="00562397">
        <w:tc>
          <w:tcPr>
            <w:tcW w:w="1795" w:type="dxa"/>
          </w:tcPr>
          <w:p w14:paraId="4CB5DB5F"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3.5</w:t>
            </w:r>
          </w:p>
        </w:tc>
        <w:tc>
          <w:tcPr>
            <w:tcW w:w="2160" w:type="dxa"/>
          </w:tcPr>
          <w:p w14:paraId="77ADA54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Quassidine C</w:t>
            </w:r>
          </w:p>
        </w:tc>
        <w:tc>
          <w:tcPr>
            <w:tcW w:w="1880" w:type="dxa"/>
          </w:tcPr>
          <w:p w14:paraId="5BAA5F7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Stem</w:t>
            </w:r>
          </w:p>
        </w:tc>
        <w:tc>
          <w:tcPr>
            <w:tcW w:w="3515" w:type="dxa"/>
          </w:tcPr>
          <w:p w14:paraId="321E68B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Anti-inflammatory</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{"citationID":"BbnW3GTN","properties":{"formattedCitation":"\\super 8\\nosupersub{}","plainCitation":"8","noteIndex":0},"citationItems":[{"id":347,"uris":["http://zotero.org/users/6503767/items/PNWG4FBH"],"itemData":{"id":347,"type":"article-journal","abstract":"Four new bis-β-carboline alkaloids, quassidines A−D (1−4), together with a known alkaloid, picrasidine C (5), were isolated from the stems of Picrasma quassioides. Quassidine A (1) is the first reported bis-β-carboline alkaloid possessing a novel cyclobutane moiety. The structures of the new compounds were determined on the basis of their 1D and 2D NMR and X-ray diffraction data. A possible biogenetic pathway for these alkaloids was proposed, and all compounds were evaluated for anti-inflammatory activity. Only quassidine A (1) showed weak activity.","container-title":"Journal of Natural Products","DOI":"10.1021/np900538r","ISSN":"0163-3864","issue":"2","journalAbbreviation":"J. Nat. Prod.","note":"publisher: American Chemical Society","page":"167-171","source":"ACS Publications","title":"Quassidines A−D, Bis-β-carboline Alkaloids from the Stems of Picrasma quassioides","volume":"73","author":[{"family":"Jiao","given":"Wei-Hua"},{"family":"Gao","given":"Hao"},{"family":"Li","given":"Chen-Yang"},{"family":"Zhao","given":"Feng"},{"family":"Jiang","given":"Ren-Wang"},{"family":"Wang","given":"Ying"},{"family":"Zhou","given":"Guang-Xiong"},{"family":"Yao","given":"Xin-Sheng"}],"issued":{"date-parts":[["2010",2,26]]}}}],"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8</w:t>
            </w:r>
            <w:r w:rsidRPr="007B7129">
              <w:rPr>
                <w:rFonts w:cs="Times New Roman"/>
                <w:color w:val="000000"/>
                <w:szCs w:val="24"/>
                <w:shd w:val="clear" w:color="auto" w:fill="FFFFFF"/>
              </w:rPr>
              <w:fldChar w:fldCharType="end"/>
            </w:r>
          </w:p>
        </w:tc>
      </w:tr>
      <w:tr w:rsidR="007B7129" w:rsidRPr="007B7129" w14:paraId="7AC58C61" w14:textId="77777777" w:rsidTr="00562397">
        <w:tc>
          <w:tcPr>
            <w:tcW w:w="1795" w:type="dxa"/>
          </w:tcPr>
          <w:p w14:paraId="628515B2"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3.6</w:t>
            </w:r>
          </w:p>
        </w:tc>
        <w:tc>
          <w:tcPr>
            <w:tcW w:w="2160" w:type="dxa"/>
          </w:tcPr>
          <w:p w14:paraId="269E2EA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Quassidine D</w:t>
            </w:r>
          </w:p>
        </w:tc>
        <w:tc>
          <w:tcPr>
            <w:tcW w:w="1880" w:type="dxa"/>
          </w:tcPr>
          <w:p w14:paraId="1D6F654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Stem</w:t>
            </w:r>
          </w:p>
        </w:tc>
        <w:tc>
          <w:tcPr>
            <w:tcW w:w="3515" w:type="dxa"/>
          </w:tcPr>
          <w:p w14:paraId="558C19C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Anti-inflammatory</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{"citationID":"PD07HXSM","properties":{"formattedCitation":"\\super 8\\nosupersub{}","plainCitation":"8","noteIndex":0},"citationItems":[{"id":347,"uris":["http://zotero.org/users/6503767/items/PNWG4FBH"],"itemData":{"id":347,"type":"article-journal","abstract":"Four new bis-β-carboline alkaloids, quassidines A−D (1−4), together with a known alkaloid, picrasidine C (5), were isolated from the stems of Picrasma quassioides. Quassidine A (1) is the first reported bis-β-carboline alkaloid possessing a novel cyclobutane moiety. The structures of the new compounds were determined on the basis of their 1D and 2D NMR and X-ray diffraction data. A possible biogenetic pathway for these alkaloids was proposed, and all compounds were evaluated for anti-inflammatory activity. Only quassidine A (1) showed weak activity.","container-title":"Journal of Natural Products","DOI":"10.1021/np900538r","ISSN":"0163-3864","issue":"2","journalAbbreviation":"J. Nat. Prod.","note":"publisher: American Chemical Society","page":"167-171","source":"ACS Publications","title":"Quassidines A−D, Bis-β-carboline Alkaloids from the Stems of Picrasma quassioides","volume":"73","author":[{"family":"Jiao","given":"Wei-Hua"},{"family":"Gao","given":"Hao"},{"family":"Li","given":"Chen-Yang"},{"family":"Zhao","given":"Feng"},{"family":"Jiang","given":"Ren-Wang"},{"family":"Wang","given":"Ying"},{"family":"Zhou","given":"Guang-Xiong"},{"family":"Yao","given":"Xin-Sheng"}],"issued":{"date-parts":[["2010",2,26]]}}}],"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8</w:t>
            </w:r>
            <w:r w:rsidRPr="007B7129">
              <w:rPr>
                <w:rFonts w:cs="Times New Roman"/>
                <w:color w:val="000000"/>
                <w:szCs w:val="24"/>
                <w:shd w:val="clear" w:color="auto" w:fill="FFFFFF"/>
              </w:rPr>
              <w:fldChar w:fldCharType="end"/>
            </w:r>
          </w:p>
        </w:tc>
      </w:tr>
      <w:tr w:rsidR="007B7129" w:rsidRPr="007B7129" w14:paraId="14C15BD5" w14:textId="77777777" w:rsidTr="00562397">
        <w:tc>
          <w:tcPr>
            <w:tcW w:w="1795" w:type="dxa"/>
          </w:tcPr>
          <w:p w14:paraId="07A76213"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3.7</w:t>
            </w:r>
          </w:p>
        </w:tc>
        <w:tc>
          <w:tcPr>
            <w:tcW w:w="2160" w:type="dxa"/>
          </w:tcPr>
          <w:p w14:paraId="3B6A17B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Picrasidine F</w:t>
            </w:r>
          </w:p>
        </w:tc>
        <w:tc>
          <w:tcPr>
            <w:tcW w:w="1880" w:type="dxa"/>
          </w:tcPr>
          <w:p w14:paraId="701BC24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Stem or bark</w:t>
            </w:r>
          </w:p>
        </w:tc>
        <w:tc>
          <w:tcPr>
            <w:tcW w:w="3515" w:type="dxa"/>
          </w:tcPr>
          <w:p w14:paraId="73F8397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Antibacterial</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{"citationID":"YwQcvKYQ","properties":{"formattedCitation":"\\super 9\\nosupersub{}","plainCitation":"9","noteIndex":0},"citationItems":[{"id":275,"uris":["http://zotero.org/users/6503767/items/TVZLWL4D"],"itemData":{"id":275,"type":"article-journal","container-title":"Chinese Traditional and Herbal Drugs","DOI":"10.7501/j.issn.0253-2670.2015.06.004","issue":"6","page":"803-807","title":"Three bis-β-carboline alkaloids from Picrasma quassioides and their bioactivities","volume":"46","author":[{"family":"Guo-hua","given":"Shi"},{"family":"Wei-hua","given":"Jiao"},{"family":"Fan","given":"Yang"},{"family":"Hou-wen","given":"Lin"}],"issued":{"date-parts":[["2015"]]}}}],"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9</w:t>
            </w:r>
            <w:r w:rsidRPr="007B7129">
              <w:rPr>
                <w:rFonts w:cs="Times New Roman"/>
                <w:color w:val="000000"/>
                <w:szCs w:val="24"/>
                <w:shd w:val="clear" w:color="auto" w:fill="FFFFFF"/>
              </w:rPr>
              <w:fldChar w:fldCharType="end"/>
            </w:r>
            <w:r w:rsidRPr="007B7129">
              <w:rPr>
                <w:rFonts w:cs="Times New Roman"/>
                <w:color w:val="000000"/>
                <w:szCs w:val="24"/>
                <w:shd w:val="clear" w:color="auto" w:fill="FFFFFF"/>
              </w:rPr>
              <w:t xml:space="preserve"> </w:t>
            </w:r>
          </w:p>
        </w:tc>
      </w:tr>
      <w:tr w:rsidR="007B7129" w:rsidRPr="007B7129" w14:paraId="1ACEE955" w14:textId="77777777" w:rsidTr="00562397">
        <w:tc>
          <w:tcPr>
            <w:tcW w:w="1795" w:type="dxa"/>
          </w:tcPr>
          <w:p w14:paraId="58ECA683"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3.8</w:t>
            </w:r>
          </w:p>
        </w:tc>
        <w:tc>
          <w:tcPr>
            <w:tcW w:w="2160" w:type="dxa"/>
          </w:tcPr>
          <w:p w14:paraId="09BCC8E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Picrasidine G</w:t>
            </w:r>
          </w:p>
        </w:tc>
        <w:tc>
          <w:tcPr>
            <w:tcW w:w="1880" w:type="dxa"/>
          </w:tcPr>
          <w:p w14:paraId="2A74338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Stem or bark</w:t>
            </w:r>
          </w:p>
        </w:tc>
        <w:tc>
          <w:tcPr>
            <w:tcW w:w="3515" w:type="dxa"/>
          </w:tcPr>
          <w:p w14:paraId="46EA050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Antibacterial</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{"citationID":"WBmmKITG","properties":{"formattedCitation":"\\super 9\\nosupersub{}","plainCitation":"9","noteIndex":0},"citationItems":[{"id":275,"uris":["http://zotero.org/users/6503767/items/TVZLWL4D"],"itemData":{"id":275,"type":"article-journal","container-title":"Chinese Traditional and Herbal Drugs","DOI":"10.7501/j.issn.0253-2670.2015.06.004","issue":"6","page":"803-807","title":"Three bis-β-carboline alkaloids from Picrasma quassioides and their bioactivities","volume":"46","author":[{"family":"Guo-hua","given":"Shi"},{"family":"Wei-hua","given":"Jiao"},{"family":"Fan","given":"Yang"},{"family":"Hou-wen","given":"Lin"}],"issued":{"date-parts":[["2015"]]}}}],"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9</w:t>
            </w:r>
            <w:r w:rsidRPr="007B7129">
              <w:rPr>
                <w:rFonts w:cs="Times New Roman"/>
                <w:color w:val="000000"/>
                <w:szCs w:val="24"/>
                <w:shd w:val="clear" w:color="auto" w:fill="FFFFFF"/>
              </w:rPr>
              <w:fldChar w:fldCharType="end"/>
            </w:r>
            <w:r w:rsidRPr="007B7129">
              <w:rPr>
                <w:rFonts w:cs="Times New Roman"/>
                <w:color w:val="000000"/>
                <w:szCs w:val="24"/>
                <w:shd w:val="clear" w:color="auto" w:fill="FFFFFF"/>
              </w:rPr>
              <w:t>, Cytotoxic</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{"citationID":"ZUpxVePn","properties":{"formattedCitation":"\\super 10\\nosupersub{}","plainCitation":"10","noteIndex":0},"citationItems":[{"id":244,"uris":["http://zotero.org/users/6503767/items/ID7U4A4L"],"itemData":{"id":244,"type":"article-journal","abstract":"Targeted therapy is unavailable for treating patients with triple-negative breast cancer (TNBC), which accounts for approximately 15% of all breast cancers. Overexpression of epidermal growth factor receptor (EGFR) is observed in approximately 30–60% of TNBCs. Therefore, developing novel strategies for inhibiting EGFR signaling is required. In the present study, a natural compound library was screened to identify molecules that target TNBCs that overexpress EGFR. Picrasidine G (PG), a naturally occurring dimeric alkaloid produced by Picrasma quassioides, decreased the viability of the MDA-MB 468 cell line (TNBCEGFR+) compared with other breast cancer cell lines. PG treatment increased markers of apoptosis, including chromatin condensation, sub-G1 population, cleavage of caspase 3 and cleavage of poly (ADPribose) polymerase (PARP). PG inhibited the phosphorylation of signal transducer and activator of transcription 3 (STAT3) and inhibited transcription of the STAT3-target gene encoding survivin. Further, PG inhibited EGF-induced STAT3 phosphorylation but not interleukin-6 (IL-6)-induced STAT3 phosphorylation. These results suggest that PG may contribute to the development of targeted therapy of patients with EGFR-overexpressing TNBC.","container-title":"Bioorganic &amp; Medicinal Chemistry Letters","DOI":"10.1016/j.bmcl.2017.03.061","ISSN":"0960894X","issue":"11","journalAbbreviation":"Bioorganic &amp; Medicinal Chemistry Letters","language":"en","page":"2608-2612","source":"DOI.org (Crossref)","title":"Picrasidine G decreases viability of MDA-MB 468 EGFR-overexpressing triple-negative breast cancer cells through inhibition of EGFR/STAT3 signaling pathway","volume":"27","author":[{"family":"Yamashita","given":"Naoya"},{"family":"Kondo","given":"Manami"},{"family":"Zhao","given":"Shuai"},{"family":"Li","given":"Wei"},{"family":"Koike","given":"Kazuo"},{"family":"Nemoto","given":"Kiyomitsu"},{"family":"Kanno","given":"Yuichiro"}],"issued":{"date-parts":[["2017",6]]}}}],"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10</w:t>
            </w:r>
            <w:r w:rsidRPr="007B7129">
              <w:rPr>
                <w:rFonts w:cs="Times New Roman"/>
                <w:color w:val="000000"/>
                <w:szCs w:val="24"/>
                <w:shd w:val="clear" w:color="auto" w:fill="FFFFFF"/>
              </w:rPr>
              <w:fldChar w:fldCharType="end"/>
            </w:r>
          </w:p>
        </w:tc>
      </w:tr>
      <w:tr w:rsidR="007B7129" w:rsidRPr="007B7129" w14:paraId="066DFA19" w14:textId="77777777" w:rsidTr="00562397">
        <w:tc>
          <w:tcPr>
            <w:tcW w:w="1795" w:type="dxa"/>
          </w:tcPr>
          <w:p w14:paraId="0EDA1FEC"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3.9</w:t>
            </w:r>
          </w:p>
        </w:tc>
        <w:tc>
          <w:tcPr>
            <w:tcW w:w="2160" w:type="dxa"/>
          </w:tcPr>
          <w:p w14:paraId="6107637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Picrasidine S</w:t>
            </w:r>
          </w:p>
        </w:tc>
        <w:tc>
          <w:tcPr>
            <w:tcW w:w="1880" w:type="dxa"/>
          </w:tcPr>
          <w:p w14:paraId="7380D2E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Stem or bark</w:t>
            </w:r>
          </w:p>
        </w:tc>
        <w:tc>
          <w:tcPr>
            <w:tcW w:w="3515" w:type="dxa"/>
          </w:tcPr>
          <w:p w14:paraId="3027EAF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Antibacterial</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{"citationID":"Cy49DXkk","properties":{"formattedCitation":"\\super 9\\nosupersub{}","plainCitation":"9","noteIndex":0},"citationItems":[{"id":275,"uris":["http://zotero.org/users/6503767/items/TVZLWL4D"],"itemData":{"id":275,"type":"article-journal","container-title":"Chinese Traditional and Herbal Drugs","DOI":"10.7501/j.issn.0253-2670.2015.06.004","issue":"6","page":"803-807","title":"Three bis-β-carboline alkaloids from Picrasma quassioides and their bioactivities","volume":"46","author":[{"family":"Guo-hua","given":"Shi"},{"family":"Wei-hua","given":"Jiao"},{"family":"Fan","given":"Yang"},{"family":"Hou-wen","given":"Lin"}],"issued":{"date-parts":[["2015"]]}}}],"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9</w:t>
            </w:r>
            <w:r w:rsidRPr="007B7129">
              <w:rPr>
                <w:rFonts w:cs="Times New Roman"/>
                <w:color w:val="000000"/>
                <w:szCs w:val="24"/>
                <w:shd w:val="clear" w:color="auto" w:fill="FFFFFF"/>
              </w:rPr>
              <w:fldChar w:fldCharType="end"/>
            </w:r>
            <w:r w:rsidRPr="007B7129">
              <w:rPr>
                <w:rFonts w:cs="Times New Roman"/>
                <w:color w:val="000000"/>
                <w:szCs w:val="24"/>
                <w:shd w:val="clear" w:color="auto" w:fill="FFFFFF"/>
              </w:rPr>
              <w:t xml:space="preserve"> </w:t>
            </w:r>
          </w:p>
        </w:tc>
      </w:tr>
      <w:tr w:rsidR="007B7129" w:rsidRPr="007B7129" w14:paraId="25E7AC20" w14:textId="77777777" w:rsidTr="00562397">
        <w:tc>
          <w:tcPr>
            <w:tcW w:w="1795" w:type="dxa"/>
          </w:tcPr>
          <w:p w14:paraId="442047EE"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3.10</w:t>
            </w:r>
          </w:p>
        </w:tc>
        <w:tc>
          <w:tcPr>
            <w:tcW w:w="2160" w:type="dxa"/>
          </w:tcPr>
          <w:p w14:paraId="25744DC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Picrasidine T</w:t>
            </w:r>
          </w:p>
        </w:tc>
        <w:tc>
          <w:tcPr>
            <w:tcW w:w="1880" w:type="dxa"/>
          </w:tcPr>
          <w:p w14:paraId="79D9913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Bark</w:t>
            </w:r>
          </w:p>
        </w:tc>
        <w:tc>
          <w:tcPr>
            <w:tcW w:w="3515" w:type="dxa"/>
          </w:tcPr>
          <w:p w14:paraId="2AA5638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Synthetically relevant</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{"citationID":"ri0MXMGB","properties":{"formattedCitation":"\\super 11\\nosupersub{}","plainCitation":"11","noteIndex":0},"citationItems":[{"id":238,"uris":["http://zotero.org/users/6503767/items/537K9GS5"],"itemData":{"id":238,"type":"article-journal","container-title":"Phytochemistry","language":"en","page":"3375-3377","source":"Zotero","title":"Picrasidine-T, a dimeric β-carboline alkaloid from Picrasma quassioides","volume":"26","author":[{"family":"Higuchi","given":"Takeshi"},{"family":"Ohmoto","given":"Taichi"},{"family":"Koike","given":"Kazuo"}],"issued":{"date-parts":[["1987"]]}}}],"schema":"https://github.com/citation-style-language/schema/raw/master/csl-citation.json"}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11</w:t>
            </w:r>
            <w:r w:rsidRPr="007B7129">
              <w:rPr>
                <w:rFonts w:cs="Times New Roman"/>
                <w:color w:val="000000"/>
                <w:szCs w:val="24"/>
                <w:shd w:val="clear" w:color="auto" w:fill="FFFFFF"/>
              </w:rPr>
              <w:fldChar w:fldCharType="end"/>
            </w:r>
          </w:p>
        </w:tc>
      </w:tr>
      <w:tr w:rsidR="007B7129" w:rsidRPr="007B7129" w14:paraId="6502EACC" w14:textId="77777777" w:rsidTr="00562397">
        <w:tc>
          <w:tcPr>
            <w:tcW w:w="1795" w:type="dxa"/>
          </w:tcPr>
          <w:p w14:paraId="43C3140D"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3.11</w:t>
            </w:r>
          </w:p>
        </w:tc>
        <w:tc>
          <w:tcPr>
            <w:tcW w:w="2160" w:type="dxa"/>
          </w:tcPr>
          <w:p w14:paraId="2DE51B0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Quassidine I</w:t>
            </w:r>
          </w:p>
        </w:tc>
        <w:tc>
          <w:tcPr>
            <w:tcW w:w="1880" w:type="dxa"/>
          </w:tcPr>
          <w:p w14:paraId="494BA3E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Stem</w:t>
            </w:r>
          </w:p>
        </w:tc>
        <w:tc>
          <w:tcPr>
            <w:tcW w:w="3515" w:type="dxa"/>
          </w:tcPr>
          <w:p w14:paraId="75DAC6A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Cytotoxic</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{"citationID":"ded4GfdG","properties":{"formattedCitation":"\\super 12\\nosupersub{}","plainCitation":"12","noteIndex":0},"citationItems":[{"id":241,"uris":["http://zotero.org/users/6503767/items/DEIXNLNC"],"itemData":{"id":241,"type":"article-journal","abstract":"Quassidines I (1) and J (2), two pairs of new bis-β-carboline alkaloid enantiomers, were isolated from the stems of Picrasma quassioides. Their structures were determined by the analysis of spectroscopic data, including HRESIMS and 2D NMR, and conﬁrmed by single-crystal X-ray diﬀraction analysis. The racemic mixtures of 1 and 2 were resolved into two pairs of enantiomers, (+)-S-1a and (−)-R-1b and (+)-S-2a and (−)-R-2b, by HPLC using a chiral Daicel IB-3 column, respectively, which represents the ﬁrst successful example to resolve bis-β-carboline racemic mixtures. The absolute conﬁgurations of the two pairs of enantiomers were determined by comparison between the calculated and experimental ECD spectra. The cytotoxicity evaluation revealed that (+)-S-1a and (+)-S-2a showed more potent cytotoxicity against human cervical HeLa and gastric MKN28 cancer cell lines with IC50 values of 4.03−6.30 μM than their enantiomers with IC50 values of 9.64−12.3 μM; however, the two (+)-S-quassidines showed similar activities to their enantiomers against the mouse melanoma B-16 cancer cell line.","container-title":"Journal of Natural Products","DOI":"10.1021/np500801s","ISSN":"0163-3864, 1520-6025","issue":"1","journalAbbreviation":"J. Nat. Prod.","language":"en","page":"125-130","source":"DOI.org (Crossref)","title":"(±)-Quassidines I and J, Two Pairs of Cytotoxic Bis-β-carboline Alkaloid Enantiomers from &lt;i&gt;Picrasma quassioides&lt;/i&gt;","volume":"78","author":[{"family":"Jiao","given":"Wei-Hua"},{"family":"Chen","given":"Guo-Dong"},{"family":"Gao","given":"Hao"},{"family":"Li","given":"Jing"},{"family":"Gu","given":"Bin-Bin"},{"family":"Xu","given":"Ting-Ting"},{"family":"Yu","given":"Hao-Bing"},{"family":"Shi","given":"Guo-Hua"},{"family":"Yang","given":"Fan"},{"family":"Yao","given":"Xin-Sheng"},{"family":"Lin","given":"Hou-Wen"}],"issued":{"date-parts":[["2015",1,23]]}}}],"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12</w:t>
            </w:r>
            <w:r w:rsidRPr="007B7129">
              <w:rPr>
                <w:rFonts w:cs="Times New Roman"/>
                <w:color w:val="000000"/>
                <w:szCs w:val="24"/>
                <w:shd w:val="clear" w:color="auto" w:fill="FFFFFF"/>
              </w:rPr>
              <w:fldChar w:fldCharType="end"/>
            </w:r>
          </w:p>
        </w:tc>
      </w:tr>
      <w:tr w:rsidR="007B7129" w:rsidRPr="007B7129" w14:paraId="15F43AA2" w14:textId="77777777" w:rsidTr="00562397">
        <w:tc>
          <w:tcPr>
            <w:tcW w:w="1795" w:type="dxa"/>
          </w:tcPr>
          <w:p w14:paraId="3BF68BEC"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3.12</w:t>
            </w:r>
          </w:p>
        </w:tc>
        <w:tc>
          <w:tcPr>
            <w:tcW w:w="2160" w:type="dxa"/>
          </w:tcPr>
          <w:p w14:paraId="7C62A13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Quassidine J</w:t>
            </w:r>
          </w:p>
        </w:tc>
        <w:tc>
          <w:tcPr>
            <w:tcW w:w="1880" w:type="dxa"/>
          </w:tcPr>
          <w:p w14:paraId="6ECFBBE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Stem</w:t>
            </w:r>
          </w:p>
        </w:tc>
        <w:tc>
          <w:tcPr>
            <w:tcW w:w="3515" w:type="dxa"/>
          </w:tcPr>
          <w:p w14:paraId="32698A8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Cytotoxic</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{"citationID":"pAG5I2rk","properties":{"formattedCitation":"\\super 12\\nosupersub{}","plainCitation":"12","noteIndex":0},"citationItems":[{"id":241,"uris":["http://zotero.org/users/6503767/items/DEIXNLNC"],"itemData":{"id":241,"type":"article-journal","abstract":"Quassidines I (1) and J (2), two pairs of new bis-β-carboline alkaloid enantiomers, were isolated from the stems of Picrasma quassioides. Their structures were determined by the analysis of spectroscopic data, including HRESIMS and 2D NMR, and conﬁrmed by single-crystal X-ray diﬀraction analysis. The racemic mixtures of 1 and 2 were resolved into two pairs of enantiomers, (+)-S-1a and (−)-R-1b and (+)-S-2a and (−)-R-2b, by HPLC using a chiral Daicel IB-3 column, respectively, which represents the ﬁrst successful example to resolve bis-β-carboline racemic mixtures. The absolute conﬁgurations of the two pairs of enantiomers were determined by comparison between the calculated and experimental ECD spectra. The cytotoxicity evaluation revealed that (+)-S-1a and (+)-S-2a showed more potent cytotoxicity against human cervical HeLa and gastric MKN28 cancer cell lines with IC50 values of 4.03−6.30 μM than their enantiomers with IC50 values of 9.64−12.3 μM; however, the two (+)-S-quassidines showed similar activities to their enantiomers against the mouse melanoma B-16 cancer cell line.","container-title":"Journal of Natural Products","DOI":"10.1021/np500801s","ISSN":"0163-3864, 1520-6025","issue":"1","journalAbbreviation":"J. Nat. Prod.","language":"en","page":"125-130","source":"DOI.org (Crossref)","title":"(±)-Quassidines I and J, Two Pairs of Cytotoxic Bis-β-carboline Alkaloid Enantiomers from &lt;i&gt;Picrasma quassioides&lt;/i&gt;","volume":"78","author":[{"family":"Jiao","given":"Wei-Hua"},{"family":"Chen","given":"Guo-Dong"},{"family":"Gao","given":"Hao"},{"family":"Li","given":"Jing"},{"family":"Gu","given":"Bin-Bin"},{"family":"Xu","given":"Ting-Ting"},{"family":"Yu","given":"Hao-Bing"},{"family":"Shi","given":"Guo-Hua"},{"family":"Yang","given":"Fan"},{"family":"Yao","given":"Xin-Sheng"},{"family":"Lin","given":"Hou-Wen"}],"issued":{"date-parts":[["2015",1,23]]}}}],"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12</w:t>
            </w:r>
            <w:r w:rsidRPr="007B7129">
              <w:rPr>
                <w:rFonts w:cs="Times New Roman"/>
                <w:color w:val="000000"/>
                <w:szCs w:val="24"/>
                <w:shd w:val="clear" w:color="auto" w:fill="FFFFFF"/>
              </w:rPr>
              <w:fldChar w:fldCharType="end"/>
            </w:r>
          </w:p>
        </w:tc>
      </w:tr>
      <w:tr w:rsidR="007B7129" w:rsidRPr="007B7129" w14:paraId="5C55CD8D" w14:textId="77777777" w:rsidTr="00562397">
        <w:tc>
          <w:tcPr>
            <w:tcW w:w="1795" w:type="dxa"/>
          </w:tcPr>
          <w:p w14:paraId="557A074E"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3.13</w:t>
            </w:r>
          </w:p>
        </w:tc>
        <w:tc>
          <w:tcPr>
            <w:tcW w:w="2160" w:type="dxa"/>
          </w:tcPr>
          <w:p w14:paraId="45772CD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NMCA 1</w:t>
            </w:r>
          </w:p>
        </w:tc>
        <w:tc>
          <w:tcPr>
            <w:tcW w:w="1880" w:type="dxa"/>
          </w:tcPr>
          <w:p w14:paraId="0800882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Stem</w:t>
            </w:r>
          </w:p>
        </w:tc>
        <w:tc>
          <w:tcPr>
            <w:tcW w:w="3515" w:type="dxa"/>
          </w:tcPr>
          <w:p w14:paraId="17741BA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Neuroprotection</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{"citationID":"nDVKDvqp","properties":{"formattedCitation":"\\super 13\\nosupersub{}","plainCitation":"13","noteIndex":0},"citationItems":[{"id":243,"uris":["http://zotero.org/users/6503767/items/29Z3CQBV"],"itemData":{"id":243,"type":"article-journal","abstract":"Nine new N-methoxy-β-carboline alkaloids (NMCAs) (1a/1b–3a/3b and 4–6) and two known NMCAs (7 and 8) were isolated from the stems of Picrasma quassioides. Their structures were elucidated by spectroscopic data analyses, quantum chemical calculations, and single-crystal X-ray crystallographic data. An analysis of the 13C NMR chemical shifts of the N-methoxy groups in these NMCAs and 41 gathered known compounds reveals the phenomenon that the chemical shifts of all these N-methoxy groups are greater than δC 62, which can be used to recognize the N-methoxy group rapidly. In addition, the acetylcholinesterase (AChE) and Aβ42 aggregation inhibitory activities of 1–8 were evaluated. Compounds 1, 2, 7, and 8 displayed AChE inhibitory activity with IC50 values of 14.9, 13.2, 17.6, and 43.9 μM, respectively. Compound 2 showed inhibition activity against Aβ42 aggregation with an IC50 value of 10.1 μM.","container-title":"Bioorganic Chemistry","DOI":"10.1016/j.bioorg.2020.104043","ISSN":"00452068","journalAbbreviation":"Bioorganic Chemistry","language":"en","page":"104043","source":"DOI.org (Crossref)","title":"N-methoxy-β-carboline alkaloids with inhibitory activities against Aβ42 aggregation and acetylcholinesterase from the stems of Picrasma quassioides","volume":"101","author":[{"family":"Zhang","given":"Jie"},{"family":"Zhao","given":"Sen-Sen"},{"family":"Xie","given":"Jun"},{"family":"Yang","given":"Jian"},{"family":"Chen","given":"Guo-Dong"},{"family":"Hu","given":"Dan"},{"family":"Zhang","given":"Wei-Guang"},{"family":"Wang","given":"Chuan-Xi"},{"family":"Yao","given":"Xin-Sheng"},{"family":"Gao","given":"Hao"}],"issued":{"date-parts":[["2020",8]]}}}],"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13</w:t>
            </w:r>
            <w:r w:rsidRPr="007B7129">
              <w:rPr>
                <w:rFonts w:cs="Times New Roman"/>
                <w:color w:val="000000"/>
                <w:szCs w:val="24"/>
                <w:shd w:val="clear" w:color="auto" w:fill="FFFFFF"/>
              </w:rPr>
              <w:fldChar w:fldCharType="end"/>
            </w:r>
          </w:p>
        </w:tc>
      </w:tr>
      <w:tr w:rsidR="007B7129" w:rsidRPr="007B7129" w14:paraId="7A1DB5D6" w14:textId="77777777" w:rsidTr="00562397">
        <w:tc>
          <w:tcPr>
            <w:tcW w:w="1795" w:type="dxa"/>
          </w:tcPr>
          <w:p w14:paraId="62BB8C09"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3.14</w:t>
            </w:r>
          </w:p>
        </w:tc>
        <w:tc>
          <w:tcPr>
            <w:tcW w:w="2160" w:type="dxa"/>
          </w:tcPr>
          <w:p w14:paraId="4FF8321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NMCA 2</w:t>
            </w:r>
          </w:p>
        </w:tc>
        <w:tc>
          <w:tcPr>
            <w:tcW w:w="1880" w:type="dxa"/>
          </w:tcPr>
          <w:p w14:paraId="7FA6DA7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Stem</w:t>
            </w:r>
          </w:p>
        </w:tc>
        <w:tc>
          <w:tcPr>
            <w:tcW w:w="3515" w:type="dxa"/>
          </w:tcPr>
          <w:p w14:paraId="3F1740C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Neuroprotection</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{"citationID":"reUBYvwM","properties":{"formattedCitation":"\\super 13\\nosupersub{}","plainCitation":"13","noteIndex":0},"citationItems":[{"id":243,"uris":["http://zotero.org/users/6503767/items/29Z3CQBV"],"itemData":{"id":243,"type":"article-journal","abstract":"Nine new N-methoxy-β-carboline alkaloids (NMCAs) (1a/1b–3a/3b and 4–6) and two known NMCAs (7 and 8) were isolated from the stems of Picrasma quassioides. Their structures were elucidated by spectroscopic data analyses, quantum chemical calculations, and single-crystal X-ray crystallographic data. An analysis of the 13C NMR chemical shifts of the N-methoxy groups in these NMCAs and 41 gathered known compounds reveals the phenomenon that the chemical shifts of all these N-methoxy groups are greater than δC 62, which can be used to recognize the N-methoxy group rapidly. In addition, the acetylcholinesterase (AChE) and Aβ42 aggregation inhibitory activities of 1–8 were evaluated. Compounds 1, 2, 7, and 8 displayed AChE inhibitory activity with IC50 values of 14.9, 13.2, 17.6, and 43.9 μM, respectively. Compound 2 showed inhibition activity against Aβ42 aggregation with an IC50 value of 10.1 μM.","container-title":"Bioorganic Chemistry","DOI":"10.1016/j.bioorg.2020.104043","ISSN":"00452068","journalAbbreviation":"Bioorganic Chemistry","language":"en","page":"104043","source":"DOI.org (Crossref)","title":"N-methoxy-β-carboline alkaloids with inhibitory activities against Aβ42 aggregation and acetylcholinesterase from the stems of Picrasma quassioides","volume":"101","author":[{"family":"Zhang","given":"Jie"},{"family":"Zhao","given":"Sen-Sen"},{"family":"Xie","given":"Jun"},{"family":"Yang","given":"Jian"},{"family":"Chen","given":"Guo-Dong"},{"family":"Hu","given":"Dan"},{"family":"Zhang","given":"Wei-Guang"},{"family":"Wang","given":"Chuan-Xi"},{"family":"Yao","given":"Xin-Sheng"},{"family":"Gao","given":"Hao"}],"issued":{"date-parts":[["2020",8]]}}}],"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13</w:t>
            </w:r>
            <w:r w:rsidRPr="007B7129">
              <w:rPr>
                <w:rFonts w:cs="Times New Roman"/>
                <w:color w:val="000000"/>
                <w:szCs w:val="24"/>
                <w:shd w:val="clear" w:color="auto" w:fill="FFFFFF"/>
              </w:rPr>
              <w:fldChar w:fldCharType="end"/>
            </w:r>
          </w:p>
        </w:tc>
      </w:tr>
      <w:tr w:rsidR="007B7129" w:rsidRPr="007B7129" w14:paraId="2297B907" w14:textId="77777777" w:rsidTr="00562397">
        <w:tc>
          <w:tcPr>
            <w:tcW w:w="1795" w:type="dxa"/>
          </w:tcPr>
          <w:p w14:paraId="60D5C9E0"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3.15</w:t>
            </w:r>
          </w:p>
        </w:tc>
        <w:tc>
          <w:tcPr>
            <w:tcW w:w="2160" w:type="dxa"/>
          </w:tcPr>
          <w:p w14:paraId="04AE8F6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Picrasidine M</w:t>
            </w:r>
          </w:p>
        </w:tc>
        <w:tc>
          <w:tcPr>
            <w:tcW w:w="1880" w:type="dxa"/>
          </w:tcPr>
          <w:p w14:paraId="37BF89DB"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Root bark</w:t>
            </w:r>
          </w:p>
        </w:tc>
        <w:tc>
          <w:tcPr>
            <w:tcW w:w="3515" w:type="dxa"/>
          </w:tcPr>
          <w:p w14:paraId="4A185593"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Unknown</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{"citationID":"lGvEr9pJ","properties":{"formattedCitation":"\\super 14\\nosupersub{}","plainCitation":"14","noteIndex":0},"citationItems":[{"id":263,"uris":["http://zotero.org/users/6503767/items/3B2B5EJG"],"itemData":{"id":263,"type":"article-journal","container-title":"Chemical and Pharmaceutical Bulletin","DOI":"10.1248/cpb.33.3847","ISSN":"0009-2363, 1347-5223","issue":"9","journalAbbreviation":"Chem. Pharm. Bull.","language":"en","page":"3847-3851","source":"DOI.org (Crossref)","title":"Studies on the alkaloids from Picrasma quassioides BENNET. V. Structures of picrasidines L, M, and P.","volume":"33","author":[{"family":"Ohmoto","given":"Taichi"},{"family":"Koike","given":"Kazuo"}],"issued":{"date-parts":[["1985"]]}}}],"schema":"https://github.com/citation-style-language/schema/raw/master/csl-citation.json"}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14</w:t>
            </w:r>
            <w:r w:rsidRPr="007B7129">
              <w:rPr>
                <w:rFonts w:cs="Times New Roman"/>
                <w:color w:val="000000"/>
                <w:szCs w:val="24"/>
                <w:shd w:val="clear" w:color="auto" w:fill="FFFFFF"/>
              </w:rPr>
              <w:fldChar w:fldCharType="end"/>
            </w:r>
          </w:p>
        </w:tc>
      </w:tr>
      <w:tr w:rsidR="007B7129" w:rsidRPr="007B7129" w14:paraId="51822AE9" w14:textId="77777777" w:rsidTr="00562397">
        <w:tc>
          <w:tcPr>
            <w:tcW w:w="1795" w:type="dxa"/>
          </w:tcPr>
          <w:p w14:paraId="31A2061B"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3.16</w:t>
            </w:r>
          </w:p>
        </w:tc>
        <w:tc>
          <w:tcPr>
            <w:tcW w:w="2160" w:type="dxa"/>
          </w:tcPr>
          <w:p w14:paraId="2FD0F50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Picrasidine N</w:t>
            </w:r>
          </w:p>
        </w:tc>
        <w:tc>
          <w:tcPr>
            <w:tcW w:w="1880" w:type="dxa"/>
          </w:tcPr>
          <w:p w14:paraId="7E53EDDE"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Root bark</w:t>
            </w:r>
          </w:p>
        </w:tc>
        <w:tc>
          <w:tcPr>
            <w:tcW w:w="3515" w:type="dxa"/>
          </w:tcPr>
          <w:p w14:paraId="74D95AED"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Glucose and lipid homeostasis</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{"citationID":"bRDgZ8G5","properties":{"formattedCitation":"\\super 15\\nosupersub{}","plainCitation":"15","noteIndex":0},"citationItems":[{"id":271,"uris":["http://zotero.org/users/6503767/items/VKZJGAVR"],"itemData":{"id":271,"type":"article-journal","abstract":"Recently, growing evidence of the pivotal roles of peroxisome proliferator-activated receptor (PPAR) β/δ in various physiological functions, including lipid homeostasis, cancer, and inﬂammation, has raised interest in this receptor. In this study, the naturally occurring dimeric alkaloid picrasidine N (1) from Picrasma quassioides was identiﬁed as a novel PPARβ/δ agonist from a library consisting of plant extracts and natural compounds using a mammalian one-hybrid assay, and this compound was characterized. Compound 1 activated PPARβ/δ but did not activate or slightly activated PPARα and PPARγ. Furthermore, a peroxisome proliferator response element-driven luciferase reporter gene assay demonstrated that 1 enhanced PPARβ/δ transcriptional activity. Moreover, 1 selectively induced mRNA expression of ANGPTL4, which is a PPAR target gene. This observation is quite diﬀerent from previously identiﬁed synthetic PPARβ/δ agonists, which can induce the expression of not only ANGPTL4 but also other PPAR target genes, such as ADRP, PDK4, and CPT-1. These results demonstrate that 1 is a potent subtype-selective and gene-selective PPARβ/δ agonist, suggesting its potential as a lead compound for further drug development. This compound would also be a useful chemical tool for elucidating the mechanism of PPARβ/δ-regulated speciﬁc gene expression and the biological signiﬁcance of PPARβ/δ.","container-title":"Journal of Natural Products","DOI":"10.1021/acs.jnatprod.5b00909","ISSN":"0163-3864, 1520-6025","issue":"4","journalAbbreviation":"J. Nat. Prod.","language":"en","page":"879-885","source":"DOI.org (Crossref)","title":"Picrasidine N Is a Subtype-Selective PPARβ/δ Agonist","volume":"79","author":[{"family":"Zhao","given":"Shuai"},{"family":"Kanno","given":"Yuichiro"},{"family":"Li","given":"Wei"},{"family":"Wakatabi","given":"Honami"},{"family":"Sasaki","given":"Tatsunori"},{"family":"Koike","given":"Kazuo"},{"family":"Nemoto","given":"Kiyomitsu"},{"family":"Li","given":"Huicheng"}],"issued":{"date-parts":[["2016",4,22]]}}}],"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15</w:t>
            </w:r>
            <w:r w:rsidRPr="007B7129">
              <w:rPr>
                <w:rFonts w:cs="Times New Roman"/>
                <w:color w:val="000000"/>
                <w:szCs w:val="24"/>
                <w:shd w:val="clear" w:color="auto" w:fill="FFFFFF"/>
              </w:rPr>
              <w:fldChar w:fldCharType="end"/>
            </w:r>
          </w:p>
        </w:tc>
      </w:tr>
      <w:tr w:rsidR="007B7129" w:rsidRPr="007B7129" w14:paraId="7207FAF4" w14:textId="77777777" w:rsidTr="00562397">
        <w:tc>
          <w:tcPr>
            <w:tcW w:w="1795" w:type="dxa"/>
          </w:tcPr>
          <w:p w14:paraId="09B50D61" w14:textId="77777777" w:rsidR="007B7129" w:rsidRPr="007B7129" w:rsidRDefault="007B7129" w:rsidP="007B7129">
            <w:pPr>
              <w:spacing w:line="240" w:lineRule="auto"/>
              <w:contextualSpacing/>
              <w:jc w:val="center"/>
              <w:rPr>
                <w:rFonts w:cs="Times New Roman"/>
                <w:b/>
                <w:bCs/>
                <w:color w:val="000000"/>
                <w:szCs w:val="24"/>
                <w:shd w:val="clear" w:color="auto" w:fill="FFFFFF"/>
              </w:rPr>
            </w:pPr>
            <w:r w:rsidRPr="007B7129">
              <w:rPr>
                <w:rFonts w:cs="Times New Roman"/>
                <w:b/>
                <w:bCs/>
                <w:color w:val="000000"/>
                <w:szCs w:val="24"/>
                <w:shd w:val="clear" w:color="auto" w:fill="FFFFFF"/>
              </w:rPr>
              <w:t>3.17</w:t>
            </w:r>
          </w:p>
        </w:tc>
        <w:tc>
          <w:tcPr>
            <w:tcW w:w="2160" w:type="dxa"/>
          </w:tcPr>
          <w:p w14:paraId="01CF08D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Quassidine A</w:t>
            </w:r>
          </w:p>
        </w:tc>
        <w:tc>
          <w:tcPr>
            <w:tcW w:w="1880" w:type="dxa"/>
          </w:tcPr>
          <w:p w14:paraId="7E923E2C"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Stem</w:t>
            </w:r>
          </w:p>
        </w:tc>
        <w:tc>
          <w:tcPr>
            <w:tcW w:w="3515" w:type="dxa"/>
          </w:tcPr>
          <w:p w14:paraId="4B680EAE"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Anti-inflammatory</w:t>
            </w:r>
            <w:r w:rsidRPr="007B7129">
              <w:rPr>
                <w:rFonts w:cs="Times New Roman"/>
                <w:color w:val="000000"/>
                <w:szCs w:val="24"/>
                <w:shd w:val="clear" w:color="auto" w:fill="FFFFFF"/>
              </w:rPr>
              <w:fldChar w:fldCharType="begin"/>
            </w:r>
            <w:r w:rsidRPr="007B7129">
              <w:rPr>
                <w:rFonts w:cs="Times New Roman"/>
                <w:color w:val="000000"/>
                <w:szCs w:val="24"/>
                <w:shd w:val="clear" w:color="auto" w:fill="FFFFFF"/>
              </w:rPr>
              <w:instrText xml:space="preserve"> ADDIN ZOTERO_ITEM CSL_CITATION {"citationID":"dPsOwCgH","properties":{"formattedCitation":"\\super 8\\nosupersub{}","plainCitation":"8","noteIndex":0},"citationItems":[{"id":347,"uris":["http://zotero.org/users/6503767/items/PNWG4FBH"],"itemData":{"id":347,"type":"article-journal","abstract":"Four new bis-β-carboline alkaloids, quassidines A−D (1−4), together with a known alkaloid, picrasidine C (5), were isolated from the stems of Picrasma quassioides. Quassidine A (1) is the first reported bis-β-carboline alkaloid possessing a novel cyclobutane moiety. The structures of the new compounds were determined on the basis of their 1D and 2D NMR and X-ray diffraction data. A possible biogenetic pathway for these alkaloids was proposed, and all compounds were evaluated for anti-inflammatory activity. Only quassidine A (1) showed weak activity.","container-title":"Journal of Natural Products","DOI":"10.1021/np900538r","ISSN":"0163-3864","issue":"2","journalAbbreviation":"J. Nat. Prod.","note":"publisher: American Chemical Society","page":"167-171","source":"ACS Publications","title":"Quassidines A−D, Bis-β-carboline Alkaloids from the Stems of Picrasma quassioides","volume":"73","author":[{"family":"Jiao","given":"Wei-Hua"},{"family":"Gao","given":"Hao"},{"family":"Li","given":"Chen-Yang"},{"family":"Zhao","given":"Feng"},{"family":"Jiang","given":"Ren-Wang"},{"family":"Wang","given":"Ying"},{"family":"Zhou","given":"Guang-Xiong"},{"family":"Yao","given":"Xin-Sheng"}],"issued":{"date-parts":[["2010",2,26]]}}}],"schema":"https://github.com/citation-style-language/schema/raw/master/csl-citation.json"} </w:instrText>
            </w:r>
            <w:r w:rsidRPr="007B7129">
              <w:rPr>
                <w:rFonts w:cs="Times New Roman"/>
                <w:color w:val="000000"/>
                <w:szCs w:val="24"/>
                <w:shd w:val="clear" w:color="auto" w:fill="FFFFFF"/>
              </w:rPr>
              <w:fldChar w:fldCharType="separate"/>
            </w:r>
            <w:r w:rsidRPr="007B7129">
              <w:rPr>
                <w:rFonts w:cs="Times New Roman"/>
                <w:color w:val="000000"/>
                <w:szCs w:val="24"/>
                <w:shd w:val="clear" w:color="auto" w:fill="FFFFFF"/>
                <w:vertAlign w:val="superscript"/>
              </w:rPr>
              <w:t>8</w:t>
            </w:r>
            <w:r w:rsidRPr="007B7129">
              <w:rPr>
                <w:rFonts w:cs="Times New Roman"/>
                <w:color w:val="000000"/>
                <w:szCs w:val="24"/>
                <w:shd w:val="clear" w:color="auto" w:fill="FFFFFF"/>
              </w:rPr>
              <w:fldChar w:fldCharType="end"/>
            </w:r>
          </w:p>
        </w:tc>
      </w:tr>
    </w:tbl>
    <w:p w14:paraId="3733695D" w14:textId="77777777" w:rsidR="007B7129" w:rsidRPr="007B7129" w:rsidRDefault="007B7129" w:rsidP="007B7129">
      <w:pPr>
        <w:spacing w:after="0"/>
        <w:rPr>
          <w:rFonts w:cs="Times New Roman"/>
          <w:szCs w:val="24"/>
        </w:rPr>
      </w:pPr>
      <w:r w:rsidRPr="007B7129">
        <w:rPr>
          <w:rFonts w:cs="Times New Roman"/>
          <w:szCs w:val="24"/>
        </w:rPr>
        <w:t>NMCA = N-methoxy-β-carboline alkaloids</w:t>
      </w:r>
    </w:p>
    <w:p w14:paraId="4A5DDF0A" w14:textId="77777777" w:rsidR="007B7129" w:rsidRPr="007B7129" w:rsidRDefault="007B7129" w:rsidP="007B7129">
      <w:pPr>
        <w:spacing w:after="0"/>
        <w:rPr>
          <w:rFonts w:cs="Times New Roman"/>
          <w:szCs w:val="24"/>
        </w:rPr>
      </w:pPr>
    </w:p>
    <w:p w14:paraId="0E425CB3" w14:textId="5706AF16" w:rsidR="007B7129" w:rsidRPr="007B7129" w:rsidRDefault="007B7129" w:rsidP="007B7129">
      <w:pPr>
        <w:ind w:firstLine="720"/>
        <w:rPr>
          <w:b/>
          <w:bCs/>
        </w:rPr>
      </w:pPr>
      <w:r w:rsidRPr="007B7129">
        <w:rPr>
          <w:rFonts w:cs="Times New Roman"/>
          <w:szCs w:val="24"/>
        </w:rPr>
        <w:t xml:space="preserve">The various pharmacological benefits exhibited by </w:t>
      </w:r>
      <w:r w:rsidRPr="007B7129">
        <w:rPr>
          <w:rFonts w:cs="Times New Roman"/>
          <w:i/>
          <w:iCs/>
          <w:szCs w:val="24"/>
        </w:rPr>
        <w:t xml:space="preserve">P. </w:t>
      </w:r>
      <w:proofErr w:type="spellStart"/>
      <w:r w:rsidRPr="007B7129">
        <w:rPr>
          <w:rFonts w:cs="Times New Roman"/>
          <w:i/>
          <w:iCs/>
          <w:szCs w:val="24"/>
        </w:rPr>
        <w:t>quassioides</w:t>
      </w:r>
      <w:proofErr w:type="spellEnd"/>
      <w:r w:rsidRPr="007B7129">
        <w:rPr>
          <w:rFonts w:cs="Times New Roman"/>
          <w:szCs w:val="24"/>
        </w:rPr>
        <w:t xml:space="preserve"> extracts are attributed to approximately 94 distinct phytochemicals</w:t>
      </w:r>
      <w:r w:rsidRPr="007B7129">
        <w:rPr>
          <w:rFonts w:cs="Times New Roman"/>
          <w:szCs w:val="24"/>
        </w:rPr>
        <w:fldChar w:fldCharType="begin"/>
      </w:r>
      <w:r w:rsidRPr="007B7129">
        <w:rPr>
          <w:rFonts w:cs="Times New Roman"/>
          <w:szCs w:val="24"/>
        </w:rPr>
        <w:instrText xml:space="preserve"> ADDIN ZOTERO_ITEM CSL_CITATION {"citationID":"bNL4aGxt","properties":{"formattedCitation":"\\super 5\\nosupersub{}","plainCitation":"5","noteIndex":0},"citationItems":[{"id":342,"uris":["http://zotero.org/users/6503767/items/X63SKJA8"],"itemData":{"id":342,"type":"article-journal","abstract":"Picrasma quassioides is a member of the Simaroubaceae family commonly grown in the regions of Asia, the Himalayas, and India and has been used as a traditional herbal medicine to treat various illnesses such as fever, gastric discomfort, and pediculosis. This study aims to critically review the presence of phytochemicals in P. quassioides and correlate their pharmacological activities with the significance of its use as traditional medicine. Data were collected by reviewing numerous scientific articles from several journal databases on the pharmacological activities of P. quassioides using certain keywords. As a result, approximately 94 phytochemicals extracted from P. quassioides were found to be associated with quassinoids, β-carbolines and canthinones. These molecules exhibited various pharmacological benefits such as anti-inflammatory, antioxidant, anti-cancer, anti-microbial, and anti-parasitic activities which help to treat different diseases. However, P. quassioides were also found to have several toxicity effects in high doses, although the evidence regarding these effects is limited in proving its safe use and efficacy as herbal medicine. Accordingly, while it can be concluded that P. quassioides may have many potential pharmacological benefits with more phytochemistry discoveries, further research is required to determine its real value in terms of quality, safety, and efficacy of use.","container-title":"Nutrients","DOI":"10.3390/nu12092584","ISSN":"2072-6643","issue":"9","journalAbbreviation":"Nutrients","note":"PMID: 32858812\nPMCID: PMC7551903","page":"2584","source":"PubMed Central","title":"Phytochemistry, Traditional Use and Pharmacological Activity of Picrasma quassioides: A Critical Reviews","title-short":"Phytochemistry, Traditional Use and Pharmacological Activity of Picrasma quassioides","volume":"12","author":[{"family":"Mohd Jamil","given":"Muhammad Daniel Hakim"},{"family":"Taher","given":"Muhammad"},{"family":"Susanti","given":"Deny"},{"family":"Rahman","given":"Md Atiar"},{"family":"Zakaria","given":"Zainul Amiruddin"}],"issued":{"date-parts":[["2020",8,26]]}}}],"schema":"https://github.com/citation-style-language/schema/raw/master/csl-citation.json"}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5</w:t>
      </w:r>
      <w:r w:rsidRPr="007B7129">
        <w:rPr>
          <w:rFonts w:cs="Times New Roman"/>
          <w:szCs w:val="24"/>
        </w:rPr>
        <w:fldChar w:fldCharType="end"/>
      </w:r>
      <w:r w:rsidRPr="007B7129">
        <w:rPr>
          <w:rFonts w:cs="Times New Roman"/>
          <w:szCs w:val="24"/>
        </w:rPr>
        <w:t xml:space="preserve"> that are structurally categorized as quassinoids,</w:t>
      </w:r>
      <w:r w:rsidRPr="007B7129">
        <w:rPr>
          <w:rFonts w:cs="Times New Roman"/>
          <w:szCs w:val="24"/>
        </w:rPr>
        <w:fldChar w:fldCharType="begin"/>
      </w:r>
      <w:r w:rsidRPr="007B7129">
        <w:rPr>
          <w:rFonts w:cs="Times New Roman"/>
          <w:szCs w:val="24"/>
        </w:rPr>
        <w:instrText xml:space="preserve"> ADDIN ZOTERO_ITEM CSL_CITATION {"citationID":"t9uRTr40","properties":{"formattedCitation":"\\super 16\\nosupersub{}","plainCitation":"16","noteIndex":0},"citationItems":[{"id":361,"uris":["http://zotero.org/users/6503767/items/E6Q69E89"],"itemData":{"id":361,"type":"article-journal","abstract":"Quassinoids are a class of highly oxygenated degraded triterpenoids exclusively discovered from plants of the Simaroubaceae family. In this study, eight new (1–8) and 15 known quassinoids (9–23) were isolated from an extract of the stems of Picrasma quassioides. The structures were elucidated by spectroscopic analysis and electronic circular dichroism spectra combined with quantum chemical calculations. Compounds 4 and 5 represent the first examples of 18-nor-quassinoids from P. quassioides. All isolates were screened for their neuroprotective activities toward H2O2-induced cell damage in SH-SY5Y cells. Further study revealed that the potential protective activities of these compounds appeared to occur via the suppression of cell apoptosis and downregulation of caspase-3 activation.","container-title":"Journal of Natural Products","DOI":"10.1021/acs.jnatprod.8b00470","ISSN":"0163-3864","issue":"4","journalAbbreviation":"J. Nat. Prod.","note":"publisher: American Chemical Society","page":"714-723","source":"ACS Publications","title":"Quassinoids from Picrasma quassioides and Their Neuroprotective Effects","volume":"82","author":[{"family":"Zhao","given":"Wen-Yu"},{"family":"Song","given":"Xiao-Yu"},{"family":"Zhao","given":"Lu"},{"family":"Zou","given":"Chun-Xin"},{"family":"Zhou","given":"Wei-Yu"},{"family":"Lin","given":"Bin"},{"family":"Yao","given":"Guo-Dong"},{"family":"Huang","given":"Xiao-Xiao"},{"family":"Song","given":"Shao-Jiang"}],"issued":{"date-parts":[["2019",4,26]]}}}],"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16</w:t>
      </w:r>
      <w:r w:rsidRPr="007B7129">
        <w:rPr>
          <w:rFonts w:cs="Times New Roman"/>
          <w:szCs w:val="24"/>
        </w:rPr>
        <w:fldChar w:fldCharType="end"/>
      </w:r>
      <w:r w:rsidRPr="007B7129">
        <w:rPr>
          <w:rFonts w:cs="Times New Roman"/>
          <w:szCs w:val="24"/>
        </w:rPr>
        <w:t xml:space="preserve"> β-carbolines,</w:t>
      </w:r>
      <w:r w:rsidRPr="007B7129">
        <w:rPr>
          <w:rFonts w:cs="Times New Roman"/>
          <w:szCs w:val="24"/>
        </w:rPr>
        <w:fldChar w:fldCharType="begin"/>
      </w:r>
      <w:r w:rsidRPr="007B7129">
        <w:rPr>
          <w:rFonts w:cs="Times New Roman"/>
          <w:szCs w:val="24"/>
        </w:rPr>
        <w:instrText xml:space="preserve"> ADDIN ZOTERO_ITEM CSL_CITATION {"citationID":"xViIwuKB","properties":{"formattedCitation":"\\super 9,17\\nosupersub{}","plainCitation":"9,17","noteIndex":0},"citationItems":[{"id":275,"uris":["http://zotero.org/users/6503767/items/TVZLWL4D"],"itemData":{"id":275,"type":"article-journal","container-title":"Chinese Traditional and Herbal Drugs","DOI":"10.7501/j.issn.0253-2670.2015.06.004","issue":"6","page":"803-807","title":"Three bis-β-carboline alkaloids from Picrasma quassioides and their bioactivities","volume":"46","author":[{"family":"Guo-hua","given":"Shi"},{"family":"Wei-hua","given":"Jiao"},{"family":"Fan","given":"Yang"},{"family":"Hou-wen","given":"Lin"}],"issued":{"date-parts":[["2015"]]}}},{"id":245,"uris":["http://zotero.org/users/6503767/items/YU36IP3V"],"itemData":{"id":245,"type":"article-journal","abstract":"1-Acetyl-β-carboline (I), 4, 8-dimethoxy-1-ethyl-β-carboline (II), and three new alkaloids, 4, 8-dimethoxy-1-(2-methoxyethyl)-β-carboline (III), β-carbolin-1-yl 4, 8-dimethoxy-β-carbolin-1-yl-ethyl ketone (IV) and 3-methylcanthin-2, 6-dione (V), were isolated from the root of Picrasma quassioides BENNET (Simaroubaceae). The structures were elucidated on the basis of spectroscopic studies and chemical evidence.","container-title":"Chemical &amp; Pharmaceutical Bulletin","DOI":"10.1248/cpb.30.1204","issue":"4","page":"1204-1209","source":"J-Stage","title":"Studies on the Constituents of Picrasma quassioides BENNET. I. On the Alkaloidal Constituents","volume":"30","author":[{"family":"Ohmoto","given":"Taichi"},{"family":"Koike","given":"Kazuo"}],"issued":{"date-parts":[["1982"]]}}}],"schema":"https://github.com/citation-style-language/schema/raw/master/csl-citation.json"}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9,17</w:t>
      </w:r>
      <w:r w:rsidRPr="007B7129">
        <w:rPr>
          <w:rFonts w:cs="Times New Roman"/>
          <w:szCs w:val="24"/>
        </w:rPr>
        <w:fldChar w:fldCharType="end"/>
      </w:r>
      <w:r w:rsidRPr="007B7129">
        <w:rPr>
          <w:rFonts w:cs="Times New Roman"/>
          <w:szCs w:val="24"/>
        </w:rPr>
        <w:t xml:space="preserve"> canthinones,</w:t>
      </w:r>
      <w:r w:rsidRPr="007B7129">
        <w:rPr>
          <w:rFonts w:cs="Times New Roman"/>
          <w:szCs w:val="24"/>
        </w:rPr>
        <w:fldChar w:fldCharType="begin"/>
      </w:r>
      <w:r w:rsidRPr="007B7129">
        <w:rPr>
          <w:rFonts w:cs="Times New Roman"/>
          <w:szCs w:val="24"/>
        </w:rPr>
        <w:instrText xml:space="preserve"> ADDIN ZOTERO_ITEM CSL_CITATION {"citationID":"EnwXpnlA","properties":{"formattedCitation":"\\super 18\\nosupersub{}","plainCitation":"18","noteIndex":0},"citationItems":[{"id":364,"uris":["http://zotero.org/users/6503767/items/3EDN3V5V"],"itemData":{"id":364,"type":"article-journal","abstract":"A new alkaloid, 4,5-dimethoxy-10-hydroxycanthin-6-one (1), was isolated from the stem of Picrasma quassioides Bennet (Simaroubaceae) together with four known canthin-6-one alkaloids, 8-hydroxycanthin-6-one (2), 4,5-dimethoxycanthin-6-one (3), 5-hydroxy-4-methoxycanthin-6-one (4), and 3-methylcanthin-5,6-dione (5). Their structures were elucidated on the basis of spectroscopic data. The cytotoxic activity of the canthin-6-one alkaloids was evaluated using human nasopharyngeal carcinoma (CNE2) and human liver cancer (Bel-7402) cell lines. Among these isolates, compounds 1-4 exhibited significant cytotoxic activity against CNE2 cell line.","container-title":"Journal of Asian Natural Products Research","DOI":"10.1080/10286020802277956","ISSN":"1028-6020","issue":"11-12","journalAbbreviation":"J Asian Nat Prod Res","language":"eng","note":"PMID: 19031238","page":"1009-1012","source":"PubMed","title":"Canthin-6-one alkaloids from Picrasma quassioides and their cytotoxic activity","volume":"10","author":[{"family":"Jiang","given":"Mei-Xiang"},{"family":"Zhou","given":"Ying-Jun"}],"issued":{"date-parts":[["2008",12]]}}}],"schema":"https://github.com/citation-style-language/schema/raw/master/csl-citation.json"}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18</w:t>
      </w:r>
      <w:r w:rsidRPr="007B7129">
        <w:rPr>
          <w:rFonts w:cs="Times New Roman"/>
          <w:szCs w:val="24"/>
        </w:rPr>
        <w:fldChar w:fldCharType="end"/>
      </w:r>
      <w:r w:rsidRPr="007B7129">
        <w:rPr>
          <w:rFonts w:cs="Times New Roman"/>
          <w:szCs w:val="24"/>
        </w:rPr>
        <w:t xml:space="preserve"> and neolignans,</w:t>
      </w:r>
      <w:r w:rsidRPr="007B7129">
        <w:rPr>
          <w:rFonts w:cs="Times New Roman"/>
          <w:szCs w:val="24"/>
        </w:rPr>
        <w:fldChar w:fldCharType="begin"/>
      </w:r>
      <w:r w:rsidRPr="007B7129">
        <w:rPr>
          <w:rFonts w:cs="Times New Roman"/>
          <w:szCs w:val="24"/>
        </w:rPr>
        <w:instrText xml:space="preserve"> ADDIN ZOTERO_ITEM CSL_CITATION {"citationID":"1pnnWDc9","properties":{"formattedCitation":"\\super 19\\nosupersub{}","plainCitation":"19","noteIndex":0},"citationItems":[{"id":358,"uris":["http://zotero.org/users/6503767/items/BPYZ8WTW"],"itemData":{"id":358,"type":"article-journal","container-title":"Chemical &amp; Pharmaceutical Bulletin","DOI":"10.1248/cpb.32.1872","ISSN":"0009-2363","issue":"5","journalAbbreviation":"Chem Pharm Bull (Tokyo)","language":"eng","note":"PMID: 6088097","page":"1872-1877","source":"PubMed","title":"Inhibitors of cyclic AMP phosphodiesterase in Picrasma quassioides Bennet, and inhibitory activities of related beta-carboline alkaloids","volume":"32","author":[{"family":"Sung","given":"Y."},{"family":"Koike","given":"K."},{"family":"Nikaido","given":"T."},{"family":"Ohmoto","given":"T."},{"family":"Sankawa","given":"U."}],"issued":{"date-parts":[["1984",5]]}}}],"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19</w:t>
      </w:r>
      <w:r w:rsidRPr="007B7129">
        <w:rPr>
          <w:rFonts w:cs="Times New Roman"/>
          <w:szCs w:val="24"/>
        </w:rPr>
        <w:fldChar w:fldCharType="end"/>
      </w:r>
      <w:r w:rsidRPr="007B7129">
        <w:rPr>
          <w:rFonts w:cs="Times New Roman"/>
          <w:szCs w:val="24"/>
        </w:rPr>
        <w:t xml:space="preserve"> among others. This chapter will focus on the bis-β-carboline-containing alkaloids (</w:t>
      </w:r>
      <w:r w:rsidRPr="007B7129">
        <w:rPr>
          <w:rFonts w:cs="Times New Roman"/>
          <w:b/>
          <w:bCs/>
          <w:szCs w:val="24"/>
        </w:rPr>
        <w:t>3.1</w:t>
      </w:r>
      <w:r w:rsidRPr="007B7129">
        <w:rPr>
          <w:rFonts w:cs="Times New Roman"/>
          <w:szCs w:val="24"/>
        </w:rPr>
        <w:t xml:space="preserve"> – </w:t>
      </w:r>
      <w:r w:rsidRPr="007B7129">
        <w:rPr>
          <w:rFonts w:cs="Times New Roman"/>
          <w:b/>
          <w:bCs/>
          <w:szCs w:val="24"/>
        </w:rPr>
        <w:t>3.17</w:t>
      </w:r>
      <w:r w:rsidRPr="007B7129">
        <w:rPr>
          <w:rFonts w:cs="Times New Roman"/>
          <w:szCs w:val="24"/>
        </w:rPr>
        <w:t>). Representative structures and biological relevance of such compounds are shown in</w:t>
      </w:r>
      <w:r w:rsidR="005352D9">
        <w:rPr>
          <w:rFonts w:cs="Times New Roman"/>
          <w:szCs w:val="24"/>
        </w:rPr>
        <w:t xml:space="preserve"> </w:t>
      </w:r>
      <w:r w:rsidR="005352D9" w:rsidRPr="005352D9">
        <w:rPr>
          <w:rFonts w:cs="Times New Roman"/>
          <w:b/>
          <w:bCs/>
          <w:szCs w:val="24"/>
        </w:rPr>
        <w:t>Figure 3.1</w:t>
      </w:r>
      <w:r w:rsidRPr="007B7129">
        <w:rPr>
          <w:rFonts w:cs="Times New Roman"/>
          <w:szCs w:val="24"/>
        </w:rPr>
        <w:t xml:space="preserve"> an</w:t>
      </w:r>
      <w:r w:rsidR="00EF1230">
        <w:rPr>
          <w:rFonts w:cs="Times New Roman"/>
          <w:szCs w:val="24"/>
        </w:rPr>
        <w:t>d</w:t>
      </w:r>
      <w:r w:rsidR="005352D9">
        <w:rPr>
          <w:rFonts w:cs="Times New Roman"/>
          <w:szCs w:val="24"/>
        </w:rPr>
        <w:t xml:space="preserve"> </w:t>
      </w:r>
      <w:r w:rsidR="005352D9" w:rsidRPr="005352D9">
        <w:rPr>
          <w:rFonts w:cs="Times New Roman"/>
          <w:b/>
          <w:bCs/>
          <w:szCs w:val="24"/>
        </w:rPr>
        <w:t>Table 3.1</w:t>
      </w:r>
      <w:r w:rsidRPr="007B7129">
        <w:rPr>
          <w:rFonts w:cs="Times New Roman"/>
          <w:szCs w:val="24"/>
        </w:rPr>
        <w:t xml:space="preserve">, respectively. It is important to note </w:t>
      </w:r>
      <w:r w:rsidRPr="007B7129">
        <w:rPr>
          <w:rFonts w:cs="Times New Roman"/>
          <w:szCs w:val="24"/>
        </w:rPr>
        <w:lastRenderedPageBreak/>
        <w:t xml:space="preserve">that while compounds </w:t>
      </w:r>
      <w:r w:rsidRPr="007B7129">
        <w:rPr>
          <w:rFonts w:cs="Times New Roman"/>
          <w:b/>
          <w:bCs/>
          <w:szCs w:val="24"/>
        </w:rPr>
        <w:t>3.15</w:t>
      </w:r>
      <w:r w:rsidRPr="007B7129">
        <w:rPr>
          <w:rFonts w:cs="Times New Roman"/>
          <w:szCs w:val="24"/>
        </w:rPr>
        <w:t xml:space="preserve"> and </w:t>
      </w:r>
      <w:r w:rsidRPr="007B7129">
        <w:rPr>
          <w:rFonts w:cs="Times New Roman"/>
          <w:b/>
          <w:bCs/>
          <w:szCs w:val="24"/>
        </w:rPr>
        <w:t>3.16</w:t>
      </w:r>
      <w:r w:rsidRPr="007B7129">
        <w:rPr>
          <w:rFonts w:cs="Times New Roman"/>
          <w:szCs w:val="24"/>
        </w:rPr>
        <w:t xml:space="preserve"> contain a bis-β-carboline-type system, they are structurally categorized as </w:t>
      </w:r>
      <w:proofErr w:type="spellStart"/>
      <w:r w:rsidRPr="007B7129">
        <w:rPr>
          <w:rFonts w:cs="Times New Roman"/>
          <w:szCs w:val="24"/>
        </w:rPr>
        <w:t>canthinones</w:t>
      </w:r>
      <w:proofErr w:type="spellEnd"/>
      <w:r w:rsidRPr="007B7129">
        <w:rPr>
          <w:rFonts w:cs="Times New Roman"/>
          <w:szCs w:val="24"/>
        </w:rPr>
        <w:t xml:space="preserve"> because of their distinct </w:t>
      </w:r>
      <w:proofErr w:type="spellStart"/>
      <w:r w:rsidRPr="007B7129">
        <w:rPr>
          <w:rFonts w:cs="Times New Roman"/>
          <w:szCs w:val="24"/>
        </w:rPr>
        <w:t>diketo</w:t>
      </w:r>
      <w:proofErr w:type="spellEnd"/>
      <w:r w:rsidRPr="007B7129">
        <w:rPr>
          <w:rFonts w:cs="Times New Roman"/>
          <w:szCs w:val="24"/>
        </w:rPr>
        <w:t xml:space="preserve"> ring fused to the β-carboline skeleton. </w:t>
      </w:r>
    </w:p>
    <w:p w14:paraId="22EAFF3E" w14:textId="77777777" w:rsidR="007B7129" w:rsidRPr="007B7129" w:rsidRDefault="007B7129" w:rsidP="007B7129">
      <w:pPr>
        <w:ind w:firstLine="720"/>
      </w:pPr>
      <w:r w:rsidRPr="007B7129">
        <w:t>Interestingly, both picrasidine C (</w:t>
      </w:r>
      <w:r w:rsidRPr="007B7129">
        <w:rPr>
          <w:rFonts w:cs="Times New Roman"/>
          <w:b/>
          <w:bCs/>
          <w:szCs w:val="24"/>
        </w:rPr>
        <w:t>3.</w:t>
      </w:r>
      <w:r w:rsidRPr="007B7129">
        <w:rPr>
          <w:b/>
          <w:bCs/>
        </w:rPr>
        <w:t>1</w:t>
      </w:r>
      <w:r w:rsidRPr="007B7129">
        <w:t>) and N (</w:t>
      </w:r>
      <w:r w:rsidRPr="007B7129">
        <w:rPr>
          <w:rFonts w:cs="Times New Roman"/>
          <w:b/>
          <w:bCs/>
          <w:szCs w:val="24"/>
        </w:rPr>
        <w:t>3.</w:t>
      </w:r>
      <w:r w:rsidRPr="007B7129">
        <w:rPr>
          <w:b/>
          <w:bCs/>
        </w:rPr>
        <w:t>16</w:t>
      </w:r>
      <w:r w:rsidRPr="007B7129">
        <w:t xml:space="preserve">) were found to modulate lipid and glucose homeostasis via peroxisome proliferator-activated receptor (PPAR) agonism. They differ in subtype-selectivity, however, as </w:t>
      </w:r>
      <w:r w:rsidRPr="007B7129">
        <w:rPr>
          <w:rFonts w:cs="Times New Roman"/>
          <w:b/>
          <w:bCs/>
          <w:szCs w:val="24"/>
        </w:rPr>
        <w:t>3.</w:t>
      </w:r>
      <w:r w:rsidRPr="007B7129">
        <w:rPr>
          <w:b/>
          <w:bCs/>
        </w:rPr>
        <w:t>1</w:t>
      </w:r>
      <w:r w:rsidRPr="007B7129">
        <w:t xml:space="preserve"> promotes PPAR</w:t>
      </w:r>
      <w:r w:rsidRPr="007B7129">
        <w:rPr>
          <w:rFonts w:cs="Times New Roman"/>
        </w:rPr>
        <w:t>α</w:t>
      </w:r>
      <w:r w:rsidRPr="007B7129">
        <w:t xml:space="preserve"> transcriptional activity</w:t>
      </w:r>
      <w:r w:rsidRPr="007B7129">
        <w:fldChar w:fldCharType="begin"/>
      </w:r>
      <w:r w:rsidRPr="007B7129">
        <w:instrText xml:space="preserve"> ADDIN ZOTERO_ITEM CSL_CITATION {"citationID":"UBCOhIFe","properties":{"formattedCitation":"\\super 6\\nosupersub{}","plainCitation":"6","noteIndex":0},"citationItems":[{"id":253,"uris":["http://zotero.org/users/6503767/items/6QWFZRX9"],"itemData":{"id":253,"type":"article-journal","abstract":"Picrasidine C (1), a dimeric β-carboline-type alkaloid isolated from the root of Picrasma quassioides, was identiﬁed to have PPARα agonistic activity by a mammalian one-hybrid assay from a compound library. Among the PPAR subtypes, 1 selectively activated PPARα in a concentrationdependent manner. Remarkably, 1 also promoted PPARα transcriptional activity by a peroxisome proliferator response element-driven luciferase reporter assay. Furthermore, 1 induced the expression of PPARα-regulated genes involved in lipid, glucose, and cholesterol metabolism, such as CPT-1, PPARα, PDK4, and ABCA1, which was abrogated by the PPARα antagonist MK-886, indicating that the eﬀect of 1 was dependent on PPARα activation. This is the ﬁrst report to demonstrate 1 to be a subtype-selective PPARα agonist with potential application in treating metabolic diseases, such as hyperlipidemia, atherosclerosis, and hypercholesterolemia.","container-title":"Journal of Natural Products","DOI":"10.1021/acs.jnatprod.6b00883","ISSN":"0163-3864, 1520-6025","issue":"12","journalAbbreviation":"J. Nat. Prod.","language":"en","page":"3127-3133","source":"DOI.org (Crossref)","title":"Identification of Picrasidine C as a Subtype-Selective PPARα Agonist","volume":"79","author":[{"family":"Zhao","given":"Shuai"},{"family":"Kanno","given":"Yuichiro"},{"family":"Li","given":"Wei"},{"family":"Sasaki","given":"Tatsunori"},{"family":"Zhang","given":"Xiangyu"},{"family":"Wang","given":"Jian"},{"family":"Cheng","given":"Maosheng"},{"family":"Koike","given":"Kazuo"},{"family":"Nemoto","given":"Kiyomitsu"},{"family":"Li","given":"Huicheng"}],"issued":{"date-parts":[["2016",12,23]]}}}],"schema":"https://github.com/citation-style-language/schema/raw/master/csl-citation.json"} </w:instrText>
      </w:r>
      <w:r w:rsidRPr="007B7129">
        <w:fldChar w:fldCharType="separate"/>
      </w:r>
      <w:r w:rsidRPr="007B7129">
        <w:rPr>
          <w:rFonts w:cs="Times New Roman"/>
          <w:szCs w:val="24"/>
          <w:vertAlign w:val="superscript"/>
        </w:rPr>
        <w:t>6</w:t>
      </w:r>
      <w:r w:rsidRPr="007B7129">
        <w:fldChar w:fldCharType="end"/>
      </w:r>
      <w:r w:rsidRPr="007B7129">
        <w:t xml:space="preserve"> while </w:t>
      </w:r>
      <w:r w:rsidRPr="007B7129">
        <w:rPr>
          <w:rFonts w:cs="Times New Roman"/>
          <w:b/>
          <w:bCs/>
          <w:szCs w:val="24"/>
        </w:rPr>
        <w:t>3.</w:t>
      </w:r>
      <w:r w:rsidRPr="007B7129">
        <w:rPr>
          <w:b/>
          <w:bCs/>
        </w:rPr>
        <w:t>16</w:t>
      </w:r>
      <w:r w:rsidRPr="007B7129">
        <w:t xml:space="preserve"> is a selective PPAR</w:t>
      </w:r>
      <w:r w:rsidRPr="007B7129">
        <w:rPr>
          <w:rFonts w:cs="Times New Roman"/>
        </w:rPr>
        <w:t>β</w:t>
      </w:r>
      <w:r w:rsidRPr="007B7129">
        <w:t>/</w:t>
      </w:r>
      <w:r w:rsidRPr="007B7129">
        <w:rPr>
          <w:rFonts w:cs="Times New Roman"/>
        </w:rPr>
        <w:t>δ</w:t>
      </w:r>
      <w:r w:rsidRPr="007B7129">
        <w:t xml:space="preserve"> agonist.</w:t>
      </w:r>
      <w:r w:rsidRPr="007B7129">
        <w:fldChar w:fldCharType="begin"/>
      </w:r>
      <w:r w:rsidRPr="007B7129">
        <w:instrText xml:space="preserve"> ADDIN ZOTERO_ITEM CSL_CITATION {"citationID":"Dg3bcV6F","properties":{"formattedCitation":"\\super 15\\nosupersub{}","plainCitation":"15","noteIndex":0},"citationItems":[{"id":271,"uris":["http://zotero.org/users/6503767/items/VKZJGAVR"],"itemData":{"id":271,"type":"article-journal","abstract":"Recently, growing evidence of the pivotal roles of peroxisome proliferator-activated receptor (PPAR) β/δ in various physiological functions, including lipid homeostasis, cancer, and inﬂammation, has raised interest in this receptor. In this study, the naturally occurring dimeric alkaloid picrasidine N (1) from Picrasma quassioides was identiﬁed as a novel PPARβ/δ agonist from a library consisting of plant extracts and natural compounds using a mammalian one-hybrid assay, and this compound was characterized. Compound 1 activated PPARβ/δ but did not activate or slightly activated PPARα and PPARγ. Furthermore, a peroxisome proliferator response element-driven luciferase reporter gene assay demonstrated that 1 enhanced PPARβ/δ transcriptional activity. Moreover, 1 selectively induced mRNA expression of ANGPTL4, which is a PPAR target gene. This observation is quite diﬀerent from previously identiﬁed synthetic PPARβ/δ agonists, which can induce the expression of not only ANGPTL4 but also other PPAR target genes, such as ADRP, PDK4, and CPT-1. These results demonstrate that 1 is a potent subtype-selective and gene-selective PPARβ/δ agonist, suggesting its potential as a lead compound for further drug development. This compound would also be a useful chemical tool for elucidating the mechanism of PPARβ/δ-regulated speciﬁc gene expression and the biological signiﬁcance of PPARβ/δ.","container-title":"Journal of Natural Products","DOI":"10.1021/acs.jnatprod.5b00909","ISSN":"0163-3864, 1520-6025","issue":"4","journalAbbreviation":"J. Nat. Prod.","language":"en","page":"879-885","source":"DOI.org (Crossref)","title":"Picrasidine N Is a Subtype-Selective PPARβ/δ Agonist","volume":"79","author":[{"family":"Zhao","given":"Shuai"},{"family":"Kanno","given":"Yuichiro"},{"family":"Li","given":"Wei"},{"family":"Wakatabi","given":"Honami"},{"family":"Sasaki","given":"Tatsunori"},{"family":"Koike","given":"Kazuo"},{"family":"Nemoto","given":"Kiyomitsu"},{"family":"Li","given":"Huicheng"}],"issued":{"date-parts":[["2016",4,22]]}}}],"schema":"https://github.com/citation-style-language/schema/raw/master/csl-citation.json"} </w:instrText>
      </w:r>
      <w:r w:rsidRPr="007B7129">
        <w:fldChar w:fldCharType="separate"/>
      </w:r>
      <w:r w:rsidRPr="007B7129">
        <w:rPr>
          <w:rFonts w:cs="Times New Roman"/>
          <w:szCs w:val="24"/>
          <w:vertAlign w:val="superscript"/>
        </w:rPr>
        <w:t>15</w:t>
      </w:r>
      <w:r w:rsidRPr="007B7129">
        <w:fldChar w:fldCharType="end"/>
      </w:r>
      <w:r w:rsidRPr="007B7129">
        <w:t xml:space="preserve"> PPARs regulate the expression of genes involved in numerous cellular functions including insulin sensitivity, fatty acid oxidation, inflammation, and cell proliferation, differentiation and survival.</w:t>
      </w:r>
      <w:r w:rsidRPr="007B7129">
        <w:fldChar w:fldCharType="begin"/>
      </w:r>
      <w:r w:rsidRPr="007B7129">
        <w:instrText xml:space="preserve"> ADDIN ZOTERO_ITEM CSL_CITATION {"citationID":"UDF1LLvY","properties":{"formattedCitation":"\\super 20\\nosupersub{}","plainCitation":"20","noteIndex":0},"citationItems":[{"id":251,"uris":["http://zotero.org/users/6503767/items/4RAPT58S"],"itemData":{"id":251,"type":"article-journal","abstract":"Natural products and synthetic analogs have drawn much attention as potential therapeutical drugs to treat metabolic syndrome. We reviewed the underlying mechanisms of 32 natural products and analogs with potential pharmacological effects in vitro, and especially in rodent models and/or patients, that usually act on the PPAR pathway, along with other molecular targets. Recent outstanding total syntheses or semisyntheses of these lead compounds are stated. In general, they can activate the transcriptional activity of PPARa, PPARg, PPARa/g, PPARb/d, PPARa/d, PPARg/d and panPPAR as weak, partial agonists or selective PPARg modulators (SPPARgM), which may be useful for managing obesity, type 2 diabetes (T2D), dyslipidemia and non-fatty liver disease (NAFLD). Terpenoids is the largest group of compounds that act as potential modulators on PPARs and are comprised from small lipophilic cannabinoids to lipophilic pentacyclic triterpenes and polar saponins. Shikimates-phenylpropanoids include polar heterocyclic ﬂavonoids and phenolic compounds containing at least one C3eC6 unit and usually a double bond on the propyl chain. Quercetin (19), resveratrol (24) and curcumin (27), stand out from this group for exhibiting beneﬁcial effects on patients. Alkaloids, the minor group of potential modulators on PPARs, include berberine (30), which has been widely explored in preclinical and clinical studies for its potential beneﬁcial effects on T2D and dyslipidemia. However, large-scale clinical trials may be warranted for the promising compounds.","container-title":"European Journal of Medicinal Chemistry","DOI":"10.1016/j.ejmech.2021.113535","ISSN":"02235234","journalAbbreviation":"European Journal of Medicinal Chemistry","language":"en","page":"113535","source":"DOI.org (Crossref)","title":"Natural products and analogs as preventive agents for metabolic syndrome via peroxisome proliferator-activated receptors: An overview","title-short":"Natural products and analogs as preventive agents for metabolic syndrome via peroxisome proliferator-activated receptors","volume":"221","author":[{"family":"Villarroel-Vicente","given":"Carlos"},{"family":"Gutiérrez-Palomo","given":"Sergio"},{"family":"Ferri","given":"Jordi"},{"family":"Cortes","given":"Diego"},{"family":"Cabedo","given":"Nuria"}],"issued":{"date-parts":[["2021",10]]}}}],"schema":"https://github.com/citation-style-language/schema/raw/master/csl-citation.json"} </w:instrText>
      </w:r>
      <w:r w:rsidRPr="007B7129">
        <w:fldChar w:fldCharType="separate"/>
      </w:r>
      <w:r w:rsidRPr="007B7129">
        <w:rPr>
          <w:rFonts w:cs="Times New Roman"/>
          <w:szCs w:val="24"/>
          <w:vertAlign w:val="superscript"/>
        </w:rPr>
        <w:t>20</w:t>
      </w:r>
      <w:r w:rsidRPr="007B7129">
        <w:fldChar w:fldCharType="end"/>
      </w:r>
      <w:r w:rsidRPr="007B7129">
        <w:t xml:space="preserve"> PPAR subtypes localize in differing concentrations depending on the tissue type.</w:t>
      </w:r>
      <w:r w:rsidRPr="007B7129">
        <w:fldChar w:fldCharType="begin"/>
      </w:r>
      <w:r w:rsidRPr="007B7129">
        <w:instrText xml:space="preserve"> ADDIN ZOTERO_ITEM CSL_CITATION {"citationID":"x1XXZ1tn","properties":{"formattedCitation":"\\super 21\\nosupersub{}","plainCitation":"21","noteIndex":0},"citationItems":[{"id":379,"uris":["http://zotero.org/users/6503767/items/SMS4VIVF"],"itemData":{"id":379,"type":"article-journal","abstract":"OBJECTIVE—Peroxisome proliferator–activated receptors (PPARs) are therapeutic targets for fibrates and thiazolidinediones, which are commonly used to ameliorate hyperlipidemia and hyperglycemia in type 2 diabetes. In this study, we evaluated whether activation of PPARα and PPARγ stimulates neoangiogenesis.\nRESEARCH DESIGN AND METHODS—We used selective synthetic PPARα and PPARγ agonists and investigated their angiogenic potentials in vitro and in vivo.\nRESULTS—Activation of PPARα and PPARγ leads to endothelial tube formation in an endothelial/interstitial cell co-culture assay. This effect is associated with increased production of the angiogenic cytokine vascular endothelial growth factor (VEGF). Neovascularization also occurs in vivo, when PPARα and PPARγ agonists are used in the murine corneal angiogenic model. No vascular growth is detectable when PPARα and PPARγ agonists are respectively used in PPARα knockout mice and mice treated with a specific PPARγ inhibitor, demonstrating that this angiogenic response is PPAR mediated. PPARα- and PPARγ-induced angiogenesis is associated with local VEGF production and does not differ in extent and morphology from that induced by VEGF. In addition, PPARα- and PPARγ-induced in vitro and in vivo angiogenesis may be significantly decreased by inhibiting VEGF activity. Finally, in corneas treated with PPARα and PPARγ agonists, there is increased phosphorylation of endothelial nitric oxide synthase and Akt.\nCONCLUSIONS—These findings demonstrate that PPARα and PPARγ activation stimulates neoangiogenesis through a VEGF-dependent mechanism. Neoangiogenesis is a crucial pathological event in type 2 diabetes. The ability of PPARα and PPARγ agonists to induce neoangiogenesis might have important implications for the clinical and therapeutic management of type 2 diabetes.","container-title":"Diabetes","DOI":"10.2337/db07-0765","ISSN":"0012-1797, 1939-327X","issue":"5","language":"en","note":"publisher: American Diabetes Association\nsection: Pharmacology and Therapeutics\nPMID: 18268046","page":"1394-1404","source":"diabetes.diabetesjournals.org","title":"Selective Activation of Peroxisome Proliferator–Activated Receptor (PPAR)α and PPARγ Induces Neoangiogenesis Through a Vascular Endothelial Growth Factor–Dependent Mechanism","volume":"57","author":[{"family":"Biscetti","given":"Federico"},{"family":"Gaetani","given":"Eleonora"},{"family":"Flex","given":"Andrea"},{"family":"Aprahamian","given":"Tamar"},{"family":"Hopkins","given":"Teresa"},{"family":"Straface","given":"Giuseppe"},{"family":"Pecorini","given":"Giovanni"},{"family":"Stigliano","given":"Egidio"},{"family":"Smith","given":"Roy C."},{"family":"Angelini","given":"Flavia"},{"family":"Castellot","given":"John J."},{"family":"Pola","given":"Roberto"}],"issued":{"date-parts":[["2008",5,1]]}}}],"schema":"https://github.com/citation-style-language/schema/raw/master/csl-citation.json"} </w:instrText>
      </w:r>
      <w:r w:rsidRPr="007B7129">
        <w:fldChar w:fldCharType="separate"/>
      </w:r>
      <w:r w:rsidRPr="007B7129">
        <w:rPr>
          <w:rFonts w:cs="Times New Roman"/>
          <w:szCs w:val="24"/>
          <w:vertAlign w:val="superscript"/>
        </w:rPr>
        <w:t>21</w:t>
      </w:r>
      <w:r w:rsidRPr="007B7129">
        <w:fldChar w:fldCharType="end"/>
      </w:r>
      <w:r w:rsidRPr="007B7129">
        <w:t xml:space="preserve"> As such, selectively targeting PPAR subtypes is believed to be important for triggering specific responses while avoiding harmful side effects.</w:t>
      </w:r>
      <w:r w:rsidRPr="007B7129">
        <w:fldChar w:fldCharType="begin"/>
      </w:r>
      <w:r w:rsidRPr="007B7129">
        <w:instrText xml:space="preserve"> ADDIN ZOTERO_ITEM CSL_CITATION {"citationID":"7spD5St2","properties":{"formattedCitation":"\\super 22\\nosupersub{}","plainCitation":"22","noteIndex":0},"citationItems":[{"id":376,"uris":["http://zotero.org/users/6503767/items/L3CPUSC7"],"itemData":{"id":376,"type":"article-journal","abstract":"Peroxisome proliferator activated receptors (PPARs δ, α and γ) are closely related transcription factors that exert distinct effects on fatty acid and glucose metabolism, cardiac disease, inflammatory response and other processes. Several groups developed PPAR subtype specific modulators to trigger desirable effects of particular PPARs without harmful side effects associated with activation of other subtypes. Presently, however, many compounds that bind to one of the PPARs cross-react with others and rational strategies to obtain highly selective PPAR modulators are far from clear. GW0742 is a synthetic ligand that binds PPARδ more than 300-fold more tightly than PPARα or PPARγ but the structural basis of PPARδ:GW0742 interactions and reasons for strong selectivity are not clear. Here we report the crystal structure of the PPARδ:GW0742 complex. Comparisons of the PPARδ:GW0742 complex with published structures of PPARs in complex with α and γ selective agonists and pan agonists suggests that two residues (Val312 and Ile328) in the buried hormone binding pocket play special roles in PPARδ selective binding and experimental and computational analysis of effects of mutations in these residues confirms this and suggests that bulky substituents that line the PPARα and γ ligand binding pockets as structural barriers for GW0742 binding. This analysis suggests general strategies for selective PPARδ ligand design.","container-title":"PLOS ONE","DOI":"10.1371/journal.pone.0033643","ISSN":"1932-6203","issue":"5","journalAbbreviation":"PLOS ONE","language":"en","note":"publisher: Public Library of Science","page":"e33643","source":"PLoS Journals","title":"Structural Insights into Human Peroxisome Proliferator Activated Receptor Delta (PPAR-Delta) Selective Ligand Binding","volume":"7","author":[{"family":"Batista","given":"Fernanda A. H."},{"family":"Trivella","given":"Daniela B. B."},{"family":"Bernardes","given":"Amanda"},{"family":"Gratieri","given":"Joyce"},{"family":"Oliveira","given":"Paulo S. L."},{"family":"Figueira","given":"Ana Carolina M."},{"family":"Webb","given":"Paul"},{"family":"Polikarpov","given":"Igor"}],"issued":{"date-parts":[["2012",5,11]]}}}],"schema":"https://github.com/citation-style-language/schema/raw/master/csl-citation.json"} </w:instrText>
      </w:r>
      <w:r w:rsidRPr="007B7129">
        <w:fldChar w:fldCharType="separate"/>
      </w:r>
      <w:r w:rsidRPr="007B7129">
        <w:rPr>
          <w:rFonts w:cs="Times New Roman"/>
          <w:szCs w:val="24"/>
          <w:vertAlign w:val="superscript"/>
        </w:rPr>
        <w:t>22</w:t>
      </w:r>
      <w:r w:rsidRPr="007B7129">
        <w:fldChar w:fldCharType="end"/>
      </w:r>
      <w:r w:rsidRPr="007B7129">
        <w:t xml:space="preserve"> Consequently, tuning target specificity is contingent on structural differences between chemo-modulators. </w:t>
      </w:r>
    </w:p>
    <w:p w14:paraId="2C4EBA8D" w14:textId="77777777" w:rsidR="007B7129" w:rsidRPr="007B7129" w:rsidRDefault="007B7129" w:rsidP="007B7129">
      <w:pPr>
        <w:ind w:firstLine="720"/>
        <w:rPr>
          <w:b/>
          <w:bCs/>
        </w:rPr>
      </w:pPr>
      <w:r w:rsidRPr="007B7129">
        <w:rPr>
          <w:rFonts w:cs="Times New Roman"/>
          <w:szCs w:val="24"/>
        </w:rPr>
        <w:t xml:space="preserve">Structure-activity relationship (SAR) studies within the </w:t>
      </w:r>
      <w:r w:rsidRPr="007B7129">
        <w:rPr>
          <w:rFonts w:cs="Times New Roman"/>
          <w:i/>
          <w:iCs/>
          <w:szCs w:val="24"/>
        </w:rPr>
        <w:t xml:space="preserve">Picrasma </w:t>
      </w:r>
      <w:r w:rsidRPr="007B7129">
        <w:rPr>
          <w:rFonts w:cs="Times New Roman"/>
          <w:szCs w:val="24"/>
        </w:rPr>
        <w:t xml:space="preserve">alkaloid class are integral to identifying structural motifs that dictate biological activity and target specificity. </w:t>
      </w:r>
      <w:bookmarkStart w:id="232" w:name="_Hlk97289379"/>
      <w:r w:rsidRPr="007B7129">
        <w:rPr>
          <w:rFonts w:cs="Times New Roman"/>
          <w:szCs w:val="24"/>
        </w:rPr>
        <w:t xml:space="preserve">Stemming from our lab’s interest in </w:t>
      </w:r>
      <w:r w:rsidRPr="007B7129">
        <w:rPr>
          <w:rFonts w:cs="Times New Roman"/>
          <w:b/>
          <w:bCs/>
          <w:szCs w:val="24"/>
        </w:rPr>
        <w:t>3.1</w:t>
      </w:r>
      <w:r w:rsidRPr="007B7129">
        <w:rPr>
          <w:rFonts w:cs="Times New Roman"/>
          <w:szCs w:val="24"/>
        </w:rPr>
        <w:t xml:space="preserve"> as a PPARα agonist</w:t>
      </w:r>
      <w:r w:rsidRPr="007B7129">
        <w:rPr>
          <w:rFonts w:cs="Times New Roman"/>
          <w:szCs w:val="24"/>
        </w:rPr>
        <w:fldChar w:fldCharType="begin"/>
      </w:r>
      <w:r w:rsidRPr="007B7129">
        <w:rPr>
          <w:rFonts w:cs="Times New Roman"/>
          <w:szCs w:val="24"/>
        </w:rPr>
        <w:instrText xml:space="preserve"> ADDIN ZOTERO_ITEM CSL_CITATION {"citationID":"uWtYdcOx","properties":{"formattedCitation":"\\super 6\\nosupersub{}","plainCitation":"6","noteIndex":0},"citationItems":[{"id":253,"uris":["http://zotero.org/users/6503767/items/6QWFZRX9"],"itemData":{"id":253,"type":"article-journal","abstract":"Picrasidine C (1), a dimeric β-carboline-type alkaloid isolated from the root of Picrasma quassioides, was identiﬁed to have PPARα agonistic activity by a mammalian one-hybrid assay from a compound library. Among the PPAR subtypes, 1 selectively activated PPARα in a concentrationdependent manner. Remarkably, 1 also promoted PPARα transcriptional activity by a peroxisome proliferator response element-driven luciferase reporter assay. Furthermore, 1 induced the expression of PPARα-regulated genes involved in lipid, glucose, and cholesterol metabolism, such as CPT-1, PPARα, PDK4, and ABCA1, which was abrogated by the PPARα antagonist MK-886, indicating that the eﬀect of 1 was dependent on PPARα activation. This is the ﬁrst report to demonstrate 1 to be a subtype-selective PPARα agonist with potential application in treating metabolic diseases, such as hyperlipidemia, atherosclerosis, and hypercholesterolemia.","container-title":"Journal of Natural Products","DOI":"10.1021/acs.jnatprod.6b00883","ISSN":"0163-3864, 1520-6025","issue":"12","journalAbbreviation":"J. Nat. Prod.","language":"en","page":"3127-3133","source":"DOI.org (Crossref)","title":"Identification of Picrasidine C as a Subtype-Selective PPARα Agonist","volume":"79","author":[{"family":"Zhao","given":"Shuai"},{"family":"Kanno","given":"Yuichiro"},{"family":"Li","given":"Wei"},{"family":"Sasaki","given":"Tatsunori"},{"family":"Zhang","given":"Xiangyu"},{"family":"Wang","given":"Jian"},{"family":"Cheng","given":"Maosheng"},{"family":"Koike","given":"Kazuo"},{"family":"Nemoto","given":"Kiyomitsu"},{"family":"Li","given":"Huicheng"}],"issued":{"date-parts":[["2016",12,23]]}}}],"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6</w:t>
      </w:r>
      <w:r w:rsidRPr="007B7129">
        <w:rPr>
          <w:rFonts w:cs="Times New Roman"/>
          <w:szCs w:val="24"/>
        </w:rPr>
        <w:fldChar w:fldCharType="end"/>
      </w:r>
      <w:r w:rsidRPr="007B7129">
        <w:rPr>
          <w:rFonts w:cs="Times New Roman"/>
          <w:szCs w:val="24"/>
        </w:rPr>
        <w:t xml:space="preserve"> and in the demonstrated efficacy for PPAR</w:t>
      </w:r>
      <w:r w:rsidRPr="007B7129">
        <w:rPr>
          <w:rFonts w:ascii="Calibri" w:hAnsi="Calibri" w:cs="Calibri"/>
          <w:szCs w:val="24"/>
        </w:rPr>
        <w:t>α</w:t>
      </w:r>
      <w:r w:rsidRPr="007B7129">
        <w:rPr>
          <w:rFonts w:cs="Times New Roman"/>
          <w:szCs w:val="24"/>
        </w:rPr>
        <w:t xml:space="preserve"> agonism as a promising treatment for diabetic retinopathy,</w:t>
      </w:r>
      <w:r w:rsidRPr="007B7129">
        <w:rPr>
          <w:rFonts w:cs="Times New Roman"/>
          <w:szCs w:val="24"/>
        </w:rPr>
        <w:fldChar w:fldCharType="begin"/>
      </w:r>
      <w:r w:rsidRPr="007B7129">
        <w:rPr>
          <w:rFonts w:cs="Times New Roman"/>
          <w:szCs w:val="24"/>
        </w:rPr>
        <w:instrText xml:space="preserve"> ADDIN ZOTERO_ITEM CSL_CITATION {"citationID":"poWQff49","properties":{"formattedCitation":"\\super 23\\nosupersub{}","plainCitation":"23","noteIndex":0},"citationItems":[{"id":383,"uris":["http://zotero.org/users/6503767/items/ATUDPPJA"],"itemData":{"id":383,"type":"article-journal","abstract":"Vascular-related retinal diseases dramatically impact quality of life and create a substantial burden on the healthcare system. Age-related macular degeneration, diabetic retinopathy, and retinopathy of prematurity are leading causes of irreversible blindness. In recent years, the scientific community has made great progress in understanding the pathology of these diseases and recent discoveries have identified promising new treatment strategies. Specifically, compelling biochemical and clinical evidence is arising that small-molecule modulation of peroxisome proliferator-activated receptors (PPARs) represents a promising approach to simultaneously address many of the pathological drivers of these vascular-related retinal diseases. This has excited academic and pharmaceutical researchers towards developing new and potent PPAR ligands. This review highlights recent developments in PPAR ligand discovery and discusses the downstream effects of targeting PPARs as a therapeutic approach to treating retinal vascular diseases.","container-title":"International Journal of Molecular Sciences","DOI":"10.3390/ijms21239251","issue":"23","language":"en","note":"number: 23\npublisher: Multidisciplinary Digital Publishing Institute","page":"9251","source":"www.mdpi.com","title":"Small-Molecule Modulation of PPARs for the Treatment of Prevalent Vascular Retinal Diseases","volume":"21","author":[{"family":"Dou","given":"Xiaozheng"},{"family":"Duerfeldt","given":"Adam S."}],"issued":{"date-parts":[["2020",1]]}}}],"schema":"https://github.com/citation-style-language/schema/raw/master/csl-citation.json"}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23</w:t>
      </w:r>
      <w:r w:rsidRPr="007B7129">
        <w:rPr>
          <w:rFonts w:cs="Times New Roman"/>
          <w:szCs w:val="24"/>
        </w:rPr>
        <w:fldChar w:fldCharType="end"/>
      </w:r>
      <w:r w:rsidRPr="007B7129">
        <w:rPr>
          <w:rFonts w:cs="Times New Roman"/>
          <w:szCs w:val="24"/>
        </w:rPr>
        <w:t xml:space="preserve"> the original aim was to complete the total synthesis of </w:t>
      </w:r>
      <w:r w:rsidRPr="007B7129">
        <w:rPr>
          <w:rFonts w:cs="Times New Roman"/>
          <w:b/>
          <w:bCs/>
          <w:szCs w:val="24"/>
        </w:rPr>
        <w:t>3.1</w:t>
      </w:r>
      <w:r w:rsidRPr="007B7129">
        <w:rPr>
          <w:rFonts w:cs="Times New Roman"/>
          <w:szCs w:val="24"/>
        </w:rPr>
        <w:t xml:space="preserve"> and design analogues in order to probe SAR and explore the therapeutic potential of this chemotype</w:t>
      </w:r>
      <w:bookmarkEnd w:id="232"/>
      <w:r w:rsidRPr="007B7129">
        <w:rPr>
          <w:rFonts w:cs="Times New Roman"/>
          <w:szCs w:val="24"/>
        </w:rPr>
        <w:t xml:space="preserve">. This work has since evolved into a synthetic investigation towards several members of the </w:t>
      </w:r>
      <w:r w:rsidRPr="007B7129">
        <w:rPr>
          <w:rFonts w:cs="Times New Roman"/>
          <w:i/>
          <w:iCs/>
          <w:szCs w:val="24"/>
        </w:rPr>
        <w:t>Picrasma</w:t>
      </w:r>
      <w:r w:rsidRPr="007B7129">
        <w:rPr>
          <w:rFonts w:cs="Times New Roman"/>
          <w:szCs w:val="24"/>
        </w:rPr>
        <w:t xml:space="preserve"> alkaloid family and my efforts towards the total synthesis of </w:t>
      </w:r>
      <w:r w:rsidRPr="007B7129">
        <w:rPr>
          <w:rFonts w:cs="Times New Roman"/>
          <w:b/>
          <w:bCs/>
          <w:szCs w:val="24"/>
        </w:rPr>
        <w:t>3.1</w:t>
      </w:r>
      <w:r w:rsidRPr="007B7129">
        <w:rPr>
          <w:rFonts w:cs="Times New Roman"/>
          <w:szCs w:val="24"/>
        </w:rPr>
        <w:t xml:space="preserve"> and related </w:t>
      </w:r>
      <w:r w:rsidRPr="007B7129">
        <w:rPr>
          <w:rFonts w:cs="Times New Roman"/>
          <w:i/>
          <w:iCs/>
          <w:szCs w:val="24"/>
        </w:rPr>
        <w:t>Picrasma</w:t>
      </w:r>
      <w:r w:rsidRPr="007B7129">
        <w:rPr>
          <w:rFonts w:cs="Times New Roman"/>
          <w:szCs w:val="24"/>
        </w:rPr>
        <w:t xml:space="preserve"> alkaloids will be discussed herein. </w:t>
      </w:r>
    </w:p>
    <w:p w14:paraId="63578292" w14:textId="77777777" w:rsidR="007B7129" w:rsidRPr="007B7129" w:rsidRDefault="007B7129" w:rsidP="00EC026C">
      <w:pPr>
        <w:pStyle w:val="Subsection"/>
      </w:pPr>
      <w:bookmarkStart w:id="233" w:name="_Toc97337849"/>
      <w:bookmarkStart w:id="234" w:name="_Toc100241904"/>
      <w:bookmarkStart w:id="235" w:name="_Toc102586268"/>
      <w:r w:rsidRPr="007B7129">
        <w:t>3.1.2 Overview of β-carbolines and existing synthetic methods</w:t>
      </w:r>
      <w:bookmarkEnd w:id="233"/>
      <w:bookmarkEnd w:id="234"/>
      <w:r w:rsidRPr="007B7129">
        <w:t>.</w:t>
      </w:r>
      <w:bookmarkEnd w:id="235"/>
    </w:p>
    <w:p w14:paraId="2F390297" w14:textId="77777777" w:rsidR="007B7129" w:rsidRPr="007B7129" w:rsidRDefault="007B7129" w:rsidP="007B7129">
      <w:pPr>
        <w:ind w:firstLine="720"/>
      </w:pPr>
      <w:r w:rsidRPr="007B7129">
        <w:t xml:space="preserve">Establishment of methods for the synthesis of </w:t>
      </w:r>
      <w:r w:rsidRPr="007B7129">
        <w:rPr>
          <w:i/>
          <w:iCs/>
        </w:rPr>
        <w:t>Picrasma</w:t>
      </w:r>
      <w:r w:rsidRPr="007B7129">
        <w:t xml:space="preserve"> alkaloids is of pharmaceutical importance for several reasons. First, poor isolation yields from natural sources is not sufficient for intensive biological evaluation or SAR campaigns. For example, only 5.6 mg of </w:t>
      </w:r>
      <w:r w:rsidRPr="007B7129">
        <w:rPr>
          <w:rFonts w:cs="Times New Roman"/>
          <w:b/>
          <w:bCs/>
          <w:szCs w:val="24"/>
        </w:rPr>
        <w:t>3.</w:t>
      </w:r>
      <w:r w:rsidRPr="007B7129">
        <w:rPr>
          <w:b/>
          <w:bCs/>
        </w:rPr>
        <w:t>1</w:t>
      </w:r>
      <w:r w:rsidRPr="007B7129">
        <w:t xml:space="preserve"> can be </w:t>
      </w:r>
      <w:r w:rsidRPr="007B7129">
        <w:lastRenderedPageBreak/>
        <w:t xml:space="preserve">isolated from 100 kg of </w:t>
      </w:r>
      <w:r w:rsidRPr="007B7129">
        <w:rPr>
          <w:i/>
          <w:iCs/>
        </w:rPr>
        <w:t xml:space="preserve">P. </w:t>
      </w:r>
      <w:proofErr w:type="spellStart"/>
      <w:r w:rsidRPr="007B7129">
        <w:rPr>
          <w:i/>
          <w:iCs/>
        </w:rPr>
        <w:t>quassioides</w:t>
      </w:r>
      <w:proofErr w:type="spellEnd"/>
      <w:r w:rsidRPr="007B7129">
        <w:t xml:space="preserve"> stems, using current extraction methods.</w:t>
      </w:r>
      <w:r w:rsidRPr="007B7129">
        <w:fldChar w:fldCharType="begin"/>
      </w:r>
      <w:r w:rsidRPr="007B7129">
        <w:instrText xml:space="preserve"> ADDIN ZOTERO_ITEM CSL_CITATION {"citationID":"e4Scb34B","properties":{"formattedCitation":"\\super 8\\nosupersub{}","plainCitation":"8","noteIndex":0},"citationItems":[{"id":347,"uris":["http://zotero.org/users/6503767/items/PNWG4FBH"],"itemData":{"id":347,"type":"article-journal","abstract":"Four new bis-β-carboline alkaloids, quassidines A−D (1−4), together with a known alkaloid, picrasidine C (5), were isolated from the stems of Picrasma quassioides. Quassidine A (1) is the first reported bis-β-carboline alkaloid possessing a novel cyclobutane moiety. The structures of the new compounds were determined on the basis of their 1D and 2D NMR and X-ray diffraction data. A possible biogenetic pathway for these alkaloids was proposed, and all compounds were evaluated for anti-inflammatory activity. Only quassidine A (1) showed weak activity.","container-title":"Journal of Natural Products","DOI":"10.1021/np900538r","ISSN":"0163-3864","issue":"2","journalAbbreviation":"J. Nat. Prod.","note":"publisher: American Chemical Society","page":"167-171","source":"ACS Publications","title":"Quassidines A−D, Bis-β-carboline Alkaloids from the Stems of Picrasma quassioides","volume":"73","author":[{"family":"Jiao","given":"Wei-Hua"},{"family":"Gao","given":"Hao"},{"family":"Li","given":"Chen-Yang"},{"family":"Zhao","given":"Feng"},{"family":"Jiang","given":"Ren-Wang"},{"family":"Wang","given":"Ying"},{"family":"Zhou","given":"Guang-Xiong"},{"family":"Yao","given":"Xin-Sheng"}],"issued":{"date-parts":[["2010",2,26]]}}}],"schema":"https://github.com/citation-style-language/schema/raw/master/csl-citation.json"} </w:instrText>
      </w:r>
      <w:r w:rsidRPr="007B7129">
        <w:fldChar w:fldCharType="separate"/>
      </w:r>
      <w:r w:rsidRPr="007B7129">
        <w:rPr>
          <w:rFonts w:cs="Times New Roman"/>
          <w:szCs w:val="24"/>
          <w:vertAlign w:val="superscript"/>
        </w:rPr>
        <w:t>8</w:t>
      </w:r>
      <w:r w:rsidRPr="007B7129">
        <w:fldChar w:fldCharType="end"/>
      </w:r>
      <w:r w:rsidRPr="007B7129">
        <w:t xml:space="preserve"> Synthetic studies would also help to determine absolute stereochemistry, since the assignment of stereocenters for </w:t>
      </w:r>
      <w:r w:rsidRPr="007B7129">
        <w:rPr>
          <w:i/>
          <w:iCs/>
        </w:rPr>
        <w:t>Picrasma</w:t>
      </w:r>
      <w:r w:rsidRPr="007B7129">
        <w:t xml:space="preserve"> alkaloids are often absent</w:t>
      </w:r>
      <w:r w:rsidRPr="007B7129">
        <w:fldChar w:fldCharType="begin"/>
      </w:r>
      <w:r w:rsidRPr="007B7129">
        <w:instrText xml:space="preserve"> ADDIN ZOTERO_ITEM CSL_CITATION {"citationID":"gGKkgANp","properties":{"formattedCitation":"\\super 24\\nosupersub{}","plainCitation":"24","noteIndex":0},"citationItems":[{"id":249,"uris":["http://zotero.org/users/6503767/items/CI49JX3I"],"itemData":{"id":249,"type":"article-journal","container-title":"Chemical and Pharmaceutical Bulletin","DOI":"10.1248/cpb.59.359","ISSN":"0009-2363, 1347-5223","issue":"3","journalAbbreviation":"Chem. Pharm. Bull.","language":"en","page":"359-364","source":"DOI.org (Crossref)","title":"Anti-inflammatory Alkaloids from the Stems of Picrasma quassioides BENNET","volume":"59","author":[{"family":"Jiao","given":"Wei-Hua"},{"family":"Gao","given":"Hao"},{"family":"Zhao","given":"Feng"},{"family":"Lin","given":"Hou-Wen"},{"family":"Pan","given":"Yu-Min"},{"family":"Zhou","given":"Guang-Xiong"},{"family":"Yao","given":"Xin-Sheng"}],"issued":{"date-parts":[["2011"]]}}}],"schema":"https://github.com/citation-style-language/schema/raw/master/csl-citation.json"} </w:instrText>
      </w:r>
      <w:r w:rsidRPr="007B7129">
        <w:fldChar w:fldCharType="separate"/>
      </w:r>
      <w:r w:rsidRPr="007B7129">
        <w:rPr>
          <w:rFonts w:cs="Times New Roman"/>
          <w:szCs w:val="24"/>
          <w:vertAlign w:val="superscript"/>
        </w:rPr>
        <w:t>24</w:t>
      </w:r>
      <w:r w:rsidRPr="007B7129">
        <w:fldChar w:fldCharType="end"/>
      </w:r>
      <w:r w:rsidRPr="007B7129">
        <w:t xml:space="preserve"> or ambiguously</w:t>
      </w:r>
      <w:r w:rsidRPr="007B7129">
        <w:fldChar w:fldCharType="begin"/>
      </w:r>
      <w:r w:rsidRPr="007B7129">
        <w:instrText xml:space="preserve"> ADDIN ZOTERO_ITEM CSL_CITATION {"citationID":"4GqiF7vd","properties":{"formattedCitation":"\\super 25,26\\nosupersub{}","plainCitation":"25,26","noteIndex":0},"citationItems":[{"id":237,"uris":["http://zotero.org/users/6503767/items/UHB66GBM"],"itemData":{"id":237,"type":"article-journal","container-title":"Magnetic Resonance in Chemistry","DOI":"10.1002/mrc.1260311212","ISSN":"0749-1581, 1097-458X","issue":"12","journalAbbreviation":"Magn. Reson. Chem.","language":"en","page":"1091-1092","source":"DOI.org (Crossref)","title":"Full assignments of proton and carbon signals of picrasidine-G by 1D and 2D NMR methods","volume":"31","author":[{"family":"Liu","given":"Jian"},{"family":"Davidson","given":"R. Stephen"},{"family":"Howarth","given":"Oliver W."}],"issued":{"date-parts":[["1993",12]]}}},{"id":565,"uris":["http://zotero.org/users/6503767/items/H63DHN3C"],"itemData":{"id":565,"type":"article-journal","container-title":"Journal of Biomolecular Structure and Dynamics","DOI":"10.1080/07391102.2019.1699861","ISSN":"0739-1102, 1538-0254","issue":"18","journalAbbreviation":"Journal of Biomolecular Structure and Dynamics","language":"en","page":"5401-5418","source":"DOI.org (Crossref)","title":"Computational investigation reveals Picrasidine C as selective PPARα lead: binding pattern, selectivity mechanism and ADME/tox profile","title-short":"Computational investigation reveals Picrasidine C as selective PPARα lead","volume":"38","author":[{"family":"Li","given":"Fangfei"},{"family":"Wang","given":"Hanxun"},{"family":"Wang","given":"Ying"},{"family":"Feng","given":"Shasha"},{"family":"Hu","given":"Baichun"},{"family":"Zhang","given":"Xiangyu"},{"family":"Wang","given":"Jian"},{"family":"Li","given":"Wei"},{"family":"Cheng","given":"Maosheng"}],"issued":{"date-parts":[["2020",12,11]]}}}],"schema":"https://github.com/citation-style-language/schema/raw/master/csl-citation.json"} </w:instrText>
      </w:r>
      <w:r w:rsidRPr="007B7129">
        <w:fldChar w:fldCharType="separate"/>
      </w:r>
      <w:r w:rsidRPr="007B7129">
        <w:rPr>
          <w:rFonts w:cs="Times New Roman"/>
          <w:szCs w:val="24"/>
          <w:vertAlign w:val="superscript"/>
        </w:rPr>
        <w:t>25,26</w:t>
      </w:r>
      <w:r w:rsidRPr="007B7129">
        <w:fldChar w:fldCharType="end"/>
      </w:r>
      <w:r w:rsidRPr="007B7129">
        <w:t xml:space="preserve"> presented within literature. Further, total synthesis would provide a foundation for the development of synthetic analogues, especially when the synthetic approach is designed to enable facile diversification.</w:t>
      </w:r>
      <w:r w:rsidRPr="007B7129">
        <w:rPr>
          <w:noProof/>
        </w:rPr>
        <w:t xml:space="preserve"> </w:t>
      </w:r>
      <w:r w:rsidRPr="007B7129">
        <w:t>The total synthesis of compounds within this natural product family is necessary to deconvolute the structural contributions to biological activity and to enable structural optimization of the family for diverse therapeutic interests.</w:t>
      </w:r>
    </w:p>
    <w:p w14:paraId="392535BF" w14:textId="77777777" w:rsidR="007B7129" w:rsidRPr="007B7129" w:rsidRDefault="007B7129" w:rsidP="007B7129">
      <w:pPr>
        <w:spacing w:after="0"/>
        <w:ind w:left="1440" w:firstLine="720"/>
      </w:pPr>
      <w:r w:rsidRPr="007B7129">
        <w:rPr>
          <w:noProof/>
        </w:rPr>
        <mc:AlternateContent>
          <mc:Choice Requires="wps">
            <w:drawing>
              <wp:inline distT="0" distB="0" distL="0" distR="0" wp14:anchorId="10CDF76B" wp14:editId="233F4901">
                <wp:extent cx="3196424" cy="1677670"/>
                <wp:effectExtent l="0" t="0" r="23495" b="17780"/>
                <wp:docPr id="204" name="Text Box 2" descr="The general β-carboline structure and IUPAC numbering system.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424" cy="1677670"/>
                        </a:xfrm>
                        <a:prstGeom prst="rect">
                          <a:avLst/>
                        </a:prstGeom>
                        <a:solidFill>
                          <a:srgbClr val="FFFFFF"/>
                        </a:solidFill>
                        <a:ln w="9525">
                          <a:solidFill>
                            <a:srgbClr val="000000"/>
                          </a:solidFill>
                          <a:miter lim="800000"/>
                          <a:headEnd/>
                          <a:tailEnd/>
                        </a:ln>
                      </wps:spPr>
                      <wps:txbx>
                        <w:txbxContent>
                          <w:p w14:paraId="2642B2D2" w14:textId="77777777" w:rsidR="009653EB" w:rsidRDefault="007B7129" w:rsidP="009653EB">
                            <w:pPr>
                              <w:keepNext/>
                              <w:spacing w:after="0"/>
                              <w:jc w:val="center"/>
                            </w:pPr>
                            <w:r>
                              <w:rPr>
                                <w:noProof/>
                              </w:rPr>
                              <w:drawing>
                                <wp:inline distT="0" distB="0" distL="0" distR="0" wp14:anchorId="5FB2EC35" wp14:editId="355DEA40">
                                  <wp:extent cx="1376045" cy="981710"/>
                                  <wp:effectExtent l="0" t="0" r="9525" b="5080"/>
                                  <wp:docPr id="285" name="Picture 285" descr="The general β-carboline structure and IUPAC numbering sys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The general β-carboline structure and IUPAC numbering system. "/>
                                          <pic:cNvPicPr/>
                                        </pic:nvPicPr>
                                        <pic:blipFill>
                                          <a:blip r:embed="rId234">
                                            <a:extLst>
                                              <a:ext uri="{28A0092B-C50C-407E-A947-70E740481C1C}">
                                                <a14:useLocalDpi xmlns:a14="http://schemas.microsoft.com/office/drawing/2010/main" val="0"/>
                                              </a:ext>
                                            </a:extLst>
                                          </a:blip>
                                          <a:stretch>
                                            <a:fillRect/>
                                          </a:stretch>
                                        </pic:blipFill>
                                        <pic:spPr>
                                          <a:xfrm>
                                            <a:off x="0" y="0"/>
                                            <a:ext cx="1376045" cy="981710"/>
                                          </a:xfrm>
                                          <a:prstGeom prst="rect">
                                            <a:avLst/>
                                          </a:prstGeom>
                                        </pic:spPr>
                                      </pic:pic>
                                    </a:graphicData>
                                  </a:graphic>
                                </wp:inline>
                              </w:drawing>
                            </w:r>
                          </w:p>
                          <w:p w14:paraId="19D6FA17" w14:textId="30B63084" w:rsidR="007B7129" w:rsidRDefault="009653EB" w:rsidP="00DF51F5">
                            <w:pPr>
                              <w:pStyle w:val="Caption"/>
                            </w:pPr>
                            <w:bookmarkStart w:id="236" w:name="_Ref102582563"/>
                            <w:bookmarkStart w:id="237" w:name="_Toc100748309"/>
                            <w:r>
                              <w:t>Figure 3.</w:t>
                            </w:r>
                            <w:fldSimple w:instr=" SEQ Figure \* ARABIC ">
                              <w:r w:rsidR="00AA5AAC">
                                <w:rPr>
                                  <w:noProof/>
                                </w:rPr>
                                <w:t>2</w:t>
                              </w:r>
                            </w:fldSimple>
                            <w:bookmarkStart w:id="238" w:name="_Toc100243255"/>
                            <w:bookmarkEnd w:id="236"/>
                            <w:r>
                              <w:t>.</w:t>
                            </w:r>
                            <w:r w:rsidR="007B7129">
                              <w:t xml:space="preserve"> The general </w:t>
                            </w:r>
                            <w:r w:rsidR="007B7129" w:rsidRPr="00F6154A">
                              <w:t>β-carboline</w:t>
                            </w:r>
                            <w:r w:rsidR="007B7129">
                              <w:t xml:space="preserve"> structure and IUPAC numbering system.</w:t>
                            </w:r>
                            <w:bookmarkEnd w:id="237"/>
                            <w:bookmarkEnd w:id="238"/>
                            <w:r w:rsidR="007B7129">
                              <w:t xml:space="preserve"> </w:t>
                            </w:r>
                          </w:p>
                        </w:txbxContent>
                      </wps:txbx>
                      <wps:bodyPr rot="0" vert="horz" wrap="square" lIns="91440" tIns="45720" rIns="91440" bIns="45720" anchor="t" anchorCtr="0">
                        <a:noAutofit/>
                      </wps:bodyPr>
                    </wps:wsp>
                  </a:graphicData>
                </a:graphic>
              </wp:inline>
            </w:drawing>
          </mc:Choice>
          <mc:Fallback>
            <w:pict>
              <v:shape w14:anchorId="10CDF76B" id="_x0000_s1076" type="#_x0000_t202" alt="The general β-carboline structure and IUPAC numbering system. " style="width:251.7pt;height:13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">
                <v:textbox>
                  <w:txbxContent>
                    <w:p w14:paraId="2642B2D2" w14:textId="77777777" w:rsidR="009653EB" w:rsidRDefault="007B7129" w:rsidP="009653EB">
                      <w:pPr>
                        <w:keepNext/>
                        <w:spacing w:after="0"/>
                        <w:jc w:val="center"/>
                      </w:pPr>
                      <w:r>
                        <w:rPr>
                          <w:noProof/>
                        </w:rPr>
                        <w:drawing>
                          <wp:inline distT="0" distB="0" distL="0" distR="0" wp14:anchorId="5FB2EC35" wp14:editId="355DEA40">
                            <wp:extent cx="1376045" cy="981710"/>
                            <wp:effectExtent l="0" t="0" r="9525" b="5080"/>
                            <wp:docPr id="285" name="Picture 285" descr="The general β-carboline structure and IUPAC numbering syst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The general β-carboline structure and IUPAC numbering system. "/>
                                    <pic:cNvPicPr/>
                                  </pic:nvPicPr>
                                  <pic:blipFill>
                                    <a:blip r:embed="rId234">
                                      <a:extLst>
                                        <a:ext uri="{28A0092B-C50C-407E-A947-70E740481C1C}">
                                          <a14:useLocalDpi xmlns:a14="http://schemas.microsoft.com/office/drawing/2010/main" val="0"/>
                                        </a:ext>
                                      </a:extLst>
                                    </a:blip>
                                    <a:stretch>
                                      <a:fillRect/>
                                    </a:stretch>
                                  </pic:blipFill>
                                  <pic:spPr>
                                    <a:xfrm>
                                      <a:off x="0" y="0"/>
                                      <a:ext cx="1376045" cy="981710"/>
                                    </a:xfrm>
                                    <a:prstGeom prst="rect">
                                      <a:avLst/>
                                    </a:prstGeom>
                                  </pic:spPr>
                                </pic:pic>
                              </a:graphicData>
                            </a:graphic>
                          </wp:inline>
                        </w:drawing>
                      </w:r>
                    </w:p>
                    <w:p w14:paraId="19D6FA17" w14:textId="30B63084" w:rsidR="007B7129" w:rsidRDefault="009653EB" w:rsidP="00DF51F5">
                      <w:pPr>
                        <w:pStyle w:val="Caption"/>
                      </w:pPr>
                      <w:bookmarkStart w:id="239" w:name="_Ref102582563"/>
                      <w:bookmarkStart w:id="240" w:name="_Toc100748309"/>
                      <w:r>
                        <w:t>Figure 3.</w:t>
                      </w:r>
                      <w:fldSimple w:instr=" SEQ Figure \* ARABIC ">
                        <w:r w:rsidR="00AA5AAC">
                          <w:rPr>
                            <w:noProof/>
                          </w:rPr>
                          <w:t>2</w:t>
                        </w:r>
                      </w:fldSimple>
                      <w:bookmarkStart w:id="241" w:name="_Toc100243255"/>
                      <w:bookmarkEnd w:id="239"/>
                      <w:r>
                        <w:t>.</w:t>
                      </w:r>
                      <w:r w:rsidR="007B7129">
                        <w:t xml:space="preserve"> The general </w:t>
                      </w:r>
                      <w:r w:rsidR="007B7129" w:rsidRPr="00F6154A">
                        <w:t>β-carboline</w:t>
                      </w:r>
                      <w:r w:rsidR="007B7129">
                        <w:t xml:space="preserve"> structure and IUPAC numbering system.</w:t>
                      </w:r>
                      <w:bookmarkEnd w:id="240"/>
                      <w:bookmarkEnd w:id="241"/>
                      <w:r w:rsidR="007B7129">
                        <w:t xml:space="preserve"> </w:t>
                      </w:r>
                    </w:p>
                  </w:txbxContent>
                </v:textbox>
                <w10:anchorlock/>
              </v:shape>
            </w:pict>
          </mc:Fallback>
        </mc:AlternateContent>
      </w:r>
    </w:p>
    <w:p w14:paraId="638BA086" w14:textId="62F350A7" w:rsidR="007B7129" w:rsidRPr="007B7129" w:rsidRDefault="007B7129" w:rsidP="007B7129">
      <w:pPr>
        <w:ind w:firstLine="720"/>
      </w:pPr>
      <w:r w:rsidRPr="007B7129">
        <w:t xml:space="preserve">Completing the total synthesis of the </w:t>
      </w:r>
      <w:r w:rsidRPr="007B7129">
        <w:rPr>
          <w:rFonts w:cs="Times New Roman"/>
        </w:rPr>
        <w:t>β</w:t>
      </w:r>
      <w:r w:rsidRPr="007B7129">
        <w:t xml:space="preserve">-carboline-containing </w:t>
      </w:r>
      <w:r w:rsidRPr="007B7129">
        <w:rPr>
          <w:i/>
          <w:iCs/>
        </w:rPr>
        <w:t>Picrasma</w:t>
      </w:r>
      <w:r w:rsidRPr="007B7129">
        <w:t xml:space="preserve"> alkaloids hinges on the ability to construct a properly substituted tricyclic ring system, which consists of an indole skeleton fused to a pyridine. Currently, the most common route to generate the β-carboline heterocycle and its saturated tetrahydro-β-carboline (THBC) congener (</w:t>
      </w:r>
      <w:r w:rsidR="00CB171A" w:rsidRPr="00CB171A">
        <w:rPr>
          <w:b/>
          <w:bCs/>
        </w:rPr>
        <w:fldChar w:fldCharType="begin"/>
      </w:r>
      <w:r w:rsidR="00CB171A" w:rsidRPr="00CB171A">
        <w:rPr>
          <w:b/>
          <w:bCs/>
        </w:rPr>
        <w:instrText xml:space="preserve"> REF _Ref102582563 \h  \* MERGEFORMAT </w:instrText>
      </w:r>
      <w:r w:rsidR="00CB171A" w:rsidRPr="00CB171A">
        <w:rPr>
          <w:b/>
          <w:bCs/>
        </w:rPr>
      </w:r>
      <w:r w:rsidR="00CB171A" w:rsidRPr="00CB171A">
        <w:rPr>
          <w:b/>
          <w:bCs/>
        </w:rPr>
        <w:fldChar w:fldCharType="separate"/>
      </w:r>
      <w:r w:rsidR="00AA5AAC" w:rsidRPr="00AA5AAC">
        <w:rPr>
          <w:b/>
          <w:bCs/>
        </w:rPr>
        <w:t>Figure 3.2</w:t>
      </w:r>
      <w:r w:rsidR="00CB171A" w:rsidRPr="00CB171A">
        <w:rPr>
          <w:b/>
          <w:bCs/>
        </w:rPr>
        <w:fldChar w:fldCharType="end"/>
      </w:r>
      <w:r w:rsidRPr="007B7129">
        <w:t>) includes the condensation of tryptamine with an aldehyde or ketone.</w:t>
      </w:r>
      <w:r w:rsidRPr="007B7129">
        <w:fldChar w:fldCharType="begin"/>
      </w:r>
      <w:r w:rsidRPr="007B7129">
        <w:instrText xml:space="preserve"> ADDIN ZOTERO_ITEM CSL_CITATION {"citationID":"eT89xtHv","properties":{"formattedCitation":"\\super 27\\nosupersub{}","plainCitation":"27","noteIndex":0},"citationItems":[{"id":308,"uris":["http://zotero.org/users/6503767/items/37IHSGC4"],"itemData":{"id":308,"type":"article-journal","container-title":"Berichte der deutschen chemischen Gesellschaft","DOI":"10.1002/cber.19110440309","ISSN":"1099-0682","issue":"3","language":"en","note":"_eprint: https://onlinelibrary.wiley.com/doi/pdf/10.1002/cber.19110440309","page":"2030-2036","source":"Wiley Online Library","title":"Über die Bildung von Isochinolin-derivaten durch Einwirkung von Methylal auf Phenyl-äthylamin, Phenyl-alanin und Tyrosin","volume":"44","author":[{"family":"Pictet","given":"Amé"},{"family":"Spengler","given":"Theod."}],"issued":{"date-parts":[["1911"]]}}}],"schema":"https://github.com/citation-style-language/schema/raw/master/csl-citation.json"} </w:instrText>
      </w:r>
      <w:r w:rsidRPr="007B7129">
        <w:fldChar w:fldCharType="separate"/>
      </w:r>
      <w:r w:rsidRPr="007B7129">
        <w:rPr>
          <w:rFonts w:cs="Times New Roman"/>
          <w:szCs w:val="24"/>
          <w:vertAlign w:val="superscript"/>
        </w:rPr>
        <w:t>27</w:t>
      </w:r>
      <w:r w:rsidRPr="007B7129">
        <w:fldChar w:fldCharType="end"/>
      </w:r>
      <w:r w:rsidRPr="007B7129">
        <w:t xml:space="preserve"> Named the Pictet-Spengler reaction (PSR)</w:t>
      </w:r>
      <w:bookmarkStart w:id="242" w:name="_Hlk87118568"/>
      <w:r w:rsidRPr="007B7129">
        <w:t>, its multifunctionality has significant synthetic value since the amine and aldehyde components can vary widely, allowing for the construction of structurally diverse THBC ring systems (</w:t>
      </w:r>
      <w:r w:rsidR="00CB171A" w:rsidRPr="00CB171A">
        <w:rPr>
          <w:b/>
          <w:bCs/>
        </w:rPr>
        <w:fldChar w:fldCharType="begin"/>
      </w:r>
      <w:r w:rsidR="00CB171A" w:rsidRPr="00CB171A">
        <w:rPr>
          <w:b/>
          <w:bCs/>
        </w:rPr>
        <w:instrText xml:space="preserve"> REF _Ref102582597 \h  \* MERGEFORMAT </w:instrText>
      </w:r>
      <w:r w:rsidR="00CB171A" w:rsidRPr="00CB171A">
        <w:rPr>
          <w:b/>
          <w:bCs/>
        </w:rPr>
      </w:r>
      <w:r w:rsidR="00CB171A" w:rsidRPr="00CB171A">
        <w:rPr>
          <w:b/>
          <w:bCs/>
        </w:rPr>
        <w:fldChar w:fldCharType="separate"/>
      </w:r>
      <w:r w:rsidR="00AA5AAC" w:rsidRPr="00AA5AAC">
        <w:rPr>
          <w:b/>
          <w:bCs/>
        </w:rPr>
        <w:t>Scheme 3.1</w:t>
      </w:r>
      <w:r w:rsidR="00CB171A" w:rsidRPr="00CB171A">
        <w:rPr>
          <w:b/>
          <w:bCs/>
        </w:rPr>
        <w:fldChar w:fldCharType="end"/>
      </w:r>
      <w:r w:rsidRPr="007B7129">
        <w:t>). The driving force of this reaction is the electrophilicity of the intermediate iminium ion, which can be enhanced by acidic conditions.</w:t>
      </w:r>
      <w:r w:rsidRPr="007B7129">
        <w:fldChar w:fldCharType="begin"/>
      </w:r>
      <w:r w:rsidRPr="007B7129">
        <w:instrText xml:space="preserve"> ADDIN ZOTERO_ITEM CSL_CITATION {"citationID":"HFxSNzEb","properties":{"formattedCitation":"\\super 28\\nosupersub{}","plainCitation":"28","noteIndex":0},"citationItems":[{"id":85,"uris":["http://zotero.org/users/6503767/items/U4LPIJFM"],"itemData":{"id":85,"type":"article-journal","container-title":"The Journal of Organic Chemistry","DOI":"10.1021/jo982019e","ISSN":"0022-3263, 1520-6904","issue":"2","journalAbbreviation":"J. Org. Chem.","language":"en","page":"611-617","source":"DOI.org (Crossref)","title":"Prototype Pictet−Spengler Reactions Catalyzed by Superacids. Involvement of Dicationic Superelectrophiles","volume":"64","author":[{"family":"Yokoyama","given":"Akihiro"},{"family":"Ohwada","given":"Tomohiko"},{"family":"Shudo","given":"Koichi"}],"issued":{"date-parts":[["1999",1]]}}}],"schema":"https://github.com/citation-style-language/schema/raw/master/csl-citation.json"} </w:instrText>
      </w:r>
      <w:r w:rsidRPr="007B7129">
        <w:fldChar w:fldCharType="separate"/>
      </w:r>
      <w:r w:rsidRPr="007B7129">
        <w:rPr>
          <w:rFonts w:cs="Times New Roman"/>
          <w:szCs w:val="24"/>
          <w:vertAlign w:val="superscript"/>
        </w:rPr>
        <w:t>28</w:t>
      </w:r>
      <w:r w:rsidRPr="007B7129">
        <w:fldChar w:fldCharType="end"/>
      </w:r>
      <w:r w:rsidRPr="007B7129">
        <w:t xml:space="preserve"> </w:t>
      </w:r>
    </w:p>
    <w:p w14:paraId="7E9A2119" w14:textId="77777777" w:rsidR="007B7129" w:rsidRPr="007B7129" w:rsidRDefault="007B7129" w:rsidP="007B7129">
      <w:pPr>
        <w:spacing w:after="0"/>
        <w:ind w:firstLine="720"/>
      </w:pPr>
      <w:r w:rsidRPr="007B7129">
        <w:rPr>
          <w:noProof/>
        </w:rPr>
        <w:lastRenderedPageBreak/>
        <mc:AlternateContent>
          <mc:Choice Requires="wps">
            <w:drawing>
              <wp:inline distT="0" distB="0" distL="0" distR="0" wp14:anchorId="435079D2" wp14:editId="015E54FE">
                <wp:extent cx="4632325" cy="1494790"/>
                <wp:effectExtent l="0" t="0" r="15875" b="10160"/>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2325" cy="1494790"/>
                        </a:xfrm>
                        <a:prstGeom prst="rect">
                          <a:avLst/>
                        </a:prstGeom>
                        <a:solidFill>
                          <a:srgbClr val="FFFFFF"/>
                        </a:solidFill>
                        <a:ln w="9525">
                          <a:solidFill>
                            <a:srgbClr val="000000"/>
                          </a:solidFill>
                          <a:miter lim="800000"/>
                          <a:headEnd/>
                          <a:tailEnd/>
                        </a:ln>
                      </wps:spPr>
                      <wps:txbx>
                        <w:txbxContent>
                          <w:p w14:paraId="34BBC710" w14:textId="77777777" w:rsidR="009653EB" w:rsidRDefault="007B7129" w:rsidP="009653EB">
                            <w:pPr>
                              <w:keepNext/>
                              <w:spacing w:line="240" w:lineRule="auto"/>
                              <w:jc w:val="center"/>
                            </w:pPr>
                            <w:r>
                              <w:rPr>
                                <w:rFonts w:asciiTheme="minorHAnsi" w:hAnsiTheme="minorHAnsi"/>
                                <w:sz w:val="22"/>
                              </w:rPr>
                              <w:object w:dxaOrig="4812" w:dyaOrig="1438" w14:anchorId="5AC1AF7F">
                                <v:shape id="_x0000_i1082" type="#_x0000_t75" style="width:241.25pt;height:1in" o:ole="">
                                  <v:imagedata r:id="rId81" o:title=""/>
                                </v:shape>
                                <o:OLEObject Type="Embed" ProgID="ChemDraw.Document.6.0" ShapeID="_x0000_i1082" DrawAspect="Content" ObjectID="_1713353492" r:id="rId235"/>
                              </w:object>
                            </w:r>
                          </w:p>
                          <w:p w14:paraId="05694A5B" w14:textId="751F983B" w:rsidR="007B7129" w:rsidRDefault="009653EB" w:rsidP="00DF51F5">
                            <w:pPr>
                              <w:pStyle w:val="Caption"/>
                            </w:pPr>
                            <w:bookmarkStart w:id="243" w:name="_Ref102582597"/>
                            <w:r>
                              <w:t>Scheme 3.</w:t>
                            </w:r>
                            <w:fldSimple w:instr=" SEQ Scheme \* ARABIC \r1 ">
                              <w:r w:rsidR="00AA5AAC">
                                <w:rPr>
                                  <w:noProof/>
                                </w:rPr>
                                <w:t>1</w:t>
                              </w:r>
                            </w:fldSimple>
                            <w:bookmarkEnd w:id="243"/>
                            <w:r w:rsidR="007B7129">
                              <w:t xml:space="preserve">. Generalized Pictet-Spengler cyclization starting from tryptamine and an aldehyde (RCHO). </w:t>
                            </w:r>
                          </w:p>
                        </w:txbxContent>
                      </wps:txbx>
                      <wps:bodyPr rot="0" vert="horz" wrap="square" lIns="91440" tIns="45720" rIns="91440" bIns="45720" anchor="t" anchorCtr="0">
                        <a:noAutofit/>
                      </wps:bodyPr>
                    </wps:wsp>
                  </a:graphicData>
                </a:graphic>
              </wp:inline>
            </w:drawing>
          </mc:Choice>
          <mc:Fallback>
            <w:pict>
              <v:shape w14:anchorId="435079D2" id="_x0000_s1077" type="#_x0000_t202" style="width:364.75pt;height:1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">
                <v:textbox>
                  <w:txbxContent>
                    <w:p w14:paraId="34BBC710" w14:textId="77777777" w:rsidR="009653EB" w:rsidRDefault="007B7129" w:rsidP="009653EB">
                      <w:pPr>
                        <w:keepNext/>
                        <w:spacing w:line="240" w:lineRule="auto"/>
                        <w:jc w:val="center"/>
                      </w:pPr>
                      <w:r>
                        <w:rPr>
                          <w:rFonts w:asciiTheme="minorHAnsi" w:hAnsiTheme="minorHAnsi"/>
                          <w:sz w:val="22"/>
                        </w:rPr>
                        <w:object w:dxaOrig="4812" w:dyaOrig="1438" w14:anchorId="5AC1AF7F">
                          <v:shape id="_x0000_i1082" type="#_x0000_t75" style="width:241.25pt;height:1in" o:ole="">
                            <v:imagedata r:id="rId81" o:title=""/>
                          </v:shape>
                          <o:OLEObject Type="Embed" ProgID="ChemDraw.Document.6.0" ShapeID="_x0000_i1082" DrawAspect="Content" ObjectID="_1713353492" r:id="rId236"/>
                        </w:object>
                      </w:r>
                    </w:p>
                    <w:p w14:paraId="05694A5B" w14:textId="751F983B" w:rsidR="007B7129" w:rsidRDefault="009653EB" w:rsidP="00DF51F5">
                      <w:pPr>
                        <w:pStyle w:val="Caption"/>
                      </w:pPr>
                      <w:bookmarkStart w:id="244" w:name="_Ref102582597"/>
                      <w:r>
                        <w:t>Scheme 3.</w:t>
                      </w:r>
                      <w:fldSimple w:instr=" SEQ Scheme \* ARABIC \r1 ">
                        <w:r w:rsidR="00AA5AAC">
                          <w:rPr>
                            <w:noProof/>
                          </w:rPr>
                          <w:t>1</w:t>
                        </w:r>
                      </w:fldSimple>
                      <w:bookmarkEnd w:id="244"/>
                      <w:r w:rsidR="007B7129">
                        <w:t xml:space="preserve">. Generalized Pictet-Spengler cyclization starting from tryptamine and an aldehyde (RCHO). </w:t>
                      </w:r>
                    </w:p>
                  </w:txbxContent>
                </v:textbox>
                <w10:anchorlock/>
              </v:shape>
            </w:pict>
          </mc:Fallback>
        </mc:AlternateContent>
      </w:r>
    </w:p>
    <w:bookmarkEnd w:id="242"/>
    <w:p w14:paraId="79F4B5EA" w14:textId="3BEC403E" w:rsidR="007B7129" w:rsidRPr="007B7129" w:rsidRDefault="007B7129" w:rsidP="007B7129">
      <w:pPr>
        <w:spacing w:after="0"/>
        <w:ind w:firstLine="720"/>
        <w:rPr>
          <w:rFonts w:eastAsia="Times New Roman" w:cs="Times New Roman"/>
          <w:szCs w:val="24"/>
        </w:rPr>
      </w:pPr>
      <w:r w:rsidRPr="007B7129">
        <w:rPr>
          <w:rFonts w:eastAsia="Times New Roman" w:cs="Times New Roman"/>
          <w:szCs w:val="24"/>
        </w:rPr>
        <w:t xml:space="preserve">The </w:t>
      </w:r>
      <w:r w:rsidRPr="007B7129">
        <w:rPr>
          <w:rFonts w:eastAsia="Times New Roman" w:cs="Times New Roman"/>
          <w:i/>
          <w:iCs/>
          <w:szCs w:val="24"/>
        </w:rPr>
        <w:t>Picrasma</w:t>
      </w:r>
      <w:r w:rsidRPr="007B7129">
        <w:rPr>
          <w:rFonts w:eastAsia="Times New Roman" w:cs="Times New Roman"/>
          <w:szCs w:val="24"/>
        </w:rPr>
        <w:t xml:space="preserve"> family of alkaloids are unique in their asymmetrical bis-β-carboline structure and widely varying oxidation patterns. For example, picrasidine C (</w:t>
      </w:r>
      <w:r w:rsidRPr="007B7129">
        <w:rPr>
          <w:rFonts w:eastAsia="Times New Roman" w:cs="Times New Roman"/>
          <w:b/>
          <w:bCs/>
          <w:szCs w:val="24"/>
        </w:rPr>
        <w:t>3.1</w:t>
      </w:r>
      <w:r w:rsidRPr="007B7129">
        <w:rPr>
          <w:rFonts w:eastAsia="Times New Roman" w:cs="Times New Roman"/>
          <w:szCs w:val="24"/>
        </w:rPr>
        <w:t>) contains two distinct β-carboline systems, with the first unsubstituted (denoted as β-carboline A,</w:t>
      </w:r>
      <w:r w:rsidR="00CB171A">
        <w:rPr>
          <w:rFonts w:eastAsia="Times New Roman" w:cs="Times New Roman"/>
          <w:b/>
          <w:bCs/>
          <w:szCs w:val="24"/>
        </w:rPr>
        <w:t xml:space="preserve"> </w:t>
      </w:r>
      <w:r w:rsidR="00CB171A" w:rsidRPr="00CB171A">
        <w:rPr>
          <w:rFonts w:eastAsia="Times New Roman" w:cs="Times New Roman"/>
          <w:b/>
          <w:bCs/>
          <w:szCs w:val="24"/>
        </w:rPr>
        <w:fldChar w:fldCharType="begin"/>
      </w:r>
      <w:r w:rsidR="00CB171A" w:rsidRPr="00CB171A">
        <w:rPr>
          <w:rFonts w:eastAsia="Times New Roman" w:cs="Times New Roman"/>
          <w:b/>
          <w:bCs/>
          <w:szCs w:val="24"/>
        </w:rPr>
        <w:instrText xml:space="preserve"> REF _Ref102582636 \h  \* MERGEFORMAT </w:instrText>
      </w:r>
      <w:r w:rsidR="00CB171A" w:rsidRPr="00CB171A">
        <w:rPr>
          <w:rFonts w:eastAsia="Times New Roman" w:cs="Times New Roman"/>
          <w:b/>
          <w:bCs/>
          <w:szCs w:val="24"/>
        </w:rPr>
      </w:r>
      <w:r w:rsidR="00CB171A" w:rsidRPr="00CB171A">
        <w:rPr>
          <w:rFonts w:eastAsia="Times New Roman" w:cs="Times New Roman"/>
          <w:b/>
          <w:bCs/>
          <w:szCs w:val="24"/>
        </w:rPr>
        <w:fldChar w:fldCharType="separate"/>
      </w:r>
      <w:r w:rsidR="00AA5AAC" w:rsidRPr="00AA5AAC">
        <w:rPr>
          <w:b/>
          <w:bCs/>
        </w:rPr>
        <w:t>Figure 3.3</w:t>
      </w:r>
      <w:r w:rsidR="00CB171A" w:rsidRPr="00CB171A">
        <w:rPr>
          <w:rFonts w:eastAsia="Times New Roman" w:cs="Times New Roman"/>
          <w:b/>
          <w:bCs/>
          <w:szCs w:val="24"/>
        </w:rPr>
        <w:fldChar w:fldCharType="end"/>
      </w:r>
      <w:r w:rsidRPr="007B7129">
        <w:rPr>
          <w:rFonts w:eastAsia="Times New Roman" w:cs="Times New Roman"/>
          <w:szCs w:val="24"/>
        </w:rPr>
        <w:t>) and the second containing two methoxy groups, at the 4- and 8-positions (denoted as β-carboline B,</w:t>
      </w:r>
      <w:r w:rsidR="00CB171A">
        <w:rPr>
          <w:rFonts w:eastAsia="Times New Roman" w:cs="Times New Roman"/>
          <w:b/>
          <w:bCs/>
          <w:szCs w:val="24"/>
        </w:rPr>
        <w:t xml:space="preserve"> </w:t>
      </w:r>
      <w:r w:rsidR="00CB171A" w:rsidRPr="00CB171A">
        <w:rPr>
          <w:rFonts w:eastAsia="Times New Roman" w:cs="Times New Roman"/>
          <w:b/>
          <w:bCs/>
          <w:szCs w:val="24"/>
        </w:rPr>
        <w:fldChar w:fldCharType="begin"/>
      </w:r>
      <w:r w:rsidR="00CB171A" w:rsidRPr="00CB171A">
        <w:rPr>
          <w:rFonts w:eastAsia="Times New Roman" w:cs="Times New Roman"/>
          <w:b/>
          <w:bCs/>
          <w:szCs w:val="24"/>
        </w:rPr>
        <w:instrText xml:space="preserve"> REF _Ref102582636 \h  \* MERGEFORMAT </w:instrText>
      </w:r>
      <w:r w:rsidR="00CB171A" w:rsidRPr="00CB171A">
        <w:rPr>
          <w:rFonts w:eastAsia="Times New Roman" w:cs="Times New Roman"/>
          <w:b/>
          <w:bCs/>
          <w:szCs w:val="24"/>
        </w:rPr>
      </w:r>
      <w:r w:rsidR="00CB171A" w:rsidRPr="00CB171A">
        <w:rPr>
          <w:rFonts w:eastAsia="Times New Roman" w:cs="Times New Roman"/>
          <w:b/>
          <w:bCs/>
          <w:szCs w:val="24"/>
        </w:rPr>
        <w:fldChar w:fldCharType="separate"/>
      </w:r>
      <w:r w:rsidR="00AA5AAC" w:rsidRPr="00AA5AAC">
        <w:rPr>
          <w:b/>
          <w:bCs/>
        </w:rPr>
        <w:t>Figure 3.3</w:t>
      </w:r>
      <w:r w:rsidR="00CB171A" w:rsidRPr="00CB171A">
        <w:rPr>
          <w:rFonts w:eastAsia="Times New Roman" w:cs="Times New Roman"/>
          <w:b/>
          <w:bCs/>
          <w:szCs w:val="24"/>
        </w:rPr>
        <w:fldChar w:fldCharType="end"/>
      </w:r>
      <w:r w:rsidRPr="007B7129">
        <w:rPr>
          <w:rFonts w:eastAsia="Times New Roman" w:cs="Times New Roman"/>
          <w:szCs w:val="24"/>
        </w:rPr>
        <w:t>). Picrasidines C (</w:t>
      </w:r>
      <w:r w:rsidRPr="007B7129">
        <w:rPr>
          <w:rFonts w:eastAsia="Times New Roman" w:cs="Times New Roman"/>
          <w:b/>
          <w:bCs/>
          <w:szCs w:val="24"/>
        </w:rPr>
        <w:t>3.1</w:t>
      </w:r>
      <w:r w:rsidRPr="007B7129">
        <w:rPr>
          <w:rFonts w:eastAsia="Times New Roman" w:cs="Times New Roman"/>
          <w:szCs w:val="24"/>
        </w:rPr>
        <w:t>), R (</w:t>
      </w:r>
      <w:r w:rsidRPr="007B7129">
        <w:rPr>
          <w:rFonts w:eastAsia="Times New Roman" w:cs="Times New Roman"/>
          <w:b/>
          <w:bCs/>
          <w:szCs w:val="24"/>
        </w:rPr>
        <w:t>3.2</w:t>
      </w:r>
      <w:r w:rsidRPr="007B7129">
        <w:rPr>
          <w:rFonts w:eastAsia="Times New Roman" w:cs="Times New Roman"/>
          <w:szCs w:val="24"/>
        </w:rPr>
        <w:t>), and H (</w:t>
      </w:r>
      <w:r w:rsidRPr="007B7129">
        <w:rPr>
          <w:rFonts w:eastAsia="Times New Roman" w:cs="Times New Roman"/>
          <w:b/>
          <w:bCs/>
          <w:szCs w:val="24"/>
        </w:rPr>
        <w:t>3.3</w:t>
      </w:r>
      <w:r w:rsidRPr="007B7129">
        <w:rPr>
          <w:rFonts w:eastAsia="Times New Roman" w:cs="Times New Roman"/>
          <w:szCs w:val="24"/>
        </w:rPr>
        <w:t>), and quassidines A (</w:t>
      </w:r>
      <w:r w:rsidRPr="007B7129">
        <w:rPr>
          <w:rFonts w:eastAsia="Times New Roman" w:cs="Times New Roman"/>
          <w:b/>
          <w:bCs/>
          <w:szCs w:val="24"/>
        </w:rPr>
        <w:t>3.17</w:t>
      </w:r>
      <w:r w:rsidRPr="007B7129">
        <w:rPr>
          <w:rFonts w:eastAsia="Times New Roman" w:cs="Times New Roman"/>
          <w:szCs w:val="24"/>
        </w:rPr>
        <w:t>) B (</w:t>
      </w:r>
      <w:r w:rsidRPr="007B7129">
        <w:rPr>
          <w:rFonts w:eastAsia="Times New Roman" w:cs="Times New Roman"/>
          <w:b/>
          <w:bCs/>
          <w:szCs w:val="24"/>
        </w:rPr>
        <w:t>3.4</w:t>
      </w:r>
      <w:r w:rsidRPr="007B7129">
        <w:rPr>
          <w:rFonts w:eastAsia="Times New Roman" w:cs="Times New Roman"/>
          <w:szCs w:val="24"/>
        </w:rPr>
        <w:t>), C (</w:t>
      </w:r>
      <w:r w:rsidRPr="007B7129">
        <w:rPr>
          <w:rFonts w:eastAsia="Times New Roman" w:cs="Times New Roman"/>
          <w:b/>
          <w:bCs/>
          <w:szCs w:val="24"/>
        </w:rPr>
        <w:t>3.5</w:t>
      </w:r>
      <w:r w:rsidRPr="007B7129">
        <w:rPr>
          <w:rFonts w:eastAsia="Times New Roman" w:cs="Times New Roman"/>
          <w:szCs w:val="24"/>
        </w:rPr>
        <w:t>), and D (</w:t>
      </w:r>
      <w:r w:rsidRPr="007B7129">
        <w:rPr>
          <w:rFonts w:eastAsia="Times New Roman" w:cs="Times New Roman"/>
          <w:b/>
          <w:bCs/>
          <w:szCs w:val="24"/>
        </w:rPr>
        <w:t>3.6</w:t>
      </w:r>
      <w:r w:rsidRPr="007B7129">
        <w:rPr>
          <w:rFonts w:eastAsia="Times New Roman" w:cs="Times New Roman"/>
          <w:szCs w:val="24"/>
        </w:rPr>
        <w:t>) each contain a three- or four-carbon linker region connecting the two heterocycles, although the carbon skeletons and oxidation patterns differ between the structures. The pyridinium-type salts, including picrasidines F (</w:t>
      </w:r>
      <w:r w:rsidRPr="007B7129">
        <w:rPr>
          <w:rFonts w:eastAsia="Times New Roman" w:cs="Times New Roman"/>
          <w:b/>
          <w:bCs/>
          <w:szCs w:val="24"/>
        </w:rPr>
        <w:t>3.7</w:t>
      </w:r>
      <w:r w:rsidRPr="007B7129">
        <w:rPr>
          <w:rFonts w:eastAsia="Times New Roman" w:cs="Times New Roman"/>
          <w:szCs w:val="24"/>
        </w:rPr>
        <w:t>), G (</w:t>
      </w:r>
      <w:r w:rsidRPr="007B7129">
        <w:rPr>
          <w:rFonts w:eastAsia="Times New Roman" w:cs="Times New Roman"/>
          <w:b/>
          <w:bCs/>
          <w:szCs w:val="24"/>
        </w:rPr>
        <w:t>3.8</w:t>
      </w:r>
      <w:r w:rsidRPr="007B7129">
        <w:rPr>
          <w:rFonts w:eastAsia="Times New Roman" w:cs="Times New Roman"/>
          <w:szCs w:val="24"/>
        </w:rPr>
        <w:t>), S (</w:t>
      </w:r>
      <w:r w:rsidRPr="007B7129">
        <w:rPr>
          <w:rFonts w:eastAsia="Times New Roman" w:cs="Times New Roman"/>
          <w:b/>
          <w:bCs/>
          <w:szCs w:val="24"/>
        </w:rPr>
        <w:t>3.9</w:t>
      </w:r>
      <w:r w:rsidRPr="007B7129">
        <w:rPr>
          <w:rFonts w:eastAsia="Times New Roman" w:cs="Times New Roman"/>
          <w:szCs w:val="24"/>
        </w:rPr>
        <w:t>), and T (</w:t>
      </w:r>
      <w:r w:rsidRPr="007B7129">
        <w:rPr>
          <w:rFonts w:eastAsia="Times New Roman" w:cs="Times New Roman"/>
          <w:b/>
          <w:bCs/>
          <w:szCs w:val="24"/>
        </w:rPr>
        <w:t>3.10</w:t>
      </w:r>
      <w:r w:rsidRPr="007B7129">
        <w:rPr>
          <w:rFonts w:eastAsia="Times New Roman" w:cs="Times New Roman"/>
          <w:szCs w:val="24"/>
        </w:rPr>
        <w:t>), quassidines I (</w:t>
      </w:r>
      <w:r w:rsidRPr="007B7129">
        <w:rPr>
          <w:rFonts w:eastAsia="Times New Roman" w:cs="Times New Roman"/>
          <w:b/>
          <w:bCs/>
          <w:szCs w:val="24"/>
        </w:rPr>
        <w:t>3.11</w:t>
      </w:r>
      <w:r w:rsidRPr="007B7129">
        <w:rPr>
          <w:rFonts w:eastAsia="Times New Roman" w:cs="Times New Roman"/>
          <w:szCs w:val="24"/>
        </w:rPr>
        <w:t>) and J (</w:t>
      </w:r>
      <w:r w:rsidRPr="007B7129">
        <w:rPr>
          <w:rFonts w:eastAsia="Times New Roman" w:cs="Times New Roman"/>
          <w:b/>
          <w:bCs/>
          <w:szCs w:val="24"/>
        </w:rPr>
        <w:t>3.12</w:t>
      </w:r>
      <w:r w:rsidRPr="007B7129">
        <w:rPr>
          <w:rFonts w:eastAsia="Times New Roman" w:cs="Times New Roman"/>
          <w:szCs w:val="24"/>
        </w:rPr>
        <w:t xml:space="preserve">), and the N-methoxy-β-carboline alkaloids (NMCA) </w:t>
      </w:r>
      <w:r w:rsidRPr="007B7129">
        <w:rPr>
          <w:rFonts w:eastAsia="Times New Roman" w:cs="Times New Roman"/>
          <w:b/>
          <w:bCs/>
          <w:szCs w:val="24"/>
        </w:rPr>
        <w:t>3.13</w:t>
      </w:r>
      <w:r w:rsidRPr="007B7129">
        <w:rPr>
          <w:rFonts w:eastAsia="Times New Roman" w:cs="Times New Roman"/>
          <w:szCs w:val="24"/>
        </w:rPr>
        <w:t xml:space="preserve"> and </w:t>
      </w:r>
      <w:r w:rsidRPr="007B7129">
        <w:rPr>
          <w:rFonts w:eastAsia="Times New Roman" w:cs="Times New Roman"/>
          <w:b/>
          <w:bCs/>
          <w:szCs w:val="24"/>
        </w:rPr>
        <w:t>3.14</w:t>
      </w:r>
      <w:r w:rsidRPr="007B7129">
        <w:rPr>
          <w:rFonts w:eastAsia="Times New Roman" w:cs="Times New Roman"/>
          <w:szCs w:val="24"/>
        </w:rPr>
        <w:t xml:space="preserve">, stand apart structurally due to the presence of a four-carbon linker lacking oxidation and inclusion of a fourth fused ring to create a pyridinium-type ionic species. </w:t>
      </w:r>
    </w:p>
    <w:p w14:paraId="3BF3B956" w14:textId="77777777" w:rsidR="007B7129" w:rsidRPr="007B7129" w:rsidRDefault="007B7129" w:rsidP="007B7129">
      <w:pPr>
        <w:spacing w:after="0"/>
        <w:rPr>
          <w:rFonts w:eastAsia="Times New Roman" w:cs="Times New Roman"/>
          <w:szCs w:val="24"/>
        </w:rPr>
      </w:pPr>
      <w:r w:rsidRPr="007B7129">
        <w:rPr>
          <w:rFonts w:eastAsia="Times New Roman" w:cs="Times New Roman"/>
          <w:noProof/>
          <w:szCs w:val="24"/>
        </w:rPr>
        <w:lastRenderedPageBreak/>
        <mc:AlternateContent>
          <mc:Choice Requires="wps">
            <w:drawing>
              <wp:inline distT="0" distB="0" distL="0" distR="0" wp14:anchorId="1AEF56BD" wp14:editId="713D2846">
                <wp:extent cx="5943600" cy="2834005"/>
                <wp:effectExtent l="0" t="0" r="19050" b="23495"/>
                <wp:docPr id="206" name="Text Box 206" descr="Representative structures of picrasidine C (3.1) and G (3.8) to show differentiation between the two structurally distinct β-carboline ring syste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834005"/>
                        </a:xfrm>
                        <a:prstGeom prst="rect">
                          <a:avLst/>
                        </a:prstGeom>
                        <a:solidFill>
                          <a:srgbClr val="FFFFFF"/>
                        </a:solidFill>
                        <a:ln w="9525">
                          <a:solidFill>
                            <a:sysClr val="windowText" lastClr="000000"/>
                          </a:solidFill>
                          <a:miter lim="800000"/>
                          <a:headEnd/>
                          <a:tailEnd/>
                        </a:ln>
                      </wps:spPr>
                      <wps:txbx>
                        <w:txbxContent>
                          <w:p w14:paraId="5FF93AF8" w14:textId="71127E25" w:rsidR="00183BAD" w:rsidRDefault="00CB171A" w:rsidP="00CB171A">
                            <w:pPr>
                              <w:keepNext/>
                              <w:spacing w:line="240" w:lineRule="auto"/>
                              <w:jc w:val="center"/>
                            </w:pPr>
                            <w:r>
                              <w:rPr>
                                <w:noProof/>
                              </w:rPr>
                              <w:drawing>
                                <wp:inline distT="0" distB="0" distL="0" distR="0" wp14:anchorId="082B5531" wp14:editId="54BCC122">
                                  <wp:extent cx="5248153" cy="1887007"/>
                                  <wp:effectExtent l="0" t="0" r="0" b="0"/>
                                  <wp:docPr id="325" name="Picture 325" descr="Representative structures of picrasidine C (3.1) and G (3.8) to show differentiation between the two structurally distinct β-carboline ring syste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Representative structures of picrasidine C (3.1) and G (3.8) to show differentiation between the two structurally distinct β-carboline ring systems. "/>
                                          <pic:cNvPicPr/>
                                        </pic:nvPicPr>
                                        <pic:blipFill>
                                          <a:blip r:embed="rId237">
                                            <a:extLst>
                                              <a:ext uri="{28A0092B-C50C-407E-A947-70E740481C1C}">
                                                <a14:useLocalDpi xmlns:a14="http://schemas.microsoft.com/office/drawing/2010/main" val="0"/>
                                              </a:ext>
                                            </a:extLst>
                                          </a:blip>
                                          <a:stretch>
                                            <a:fillRect/>
                                          </a:stretch>
                                        </pic:blipFill>
                                        <pic:spPr>
                                          <a:xfrm>
                                            <a:off x="0" y="0"/>
                                            <a:ext cx="5248153" cy="1887007"/>
                                          </a:xfrm>
                                          <a:prstGeom prst="rect">
                                            <a:avLst/>
                                          </a:prstGeom>
                                        </pic:spPr>
                                      </pic:pic>
                                    </a:graphicData>
                                  </a:graphic>
                                </wp:inline>
                              </w:drawing>
                            </w:r>
                          </w:p>
                          <w:p w14:paraId="4F387E37" w14:textId="260978C1" w:rsidR="007B7129" w:rsidRDefault="00183BAD" w:rsidP="00DF51F5">
                            <w:pPr>
                              <w:pStyle w:val="Caption"/>
                            </w:pPr>
                            <w:bookmarkStart w:id="245" w:name="_Ref102582636"/>
                            <w:bookmarkStart w:id="246" w:name="_Toc100748310"/>
                            <w:r>
                              <w:t>Figure 3.</w:t>
                            </w:r>
                            <w:fldSimple w:instr=" SEQ Figure \* ARABIC ">
                              <w:r w:rsidR="00AA5AAC">
                                <w:rPr>
                                  <w:noProof/>
                                </w:rPr>
                                <w:t>3</w:t>
                              </w:r>
                            </w:fldSimple>
                            <w:bookmarkStart w:id="247" w:name="_Toc100243256"/>
                            <w:bookmarkEnd w:id="245"/>
                            <w:r w:rsidR="007B7129">
                              <w:t>. Representative structures of picrasidine C (</w:t>
                            </w:r>
                            <w:r w:rsidR="007B7129" w:rsidRPr="003D00EA">
                              <w:rPr>
                                <w:rFonts w:cs="Times New Roman"/>
                                <w:szCs w:val="24"/>
                              </w:rPr>
                              <w:t>3.</w:t>
                            </w:r>
                            <w:r w:rsidR="007B7129" w:rsidRPr="003D00EA">
                              <w:t>1) and G (</w:t>
                            </w:r>
                            <w:r w:rsidR="007B7129" w:rsidRPr="003D00EA">
                              <w:rPr>
                                <w:rFonts w:cs="Times New Roman"/>
                                <w:szCs w:val="24"/>
                              </w:rPr>
                              <w:t>3.</w:t>
                            </w:r>
                            <w:r w:rsidR="007B7129">
                              <w:t xml:space="preserve">8) to show differentiation between the two structurally distinct </w:t>
                            </w:r>
                            <w:r w:rsidR="007B7129">
                              <w:rPr>
                                <w:rFonts w:cs="Times New Roman"/>
                              </w:rPr>
                              <w:t>β</w:t>
                            </w:r>
                            <w:r w:rsidR="007B7129">
                              <w:t>-carboline ring systems.</w:t>
                            </w:r>
                            <w:bookmarkEnd w:id="246"/>
                            <w:bookmarkEnd w:id="247"/>
                            <w:r w:rsidR="007B7129">
                              <w:t xml:space="preserve"> </w:t>
                            </w:r>
                          </w:p>
                          <w:p w14:paraId="454ED7C0" w14:textId="77777777" w:rsidR="007B7129" w:rsidRPr="00C178AB" w:rsidRDefault="007B7129" w:rsidP="007B7129">
                            <w:pPr>
                              <w:rPr>
                                <w:i/>
                                <w:iCs/>
                              </w:rPr>
                            </w:pPr>
                            <w:r>
                              <w:t xml:space="preserve">Key: cyan = </w:t>
                            </w:r>
                            <w:r w:rsidRPr="00897974">
                              <w:rPr>
                                <w:rFonts w:cs="Times New Roman"/>
                              </w:rPr>
                              <w:t>β</w:t>
                            </w:r>
                            <w:r w:rsidRPr="00897974">
                              <w:t xml:space="preserve">-carboline </w:t>
                            </w:r>
                            <w:r w:rsidRPr="00172D7C">
                              <w:rPr>
                                <w:b/>
                                <w:bCs/>
                              </w:rPr>
                              <w:t>A</w:t>
                            </w:r>
                            <w:r>
                              <w:t xml:space="preserve">, magenta </w:t>
                            </w:r>
                            <w:r w:rsidRPr="00897974">
                              <w:t xml:space="preserve">= </w:t>
                            </w:r>
                            <w:r w:rsidRPr="00897974">
                              <w:rPr>
                                <w:rFonts w:cs="Times New Roman"/>
                              </w:rPr>
                              <w:t>β</w:t>
                            </w:r>
                            <w:r w:rsidRPr="00897974">
                              <w:t xml:space="preserve">-carboline </w:t>
                            </w:r>
                            <w:r w:rsidRPr="00172D7C">
                              <w:rPr>
                                <w:b/>
                                <w:bCs/>
                              </w:rPr>
                              <w:t>B</w:t>
                            </w:r>
                          </w:p>
                        </w:txbxContent>
                      </wps:txbx>
                      <wps:bodyPr rot="0" vert="horz" wrap="square" lIns="91440" tIns="45720" rIns="91440" bIns="45720" anchor="t" anchorCtr="0">
                        <a:noAutofit/>
                      </wps:bodyPr>
                    </wps:wsp>
                  </a:graphicData>
                </a:graphic>
              </wp:inline>
            </w:drawing>
          </mc:Choice>
          <mc:Fallback>
            <w:pict>
              <v:shape w14:anchorId="1AEF56BD" id="Text Box 206" o:spid="_x0000_s1078" type="#_x0000_t202" alt="Representative structures of picrasidine C (3.1) and G (3.8) to show differentiation between the two structurally distinct β-carboline ring systems. " style="width:468pt;height:22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" strokecolor="windowText">
                <v:textbox>
                  <w:txbxContent>
                    <w:p w14:paraId="5FF93AF8" w14:textId="71127E25" w:rsidR="00183BAD" w:rsidRDefault="00CB171A" w:rsidP="00CB171A">
                      <w:pPr>
                        <w:keepNext/>
                        <w:spacing w:line="240" w:lineRule="auto"/>
                        <w:jc w:val="center"/>
                      </w:pPr>
                      <w:r>
                        <w:rPr>
                          <w:noProof/>
                        </w:rPr>
                        <w:drawing>
                          <wp:inline distT="0" distB="0" distL="0" distR="0" wp14:anchorId="082B5531" wp14:editId="54BCC122">
                            <wp:extent cx="5248153" cy="1887007"/>
                            <wp:effectExtent l="0" t="0" r="0" b="0"/>
                            <wp:docPr id="325" name="Picture 325" descr="Representative structures of picrasidine C (3.1) and G (3.8) to show differentiation between the two structurally distinct β-carboline ring syste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Representative structures of picrasidine C (3.1) and G (3.8) to show differentiation between the two structurally distinct β-carboline ring systems. "/>
                                    <pic:cNvPicPr/>
                                  </pic:nvPicPr>
                                  <pic:blipFill>
                                    <a:blip r:embed="rId237">
                                      <a:extLst>
                                        <a:ext uri="{28A0092B-C50C-407E-A947-70E740481C1C}">
                                          <a14:useLocalDpi xmlns:a14="http://schemas.microsoft.com/office/drawing/2010/main" val="0"/>
                                        </a:ext>
                                      </a:extLst>
                                    </a:blip>
                                    <a:stretch>
                                      <a:fillRect/>
                                    </a:stretch>
                                  </pic:blipFill>
                                  <pic:spPr>
                                    <a:xfrm>
                                      <a:off x="0" y="0"/>
                                      <a:ext cx="5248153" cy="1887007"/>
                                    </a:xfrm>
                                    <a:prstGeom prst="rect">
                                      <a:avLst/>
                                    </a:prstGeom>
                                  </pic:spPr>
                                </pic:pic>
                              </a:graphicData>
                            </a:graphic>
                          </wp:inline>
                        </w:drawing>
                      </w:r>
                    </w:p>
                    <w:p w14:paraId="4F387E37" w14:textId="260978C1" w:rsidR="007B7129" w:rsidRDefault="00183BAD" w:rsidP="00DF51F5">
                      <w:pPr>
                        <w:pStyle w:val="Caption"/>
                      </w:pPr>
                      <w:bookmarkStart w:id="248" w:name="_Ref102582636"/>
                      <w:bookmarkStart w:id="249" w:name="_Toc100748310"/>
                      <w:r>
                        <w:t>Figure 3.</w:t>
                      </w:r>
                      <w:fldSimple w:instr=" SEQ Figure \* ARABIC ">
                        <w:r w:rsidR="00AA5AAC">
                          <w:rPr>
                            <w:noProof/>
                          </w:rPr>
                          <w:t>3</w:t>
                        </w:r>
                      </w:fldSimple>
                      <w:bookmarkStart w:id="250" w:name="_Toc100243256"/>
                      <w:bookmarkEnd w:id="248"/>
                      <w:r w:rsidR="007B7129">
                        <w:t>. Representative structures of picrasidine C (</w:t>
                      </w:r>
                      <w:r w:rsidR="007B7129" w:rsidRPr="003D00EA">
                        <w:rPr>
                          <w:rFonts w:cs="Times New Roman"/>
                          <w:szCs w:val="24"/>
                        </w:rPr>
                        <w:t>3.</w:t>
                      </w:r>
                      <w:r w:rsidR="007B7129" w:rsidRPr="003D00EA">
                        <w:t>1) and G (</w:t>
                      </w:r>
                      <w:r w:rsidR="007B7129" w:rsidRPr="003D00EA">
                        <w:rPr>
                          <w:rFonts w:cs="Times New Roman"/>
                          <w:szCs w:val="24"/>
                        </w:rPr>
                        <w:t>3.</w:t>
                      </w:r>
                      <w:r w:rsidR="007B7129">
                        <w:t xml:space="preserve">8) to show differentiation between the two structurally distinct </w:t>
                      </w:r>
                      <w:r w:rsidR="007B7129">
                        <w:rPr>
                          <w:rFonts w:cs="Times New Roman"/>
                        </w:rPr>
                        <w:t>β</w:t>
                      </w:r>
                      <w:r w:rsidR="007B7129">
                        <w:t>-carboline ring systems.</w:t>
                      </w:r>
                      <w:bookmarkEnd w:id="249"/>
                      <w:bookmarkEnd w:id="250"/>
                      <w:r w:rsidR="007B7129">
                        <w:t xml:space="preserve"> </w:t>
                      </w:r>
                    </w:p>
                    <w:p w14:paraId="454ED7C0" w14:textId="77777777" w:rsidR="007B7129" w:rsidRPr="00C178AB" w:rsidRDefault="007B7129" w:rsidP="007B7129">
                      <w:pPr>
                        <w:rPr>
                          <w:i/>
                          <w:iCs/>
                        </w:rPr>
                      </w:pPr>
                      <w:r>
                        <w:t xml:space="preserve">Key: cyan = </w:t>
                      </w:r>
                      <w:r w:rsidRPr="00897974">
                        <w:rPr>
                          <w:rFonts w:cs="Times New Roman"/>
                        </w:rPr>
                        <w:t>β</w:t>
                      </w:r>
                      <w:r w:rsidRPr="00897974">
                        <w:t xml:space="preserve">-carboline </w:t>
                      </w:r>
                      <w:r w:rsidRPr="00172D7C">
                        <w:rPr>
                          <w:b/>
                          <w:bCs/>
                        </w:rPr>
                        <w:t>A</w:t>
                      </w:r>
                      <w:r>
                        <w:t xml:space="preserve">, magenta </w:t>
                      </w:r>
                      <w:r w:rsidRPr="00897974">
                        <w:t xml:space="preserve">= </w:t>
                      </w:r>
                      <w:r w:rsidRPr="00897974">
                        <w:rPr>
                          <w:rFonts w:cs="Times New Roman"/>
                        </w:rPr>
                        <w:t>β</w:t>
                      </w:r>
                      <w:r w:rsidRPr="00897974">
                        <w:t xml:space="preserve">-carboline </w:t>
                      </w:r>
                      <w:r w:rsidRPr="00172D7C">
                        <w:rPr>
                          <w:b/>
                          <w:bCs/>
                        </w:rPr>
                        <w:t>B</w:t>
                      </w:r>
                    </w:p>
                  </w:txbxContent>
                </v:textbox>
                <w10:anchorlock/>
              </v:shape>
            </w:pict>
          </mc:Fallback>
        </mc:AlternateContent>
      </w:r>
    </w:p>
    <w:p w14:paraId="1019DE4E" w14:textId="7A2E67ED" w:rsidR="007B7129" w:rsidRPr="007B7129" w:rsidRDefault="007B7129" w:rsidP="007B7129">
      <w:pPr>
        <w:ind w:firstLine="720"/>
        <w:rPr>
          <w:rFonts w:cs="Times New Roman"/>
          <w:szCs w:val="24"/>
        </w:rPr>
      </w:pPr>
      <w:r w:rsidRPr="007B7129">
        <w:rPr>
          <w:szCs w:val="24"/>
        </w:rPr>
        <w:t xml:space="preserve">Despite the varying oxidation patterns within the </w:t>
      </w:r>
      <w:r w:rsidRPr="007B7129">
        <w:rPr>
          <w:i/>
          <w:iCs/>
          <w:szCs w:val="24"/>
        </w:rPr>
        <w:t>Picrasma</w:t>
      </w:r>
      <w:r w:rsidRPr="007B7129">
        <w:rPr>
          <w:szCs w:val="24"/>
        </w:rPr>
        <w:t xml:space="preserve"> alkaloid family, at least one 4-oxygenated β-carboline structure remains consistent in each family member. </w:t>
      </w:r>
      <w:r w:rsidRPr="007B7129">
        <w:rPr>
          <w:rFonts w:cs="Times New Roman"/>
          <w:szCs w:val="24"/>
        </w:rPr>
        <w:t>Synthesis of the 4-oxygenated β-carboline structure is reportedly problematic, because the classical Bischler-Napieralski</w:t>
      </w:r>
      <w:r w:rsidRPr="007B7129">
        <w:rPr>
          <w:rFonts w:cs="Times New Roman"/>
          <w:szCs w:val="24"/>
        </w:rPr>
        <w:fldChar w:fldCharType="begin"/>
      </w:r>
      <w:r w:rsidRPr="007B7129">
        <w:rPr>
          <w:rFonts w:cs="Times New Roman"/>
          <w:szCs w:val="24"/>
        </w:rPr>
        <w:instrText xml:space="preserve"> ADDIN ZOTERO_ITEM CSL_CITATION {"citationID":"M8sw4bcw","properties":{"formattedCitation":"\\super 29\\nosupersub{}","plainCitation":"29","noteIndex":0},"citationItems":[{"id":370,"uris":["http://zotero.org/users/6503767/items/IX7YMVTY"],"itemData":{"id":370,"type":"article-journal","container-title":"Berichte der deutschen chemischen Gesellschaft","DOI":"10.1002/cber.189302602143","ISSN":"1099-0682","issue":"2","language":"en","note":"_eprint: https://onlinelibrary.wiley.com/doi/pdf/10.1002/cber.189302602143","page":"1903-1908","source":"Wiley Online Library","title":"Zur Kenntniss einer neuen Isochinolinsynthese","volume":"26","author":[{"family":"Bischler","given":"Aug."},{"family":"Napieralski","given":"B."}],"issued":{"date-parts":[["1893"]]}}}],"schema":"https://github.com/citation-style-language/schema/raw/master/csl-citation.json"}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29</w:t>
      </w:r>
      <w:r w:rsidRPr="007B7129">
        <w:rPr>
          <w:rFonts w:cs="Times New Roman"/>
          <w:szCs w:val="24"/>
        </w:rPr>
        <w:fldChar w:fldCharType="end"/>
      </w:r>
      <w:r w:rsidRPr="007B7129">
        <w:rPr>
          <w:rFonts w:cs="Times New Roman"/>
          <w:szCs w:val="24"/>
        </w:rPr>
        <w:t xml:space="preserve"> or Pictet-Spengler cyclization reactions of tryptamines are not compatible with the construction of these analogs.</w:t>
      </w:r>
      <w:r w:rsidRPr="007B7129">
        <w:rPr>
          <w:rFonts w:cs="Times New Roman"/>
          <w:szCs w:val="24"/>
        </w:rPr>
        <w:fldChar w:fldCharType="begin"/>
      </w:r>
      <w:r w:rsidRPr="007B7129">
        <w:rPr>
          <w:rFonts w:cs="Times New Roman"/>
          <w:szCs w:val="24"/>
        </w:rPr>
        <w:instrText xml:space="preserve"> ADDIN ZOTERO_ITEM CSL_CITATION {"citationID":"Pv6VWfUH","properties":{"formattedCitation":"\\super 30\\nosupersub{}","plainCitation":"30","noteIndex":0},"citationItems":[{"id":369,"uris":["http://zotero.org/users/6503767/items/2DQ6PBRA"],"itemData":{"id":369,"type":"article-journal","container-title":"Chemical &amp; Pharmaceutical Bulletin","issue":"9","journalAbbreviation":"Chem. Pharm. Bull.","page":"2189-2195","title":"Synthetic Studies of Indoles and Related Compounds. A New Synthesis of Crenatine from Ethyl Indole-2-carboxylate","volume":"39","author":[{"family":"Murakami","given":"Yasuoki"},{"family":"Yokoyama","given":"Yuusaku"},{"family":"Aoki","given":"Chiyoko"},{"family":"Suzuki","given":"Hideharu"},{"family":"Sakurai","given":"Katsumi"},{"family":"Shinohara","given":"Tsuneyasu"},{"family":"Miyagi","given":"Chiemi"},{"family":"Kimura","given":"Yasuhisa"},{"family":"Takahashi","given":"Takefumi"},{"family":"Watanabe","given":"Toshiko"},{"family":"Ohmoto","given":"Taichi"}],"issued":{"date-parts":[["1991"]]}}}],"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30</w:t>
      </w:r>
      <w:r w:rsidRPr="007B7129">
        <w:rPr>
          <w:rFonts w:cs="Times New Roman"/>
          <w:szCs w:val="24"/>
        </w:rPr>
        <w:fldChar w:fldCharType="end"/>
      </w:r>
      <w:r w:rsidRPr="007B7129">
        <w:rPr>
          <w:rFonts w:cs="Times New Roman"/>
          <w:szCs w:val="24"/>
        </w:rPr>
        <w:t xml:space="preserve"> Notably, one method devised by Cook et al. in 1989</w:t>
      </w:r>
      <w:r w:rsidRPr="007B7129">
        <w:rPr>
          <w:rFonts w:cs="Times New Roman"/>
          <w:szCs w:val="24"/>
        </w:rPr>
        <w:fldChar w:fldCharType="begin"/>
      </w:r>
      <w:r w:rsidRPr="007B7129">
        <w:rPr>
          <w:rFonts w:cs="Times New Roman"/>
          <w:szCs w:val="24"/>
        </w:rPr>
        <w:instrText xml:space="preserve"> ADDIN ZOTERO_ITEM CSL_CITATION {"citationID":"8ytqayDZ","properties":{"formattedCitation":"\\super 31\\nosupersub{}","plainCitation":"31","noteIndex":0},"citationItems":[{"id":351,"uris":["http://zotero.org/users/6503767/items/S8STCQRN"],"itemData":{"id":351,"type":"article-journal","container-title":"The Journal of Organic Chemistry","DOI":"10.1021/jo00270a029","ISSN":"0022-3263, 1520-6904","issue":"9","journalAbbreviation":"J. Org. Chem.","language":"en","page":"2170-2178","source":"DOI.org (Crossref)","title":"DDQ oxidations in the indole area. Synthesis of 4-alkoxy-.beta.-carbolines including the natural products crenatine and 1-methoxycanthin-6-one","volume":"54","author":[{"family":"Hagen","given":"Timothy J."},{"family":"Narayanan","given":"Krishnaswamy"},{"family":"Names","given":"Jeffrey"},{"family":"Cook","given":"James M."}],"issued":{"date-parts":[["1989",4]]}}}],"schema":"https://github.com/citation-style-language/schema/raw/master/csl-citation.json"}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31</w:t>
      </w:r>
      <w:r w:rsidRPr="007B7129">
        <w:rPr>
          <w:rFonts w:cs="Times New Roman"/>
          <w:szCs w:val="24"/>
        </w:rPr>
        <w:fldChar w:fldCharType="end"/>
      </w:r>
      <w:r w:rsidRPr="007B7129">
        <w:rPr>
          <w:rFonts w:cs="Times New Roman"/>
          <w:szCs w:val="24"/>
        </w:rPr>
        <w:t xml:space="preserve"> found </w:t>
      </w:r>
      <w:proofErr w:type="spellStart"/>
      <w:r w:rsidRPr="007B7129">
        <w:rPr>
          <w:rFonts w:cs="Times New Roman"/>
          <w:szCs w:val="24"/>
        </w:rPr>
        <w:t>dichlorodicyanobenzoquinone</w:t>
      </w:r>
      <w:proofErr w:type="spellEnd"/>
      <w:r w:rsidRPr="007B7129">
        <w:rPr>
          <w:rFonts w:cs="Times New Roman"/>
          <w:szCs w:val="24"/>
        </w:rPr>
        <w:t xml:space="preserve"> (DDQ) to be an appropriate oxidizing agent for transforming THBCs </w:t>
      </w:r>
      <w:r w:rsidRPr="007B7129">
        <w:rPr>
          <w:rFonts w:cs="Times New Roman"/>
          <w:b/>
          <w:bCs/>
          <w:szCs w:val="24"/>
        </w:rPr>
        <w:t>3.18</w:t>
      </w:r>
      <w:r w:rsidRPr="007B7129">
        <w:rPr>
          <w:rFonts w:cs="Times New Roman"/>
          <w:szCs w:val="24"/>
        </w:rPr>
        <w:t xml:space="preserve"> into their 4-oxo counterparts </w:t>
      </w:r>
      <w:r w:rsidRPr="007B7129">
        <w:rPr>
          <w:rFonts w:cs="Times New Roman"/>
          <w:b/>
          <w:bCs/>
          <w:szCs w:val="24"/>
        </w:rPr>
        <w:t xml:space="preserve">3.19 </w:t>
      </w:r>
      <w:r w:rsidRPr="007B7129">
        <w:rPr>
          <w:rFonts w:cs="Times New Roman"/>
          <w:szCs w:val="24"/>
        </w:rPr>
        <w:t>(</w:t>
      </w:r>
      <w:r w:rsidR="000D043E" w:rsidRPr="000D043E">
        <w:rPr>
          <w:rFonts w:cs="Times New Roman"/>
          <w:b/>
          <w:bCs/>
          <w:szCs w:val="24"/>
        </w:rPr>
        <w:fldChar w:fldCharType="begin"/>
      </w:r>
      <w:r w:rsidR="000D043E" w:rsidRPr="000D043E">
        <w:rPr>
          <w:rFonts w:cs="Times New Roman"/>
          <w:b/>
          <w:bCs/>
          <w:szCs w:val="24"/>
        </w:rPr>
        <w:instrText xml:space="preserve"> REF _Ref102582894 \h </w:instrText>
      </w:r>
      <w:r w:rsidR="000D043E">
        <w:rPr>
          <w:rFonts w:cs="Times New Roman"/>
          <w:b/>
          <w:bCs/>
          <w:szCs w:val="24"/>
        </w:rPr>
        <w:instrText xml:space="preserve"> \* MERGEFORMAT </w:instrText>
      </w:r>
      <w:r w:rsidR="000D043E" w:rsidRPr="000D043E">
        <w:rPr>
          <w:rFonts w:cs="Times New Roman"/>
          <w:b/>
          <w:bCs/>
          <w:szCs w:val="24"/>
        </w:rPr>
      </w:r>
      <w:r w:rsidR="000D043E" w:rsidRPr="000D043E">
        <w:rPr>
          <w:rFonts w:cs="Times New Roman"/>
          <w:b/>
          <w:bCs/>
          <w:szCs w:val="24"/>
        </w:rPr>
        <w:fldChar w:fldCharType="separate"/>
      </w:r>
      <w:r w:rsidR="00AA5AAC" w:rsidRPr="00AA5AAC">
        <w:rPr>
          <w:b/>
          <w:bCs/>
        </w:rPr>
        <w:t>Scheme 3.2</w:t>
      </w:r>
      <w:r w:rsidR="000D043E" w:rsidRPr="000D043E">
        <w:rPr>
          <w:rFonts w:cs="Times New Roman"/>
          <w:b/>
          <w:bCs/>
          <w:szCs w:val="24"/>
        </w:rPr>
        <w:fldChar w:fldCharType="end"/>
      </w:r>
      <w:r w:rsidRPr="007B7129">
        <w:rPr>
          <w:rFonts w:cs="Times New Roman"/>
          <w:szCs w:val="24"/>
        </w:rPr>
        <w:t>). Though this site-specific oxidation method has found some utility in β-carboline chemistry,</w:t>
      </w:r>
      <w:r w:rsidRPr="007B7129">
        <w:rPr>
          <w:rFonts w:cs="Times New Roman"/>
          <w:szCs w:val="24"/>
        </w:rPr>
        <w:fldChar w:fldCharType="begin"/>
      </w:r>
      <w:r w:rsidRPr="007B7129">
        <w:rPr>
          <w:rFonts w:cs="Times New Roman"/>
          <w:szCs w:val="24"/>
        </w:rPr>
        <w:instrText xml:space="preserve"> ADDIN ZOTERO_ITEM CSL_CITATION {"citationID":"XRMPtKrc","properties":{"formattedCitation":"\\super 32,33\\nosupersub{}","plainCitation":"32,33","noteIndex":0},"citationItems":[{"id":485,"uris":["http://zotero.org/users/6503767/items/PFMZ9XX2"],"itemData":{"id":485,"type":"article-journal","abstract":"The canthines represent a fairly large subclass of β-carboline alkaloids, with the first members described 75 years ago. Over the last 60 years, many members of the parent compound, canthin-6-one (1), have been isolated from various plant sources, principally the Rutaceae and Simaroubaceae families, and recently from fungi. Structures isolated from these sources have been the subject of total synthesis, which continues to the present day. This review gives a broad overview of synthetic approaches to canthines over a 30-year period from 1982 to 2012 and summarizes recent reports on the synthesis of less well known ring-truncated congeners. These include C-ring-truncated (“ABD”, 2) and A-ring-truncated (“BCD”, 3) ring systems, which are providing new scaffolds for potentially useful therapeutic applications.","container-title":"Journal of Natural Products","DOI":"10.1021/np300753z","ISSN":"0163-3864","issue":"3","journalAbbreviation":"J. Nat. Prod.","note":"publisher: American Chemical Society","page":"455-467","source":"ACS Publications","title":"Progress in the Synthesis of Canthine Alkaloids and Ring-Truncated Congeners","volume":"76","author":[{"family":"Showalter","given":"H. D. Hollis"}],"issued":{"date-parts":[["2013",3,22]]}}},{"id":488,"uris":["http://zotero.org/users/6503767/items/TE2Q6UBJ"],"itemData":{"id":488,"type":"article-journal","abstract":"A general approach (oxyanion-Cope strategy) for the synthesis of sarpagine/ajmaline indole alkaloids has been developed. (+)-Ajmaline 1 and alkaloid G 2 as well as norsuaveoline 3 have been synthesized from d-(+)-tryptophan in enantiospecific fashion via the asymmetric Pictet−Spengler reaction and a stereocontrolled oxyanion-Cope rearrangement as key steps. The synthesis of these indole alkaloids employed a stereospecific Pictet−Spengler/Dieckmann protocol to prepare the key intermediate, (−)-Nb-benzyl tetracyclic ketone (7a or 7b). This ketone was converted into α,β-unsaturated aldehyde (8a or 8b) and further transformed into (+)-ajmaline 1 and alkaloid G 2 as well as norsuaveoline 3. It was also found that reduction of 29 can be done stereospecifically to form the 2-epidiacetylajmaline derivative 30 which has the same configuration at C(2) as that of quebrachidine and of the bisindole alstonisidine. The ring closure reaction (from 27 to 28) to form the sarpagine skeleton was completed in 91% yield. It should now be possible to prepare the antipode of (+)-ajmaline via this approach for biological screening.","container-title":"Journal of the American Chemical Society","DOI":"10.1021/ja990184l","ISSN":"0002-7863","issue":"30","journalAbbreviation":"J. Am. Chem. Soc.","note":"publisher: American Chemical Society","page":"6998-7010","source":"ACS Publications","title":"General Approach for the Synthesis of Ajmaline/Sarpagine Indole Alkaloids:  Enantiospecific Total Synthesis of (+)-Ajmaline, Alkaloid G, and Norsuaveoline via the Asymmetric Pictet−Spengler Reaction","title-short":"General Approach for the Synthesis of Ajmaline/Sarpagine Indole Alkaloids","volume":"121","author":[{"family":"Li","given":"Jin"},{"family":"Wang","given":"Tao"},{"family":"Yu","given":"Peng"},{"family":"Peterson","given":"A."},{"family":"Weber","given":"R."},{"family":"Soerens","given":"D."},{"family":"Grubisha","given":"D."},{"family":"Bennett","given":"D."},{"family":"Cook","given":"J. M."}],"issued":{"date-parts":[["1999",8,1]]}}}],"schema":"https://github.com/citation-style-language/schema/raw/master/csl-citation.json"}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32,33</w:t>
      </w:r>
      <w:r w:rsidRPr="007B7129">
        <w:rPr>
          <w:rFonts w:cs="Times New Roman"/>
          <w:szCs w:val="24"/>
        </w:rPr>
        <w:fldChar w:fldCharType="end"/>
      </w:r>
      <w:r w:rsidRPr="007B7129">
        <w:rPr>
          <w:rFonts w:cs="Times New Roman"/>
          <w:szCs w:val="24"/>
        </w:rPr>
        <w:t xml:space="preserve"> its suitability for the general synthesis of </w:t>
      </w:r>
      <w:r w:rsidRPr="007B7129">
        <w:rPr>
          <w:rFonts w:cs="Times New Roman"/>
          <w:i/>
          <w:iCs/>
          <w:szCs w:val="24"/>
        </w:rPr>
        <w:t>Picrasma</w:t>
      </w:r>
      <w:r w:rsidRPr="007B7129">
        <w:rPr>
          <w:rFonts w:cs="Times New Roman"/>
          <w:szCs w:val="24"/>
        </w:rPr>
        <w:t xml:space="preserve"> alkaloids is limited, as it requires the presence of an objective substituent on the 1-position of the β-carboline during early stages of synthesis.</w:t>
      </w:r>
      <w:r w:rsidRPr="007B7129">
        <w:rPr>
          <w:rFonts w:cs="Times New Roman"/>
          <w:szCs w:val="24"/>
        </w:rPr>
        <w:fldChar w:fldCharType="begin"/>
      </w:r>
      <w:r w:rsidRPr="007B7129">
        <w:rPr>
          <w:rFonts w:cs="Times New Roman"/>
          <w:szCs w:val="24"/>
        </w:rPr>
        <w:instrText xml:space="preserve"> ADDIN ZOTERO_ITEM CSL_CITATION {"citationID":"UwTiv4Tc","properties":{"formattedCitation":"\\super 34\\nosupersub{}","plainCitation":"34","noteIndex":0},"citationItems":[{"id":366,"uris":["http://zotero.org/users/6503767/items/23M7HS9J"],"itemData":{"id":366,"type":"article-journal","abstract":"A new synthetic route for two naturally accuring 1-substituted 4-methoxy-β-carbolines (1b, c) is described. This synthetic route involves elaboration of the ester groups in ethyl indole-2-carboxylate (4b) and its 1-benzyl derivative (4a), C3-selective cyclization of the substituent at the C2-position of the indole nucleus, and functionalization at the C1-position of the β-carboline nucleus by a modified Reissert-Henze reaction. The synthetic β-carbolines (1b, c) should be key intermediates for the synthesis of their congeners, leading to a general synthetic route of 1-substituted 4-oxygenated β-carbolines.","container-title":"Tetrahedron","DOI":"10.1016/S0040-4020(96)01112-X","ISSN":"0040-4020","issue":"5","journalAbbreviation":"Tetrahedron","language":"en","page":"1593-1606","source":"ScienceDirect","title":"A general synthetic route for 1-substituted 4-oxygenated β-carbolines (Synthetic studies on indoles and related compounds 41)","volume":"53","author":[{"family":"Suzuki","given":"Hideharu"},{"family":"Iwata(nee Miyaga)","given":"Chiemie"},{"family":"Sakurai","given":"Katsumi"},{"family":"Tokumoto","given":"Kazuhiko"},{"family":"Takahashi","given":"Hiroko"},{"family":"Hanada","given":"Masako"},{"family":"Yokoyama","given":"Yuusaku"},{"family":"Murakami","given":"Yasuoki"}],"issued":{"date-parts":[["1997",2,3]]}}}],"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34</w:t>
      </w:r>
      <w:r w:rsidRPr="007B7129">
        <w:rPr>
          <w:rFonts w:cs="Times New Roman"/>
          <w:szCs w:val="24"/>
        </w:rPr>
        <w:fldChar w:fldCharType="end"/>
      </w:r>
      <w:r w:rsidRPr="007B7129">
        <w:rPr>
          <w:rFonts w:cs="Times New Roman"/>
          <w:szCs w:val="24"/>
        </w:rPr>
        <w:t xml:space="preserve"> </w:t>
      </w:r>
    </w:p>
    <w:p w14:paraId="4B720371" w14:textId="77777777" w:rsidR="007B7129" w:rsidRPr="007B7129" w:rsidRDefault="007B7129" w:rsidP="007B7129">
      <w:pPr>
        <w:spacing w:after="0"/>
        <w:ind w:left="720" w:firstLine="720"/>
        <w:rPr>
          <w:rFonts w:cs="Times New Roman"/>
          <w:szCs w:val="24"/>
        </w:rPr>
      </w:pPr>
      <w:r w:rsidRPr="007B7129">
        <w:rPr>
          <w:noProof/>
          <w:szCs w:val="24"/>
        </w:rPr>
        <w:lastRenderedPageBreak/>
        <mc:AlternateContent>
          <mc:Choice Requires="wps">
            <w:drawing>
              <wp:inline distT="0" distB="0" distL="0" distR="0" wp14:anchorId="12EF6843" wp14:editId="057F872B">
                <wp:extent cx="4453255" cy="2085975"/>
                <wp:effectExtent l="0" t="0" r="23495" b="28575"/>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3255" cy="2085975"/>
                        </a:xfrm>
                        <a:prstGeom prst="rect">
                          <a:avLst/>
                        </a:prstGeom>
                        <a:solidFill>
                          <a:srgbClr val="FFFFFF"/>
                        </a:solidFill>
                        <a:ln w="9525">
                          <a:solidFill>
                            <a:srgbClr val="000000"/>
                          </a:solidFill>
                          <a:miter lim="800000"/>
                          <a:headEnd/>
                          <a:tailEnd/>
                        </a:ln>
                      </wps:spPr>
                      <wps:txbx>
                        <w:txbxContent>
                          <w:p w14:paraId="45A34C8E" w14:textId="77777777" w:rsidR="00183BAD" w:rsidRDefault="007B7129" w:rsidP="00183BAD">
                            <w:pPr>
                              <w:keepNext/>
                              <w:spacing w:after="0"/>
                              <w:jc w:val="center"/>
                            </w:pPr>
                            <w:r>
                              <w:object w:dxaOrig="5069" w:dyaOrig="1514" w14:anchorId="2B52C042">
                                <v:shape id="_x0000_i1083" type="#_x0000_t75" style="width:253.4pt;height:75.75pt" o:ole="">
                                  <v:imagedata r:id="rId238" o:title=""/>
                                </v:shape>
                                <o:OLEObject Type="Embed" ProgID="ChemDraw.Document.6.0" ShapeID="_x0000_i1083" DrawAspect="Content" ObjectID="_1713353493" r:id="rId239"/>
                              </w:object>
                            </w:r>
                          </w:p>
                          <w:p w14:paraId="295044FC" w14:textId="0F85FB15" w:rsidR="007B7129" w:rsidRDefault="00183BAD" w:rsidP="00DF51F5">
                            <w:pPr>
                              <w:pStyle w:val="Caption"/>
                            </w:pPr>
                            <w:bookmarkStart w:id="251" w:name="_Ref102582894"/>
                            <w:r>
                              <w:t>Scheme 3.</w:t>
                            </w:r>
                            <w:fldSimple w:instr=" SEQ Scheme \* ARABIC ">
                              <w:r w:rsidR="00AA5AAC">
                                <w:rPr>
                                  <w:noProof/>
                                </w:rPr>
                                <w:t>2</w:t>
                              </w:r>
                            </w:fldSimple>
                            <w:bookmarkEnd w:id="251"/>
                            <w:r>
                              <w:t xml:space="preserve"> </w:t>
                            </w:r>
                            <w:r w:rsidR="007B7129">
                              <w:t>Cook’s oxidation method for the synthesis of 4-oxo-substituted THBCs.</w:t>
                            </w:r>
                          </w:p>
                          <w:p w14:paraId="07734AA5" w14:textId="77777777" w:rsidR="007B7129" w:rsidRDefault="007B7129" w:rsidP="007B7129">
                            <w:pPr>
                              <w:spacing w:line="240" w:lineRule="auto"/>
                            </w:pPr>
                            <w:r>
                              <w:t>Reagents and conditions: (a) DDQ, THF/H</w:t>
                            </w:r>
                            <w:r w:rsidRPr="001C774D">
                              <w:rPr>
                                <w:vertAlign w:val="subscript"/>
                              </w:rPr>
                              <w:t>2</w:t>
                            </w:r>
                            <w:r>
                              <w:t>O, 50 – 90%. R</w:t>
                            </w:r>
                            <w:r w:rsidRPr="001C774D">
                              <w:rPr>
                                <w:vertAlign w:val="superscript"/>
                              </w:rPr>
                              <w:t>1</w:t>
                            </w:r>
                            <w:r>
                              <w:t xml:space="preserve"> = H or ethyl, R</w:t>
                            </w:r>
                            <w:r w:rsidRPr="00D121AC">
                              <w:rPr>
                                <w:vertAlign w:val="superscript"/>
                              </w:rPr>
                              <w:t>2</w:t>
                            </w:r>
                            <w:r>
                              <w:t xml:space="preserve"> = phenyl or CCl</w:t>
                            </w:r>
                            <w:r w:rsidRPr="00D121AC">
                              <w:rPr>
                                <w:vertAlign w:val="subscript"/>
                              </w:rPr>
                              <w:t>3</w:t>
                            </w:r>
                            <w:r>
                              <w:t>.</w:t>
                            </w:r>
                          </w:p>
                        </w:txbxContent>
                      </wps:txbx>
                      <wps:bodyPr rot="0" vert="horz" wrap="square" lIns="91440" tIns="45720" rIns="91440" bIns="45720" anchor="t" anchorCtr="0">
                        <a:noAutofit/>
                      </wps:bodyPr>
                    </wps:wsp>
                  </a:graphicData>
                </a:graphic>
              </wp:inline>
            </w:drawing>
          </mc:Choice>
          <mc:Fallback>
            <w:pict>
              <v:shape w14:anchorId="12EF6843" id="_x0000_s1079" type="#_x0000_t202" style="width:350.65pt;height:1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">
                <v:textbox>
                  <w:txbxContent>
                    <w:p w14:paraId="45A34C8E" w14:textId="77777777" w:rsidR="00183BAD" w:rsidRDefault="007B7129" w:rsidP="00183BAD">
                      <w:pPr>
                        <w:keepNext/>
                        <w:spacing w:after="0"/>
                        <w:jc w:val="center"/>
                      </w:pPr>
                      <w:r>
                        <w:object w:dxaOrig="5069" w:dyaOrig="1514" w14:anchorId="2B52C042">
                          <v:shape id="_x0000_i1083" type="#_x0000_t75" style="width:253.4pt;height:75.75pt" o:ole="">
                            <v:imagedata r:id="rId238" o:title=""/>
                          </v:shape>
                          <o:OLEObject Type="Embed" ProgID="ChemDraw.Document.6.0" ShapeID="_x0000_i1083" DrawAspect="Content" ObjectID="_1713353493" r:id="rId240"/>
                        </w:object>
                      </w:r>
                    </w:p>
                    <w:p w14:paraId="295044FC" w14:textId="0F85FB15" w:rsidR="007B7129" w:rsidRDefault="00183BAD" w:rsidP="00DF51F5">
                      <w:pPr>
                        <w:pStyle w:val="Caption"/>
                      </w:pPr>
                      <w:bookmarkStart w:id="252" w:name="_Ref102582894"/>
                      <w:r>
                        <w:t>Scheme 3.</w:t>
                      </w:r>
                      <w:fldSimple w:instr=" SEQ Scheme \* ARABIC ">
                        <w:r w:rsidR="00AA5AAC">
                          <w:rPr>
                            <w:noProof/>
                          </w:rPr>
                          <w:t>2</w:t>
                        </w:r>
                      </w:fldSimple>
                      <w:bookmarkEnd w:id="252"/>
                      <w:r>
                        <w:t xml:space="preserve"> </w:t>
                      </w:r>
                      <w:r w:rsidR="007B7129">
                        <w:t>Cook’s oxidation method for the synthesis of 4-oxo-substituted THBCs.</w:t>
                      </w:r>
                    </w:p>
                    <w:p w14:paraId="07734AA5" w14:textId="77777777" w:rsidR="007B7129" w:rsidRDefault="007B7129" w:rsidP="007B7129">
                      <w:pPr>
                        <w:spacing w:line="240" w:lineRule="auto"/>
                      </w:pPr>
                      <w:r>
                        <w:t>Reagents and conditions: (a) DDQ, THF/H</w:t>
                      </w:r>
                      <w:r w:rsidRPr="001C774D">
                        <w:rPr>
                          <w:vertAlign w:val="subscript"/>
                        </w:rPr>
                        <w:t>2</w:t>
                      </w:r>
                      <w:r>
                        <w:t>O, 50 – 90%. R</w:t>
                      </w:r>
                      <w:r w:rsidRPr="001C774D">
                        <w:rPr>
                          <w:vertAlign w:val="superscript"/>
                        </w:rPr>
                        <w:t>1</w:t>
                      </w:r>
                      <w:r>
                        <w:t xml:space="preserve"> = H or ethyl, R</w:t>
                      </w:r>
                      <w:r w:rsidRPr="00D121AC">
                        <w:rPr>
                          <w:vertAlign w:val="superscript"/>
                        </w:rPr>
                        <w:t>2</w:t>
                      </w:r>
                      <w:r>
                        <w:t xml:space="preserve"> = phenyl or CCl</w:t>
                      </w:r>
                      <w:r w:rsidRPr="00D121AC">
                        <w:rPr>
                          <w:vertAlign w:val="subscript"/>
                        </w:rPr>
                        <w:t>3</w:t>
                      </w:r>
                      <w:r>
                        <w:t>.</w:t>
                      </w:r>
                    </w:p>
                  </w:txbxContent>
                </v:textbox>
                <w10:anchorlock/>
              </v:shape>
            </w:pict>
          </mc:Fallback>
        </mc:AlternateContent>
      </w:r>
    </w:p>
    <w:p w14:paraId="6FFAED39" w14:textId="46F638BA" w:rsidR="007B7129" w:rsidRPr="007B7129" w:rsidRDefault="007B7129" w:rsidP="007B7129">
      <w:pPr>
        <w:spacing w:after="0"/>
        <w:ind w:firstLine="720"/>
        <w:rPr>
          <w:rFonts w:eastAsia="Times New Roman" w:cs="Times New Roman"/>
          <w:szCs w:val="24"/>
        </w:rPr>
      </w:pPr>
      <w:r w:rsidRPr="007B7129">
        <w:rPr>
          <w:rFonts w:eastAsia="Times New Roman" w:cs="Times New Roman"/>
          <w:szCs w:val="24"/>
        </w:rPr>
        <w:t xml:space="preserve">While some mono-β-carboline alkaloids have been successfully synthesized, such as </w:t>
      </w:r>
      <w:proofErr w:type="spellStart"/>
      <w:r w:rsidRPr="007B7129">
        <w:rPr>
          <w:rFonts w:eastAsia="Times New Roman" w:cs="Times New Roman"/>
          <w:szCs w:val="24"/>
        </w:rPr>
        <w:t>crenatine</w:t>
      </w:r>
      <w:proofErr w:type="spellEnd"/>
      <w:r w:rsidRPr="007B7129">
        <w:rPr>
          <w:rFonts w:eastAsia="Times New Roman" w:cs="Times New Roman"/>
          <w:szCs w:val="24"/>
        </w:rPr>
        <w:t xml:space="preserve"> (</w:t>
      </w:r>
      <w:r w:rsidRPr="007B7129">
        <w:rPr>
          <w:rFonts w:eastAsia="Times New Roman" w:cs="Times New Roman"/>
          <w:b/>
          <w:bCs/>
          <w:szCs w:val="24"/>
        </w:rPr>
        <w:t>3.20</w:t>
      </w:r>
      <w:r w:rsidRPr="007B7129">
        <w:rPr>
          <w:rFonts w:eastAsia="Times New Roman" w:cs="Times New Roman"/>
          <w:szCs w:val="24"/>
        </w:rPr>
        <w:t>),</w:t>
      </w:r>
      <w:r w:rsidRPr="007B7129">
        <w:rPr>
          <w:rFonts w:eastAsia="Times New Roman" w:cs="Times New Roman"/>
          <w:szCs w:val="24"/>
        </w:rPr>
        <w:fldChar w:fldCharType="begin"/>
      </w:r>
      <w:r w:rsidRPr="007B7129">
        <w:rPr>
          <w:rFonts w:eastAsia="Times New Roman" w:cs="Times New Roman"/>
          <w:szCs w:val="24"/>
        </w:rPr>
        <w:instrText xml:space="preserve"> ADDIN ZOTERO_ITEM CSL_CITATION {"citationID":"BbfNRXly","properties":{"formattedCitation":"\\super 35\\nosupersub{}","plainCitation":"35","noteIndex":0},"citationItems":[{"id":406,"uris":["http://zotero.org/users/6503767/items/DSQB4HK8"],"itemData":{"id":406,"type":"article-journal","container-title":"The Journal of Organic Chemistry","DOI":"10.1021/jo00146a021","ISSN":"0022-3263","issue":"25","journalAbbreviation":"J. Org. Chem.","note":"publisher: American Chemical Society","page":"4933-4936","source":"ACS Publications","title":"Dichlorodicyanoquinone oxidations in the indole area. Synthesis of crenatine","volume":"47","author":[{"family":"Cain","given":"M."},{"family":"Mantei","given":"R."},{"family":"Cook","given":"J. M."}],"issued":{"date-parts":[["1982",12,1]]}}}],"schema":"https://github.com/citation-style-language/schema/raw/master/csl-citation.json"} </w:instrText>
      </w:r>
      <w:r w:rsidRPr="007B7129">
        <w:rPr>
          <w:rFonts w:eastAsia="Times New Roman" w:cs="Times New Roman"/>
          <w:szCs w:val="24"/>
        </w:rPr>
        <w:fldChar w:fldCharType="separate"/>
      </w:r>
      <w:r w:rsidRPr="007B7129">
        <w:rPr>
          <w:rFonts w:eastAsia="Times New Roman" w:cs="Times New Roman"/>
          <w:szCs w:val="24"/>
          <w:vertAlign w:val="superscript"/>
        </w:rPr>
        <w:t>35</w:t>
      </w:r>
      <w:r w:rsidRPr="007B7129">
        <w:rPr>
          <w:rFonts w:eastAsia="Times New Roman" w:cs="Times New Roman"/>
          <w:szCs w:val="24"/>
        </w:rPr>
        <w:fldChar w:fldCharType="end"/>
      </w:r>
      <w:r w:rsidRPr="007B7129">
        <w:rPr>
          <w:rFonts w:eastAsia="Times New Roman" w:cs="Times New Roman"/>
          <w:szCs w:val="24"/>
        </w:rPr>
        <w:t xml:space="preserve"> </w:t>
      </w:r>
      <w:proofErr w:type="spellStart"/>
      <w:r w:rsidRPr="007B7129">
        <w:rPr>
          <w:rFonts w:eastAsia="Times New Roman" w:cs="Times New Roman"/>
          <w:szCs w:val="24"/>
        </w:rPr>
        <w:t>canthinone</w:t>
      </w:r>
      <w:proofErr w:type="spellEnd"/>
      <w:r w:rsidRPr="007B7129">
        <w:rPr>
          <w:rFonts w:eastAsia="Times New Roman" w:cs="Times New Roman"/>
          <w:szCs w:val="24"/>
        </w:rPr>
        <w:t>-type alkaloids (</w:t>
      </w:r>
      <w:r w:rsidRPr="007B7129">
        <w:rPr>
          <w:rFonts w:eastAsia="Times New Roman" w:cs="Times New Roman"/>
          <w:b/>
          <w:bCs/>
          <w:szCs w:val="24"/>
        </w:rPr>
        <w:t>3.21</w:t>
      </w:r>
      <w:r w:rsidRPr="007B7129">
        <w:rPr>
          <w:rFonts w:eastAsia="Times New Roman" w:cs="Times New Roman"/>
          <w:szCs w:val="24"/>
        </w:rPr>
        <w:t>),</w:t>
      </w:r>
      <w:r w:rsidRPr="007B7129">
        <w:rPr>
          <w:rFonts w:eastAsia="Times New Roman" w:cs="Times New Roman"/>
          <w:szCs w:val="24"/>
        </w:rPr>
        <w:fldChar w:fldCharType="begin"/>
      </w:r>
      <w:r w:rsidRPr="007B7129">
        <w:rPr>
          <w:rFonts w:eastAsia="Times New Roman" w:cs="Times New Roman"/>
          <w:szCs w:val="24"/>
        </w:rPr>
        <w:instrText xml:space="preserve"> ADDIN ZOTERO_ITEM CSL_CITATION {"citationID":"Q5rjvABJ","properties":{"formattedCitation":"\\super 36\\nosupersub{}","plainCitation":"36","noteIndex":0},"citationItems":[{"id":272,"uris":["http://zotero.org/users/6503767/items/7H7CAAZB"],"itemData":{"id":272,"type":"article-journal","abstract":"The absolute conﬁguration of picrasidine Y, a b-carboline alkaloid isolated from Picrasma quassioides (Simaroubaceae), has not been determined. To determine the absolute conﬁguration of picrasidine Y, we synthesized stereoisomers of picrasidine Y through 7-step chemical reactions using tartaric acid as a starting material. Moreover, we extended the scope of application of this synthetic method to canthin-5,6-dione compounds. The absolute conﬁguration of natural picrasidine Y was elucidated based on comparisons of chemically synthesized isoforms with the naturally occurring compound in 1H and 13C NMR spectra, speciﬁc optical rotation, HPLC analysis with chiral columns, computational molecular simulation, and analysis with the CD exciton chirality method.","container-title":"Tetrahedron Letters","DOI":"10.1016/j.tetlet.2015.07.079","ISSN":"00404039","issue":"38","journalAbbreviation":"Tetrahedron Letters","language":"en","page":"5306-5308","source":"DOI.org (Crossref)","title":"Determination of the absolute configuration of picrasidine Y, a naturally occurring β-carboline alkaloid","volume":"56","author":[{"family":"Koike","given":"Kazuo"},{"family":"Yoshino","given":"Hiroshi"},{"family":"Li","given":"Hong-yu"},{"family":"Sasaki","given":"Tatsunori"},{"family":"Li","given":"Wei"}],"issued":{"date-parts":[["2015",9]]}}}],"schema":"https://github.com/citation-style-language/schema/raw/master/csl-citation.json"} </w:instrText>
      </w:r>
      <w:r w:rsidRPr="007B7129">
        <w:rPr>
          <w:rFonts w:eastAsia="Times New Roman" w:cs="Times New Roman"/>
          <w:szCs w:val="24"/>
        </w:rPr>
        <w:fldChar w:fldCharType="separate"/>
      </w:r>
      <w:r w:rsidRPr="007B7129">
        <w:rPr>
          <w:rFonts w:eastAsia="Times New Roman" w:cs="Times New Roman"/>
          <w:szCs w:val="24"/>
          <w:vertAlign w:val="superscript"/>
        </w:rPr>
        <w:t>36</w:t>
      </w:r>
      <w:r w:rsidRPr="007B7129">
        <w:rPr>
          <w:rFonts w:eastAsia="Times New Roman" w:cs="Times New Roman"/>
          <w:szCs w:val="24"/>
        </w:rPr>
        <w:fldChar w:fldCharType="end"/>
      </w:r>
      <w:r w:rsidRPr="007B7129">
        <w:rPr>
          <w:rFonts w:eastAsia="Times New Roman" w:cs="Times New Roman"/>
          <w:szCs w:val="24"/>
        </w:rPr>
        <w:t xml:space="preserve"> and </w:t>
      </w:r>
      <w:proofErr w:type="spellStart"/>
      <w:r w:rsidRPr="007B7129">
        <w:rPr>
          <w:rFonts w:eastAsia="Times New Roman" w:cs="Times New Roman"/>
          <w:szCs w:val="24"/>
        </w:rPr>
        <w:t>cordatanine</w:t>
      </w:r>
      <w:proofErr w:type="spellEnd"/>
      <w:r w:rsidRPr="007B7129">
        <w:rPr>
          <w:rFonts w:eastAsia="Times New Roman" w:cs="Times New Roman"/>
          <w:szCs w:val="24"/>
        </w:rPr>
        <w:t xml:space="preserve"> (</w:t>
      </w:r>
      <w:r w:rsidRPr="007B7129">
        <w:rPr>
          <w:rFonts w:eastAsia="Times New Roman" w:cs="Times New Roman"/>
          <w:b/>
          <w:bCs/>
          <w:szCs w:val="24"/>
        </w:rPr>
        <w:t>3.22</w:t>
      </w:r>
      <w:r w:rsidRPr="007B7129">
        <w:rPr>
          <w:rFonts w:eastAsia="Times New Roman" w:cs="Times New Roman"/>
          <w:szCs w:val="24"/>
        </w:rPr>
        <w:t>)</w:t>
      </w:r>
      <w:r w:rsidRPr="007B7129">
        <w:rPr>
          <w:rFonts w:eastAsia="Times New Roman" w:cs="Times New Roman"/>
          <w:szCs w:val="24"/>
        </w:rPr>
        <w:fldChar w:fldCharType="begin"/>
      </w:r>
      <w:r w:rsidRPr="007B7129">
        <w:rPr>
          <w:rFonts w:eastAsia="Times New Roman" w:cs="Times New Roman"/>
          <w:szCs w:val="24"/>
        </w:rPr>
        <w:instrText xml:space="preserve"> ADDIN ZOTERO_ITEM CSL_CITATION {"citationID":"ZGrUugXn","properties":{"formattedCitation":"\\super 37\\nosupersub{}","plainCitation":"37","noteIndex":0},"citationItems":[{"id":373,"uris":["http://zotero.org/users/6503767/items/8HPCA4NW"],"itemData":{"id":373,"type":"article-journal","abstract":"Starting from tryptamine and methoxymaleic anhydride, concise and efficient total synthesis of cordatanine has been accomplished via regioselective reduction of methoxymaleimide, acid-catalyzed intramolecular cyclization of the formed lactamol, in situ stepwise oxidations leading to aromatization, and intramolecular cyclization with the exchange of N-regioselectivity. An attempted synthesis of regioisomeric natural product zanthochilone has been described in brief with reversal of reduction selectivity.","container-title":"ACS Omega","DOI":"10.1021/acsomega.7b00609","issue":"7","note":"publisher: American Chemical Society","page":"3945-3950","source":"ACS Publications","title":"Total Synthesis of Bioactive Canthine Alkaloid Cordatanine Comprising in Situ Double Oxidative Aromatization of Tetrahydrocarbazole","volume":"2","author":[{"family":"Shelar","given":"Santosh V."},{"family":"Argade","given":"Narshinha P."}],"issued":{"date-parts":[["2017",7,31]]}}}],"schema":"https://github.com/citation-style-language/schema/raw/master/csl-citation.json"} </w:instrText>
      </w:r>
      <w:r w:rsidRPr="007B7129">
        <w:rPr>
          <w:rFonts w:eastAsia="Times New Roman" w:cs="Times New Roman"/>
          <w:szCs w:val="24"/>
        </w:rPr>
        <w:fldChar w:fldCharType="separate"/>
      </w:r>
      <w:r w:rsidRPr="007B7129">
        <w:rPr>
          <w:rFonts w:eastAsia="Times New Roman" w:cs="Times New Roman"/>
          <w:szCs w:val="24"/>
          <w:vertAlign w:val="superscript"/>
        </w:rPr>
        <w:t>37</w:t>
      </w:r>
      <w:r w:rsidRPr="007B7129">
        <w:rPr>
          <w:rFonts w:eastAsia="Times New Roman" w:cs="Times New Roman"/>
          <w:szCs w:val="24"/>
        </w:rPr>
        <w:fldChar w:fldCharType="end"/>
      </w:r>
      <w:r w:rsidRPr="007B7129">
        <w:rPr>
          <w:rFonts w:eastAsia="Times New Roman" w:cs="Times New Roman"/>
          <w:szCs w:val="24"/>
        </w:rPr>
        <w:t xml:space="preserve"> (structures shown in </w:t>
      </w:r>
      <w:r w:rsidR="000D043E" w:rsidRPr="000D043E">
        <w:rPr>
          <w:rFonts w:eastAsia="Times New Roman" w:cs="Times New Roman"/>
          <w:b/>
          <w:bCs/>
          <w:szCs w:val="24"/>
        </w:rPr>
        <w:fldChar w:fldCharType="begin"/>
      </w:r>
      <w:r w:rsidR="000D043E" w:rsidRPr="000D043E">
        <w:rPr>
          <w:rFonts w:eastAsia="Times New Roman" w:cs="Times New Roman"/>
          <w:b/>
          <w:bCs/>
          <w:szCs w:val="24"/>
        </w:rPr>
        <w:instrText xml:space="preserve"> REF _Ref102582929 \h </w:instrText>
      </w:r>
      <w:r w:rsidR="000D043E">
        <w:rPr>
          <w:rFonts w:eastAsia="Times New Roman" w:cs="Times New Roman"/>
          <w:b/>
          <w:bCs/>
          <w:szCs w:val="24"/>
        </w:rPr>
        <w:instrText xml:space="preserve"> \* MERGEFORMAT </w:instrText>
      </w:r>
      <w:r w:rsidR="000D043E" w:rsidRPr="000D043E">
        <w:rPr>
          <w:rFonts w:eastAsia="Times New Roman" w:cs="Times New Roman"/>
          <w:b/>
          <w:bCs/>
          <w:szCs w:val="24"/>
        </w:rPr>
      </w:r>
      <w:r w:rsidR="000D043E" w:rsidRPr="000D043E">
        <w:rPr>
          <w:rFonts w:eastAsia="Times New Roman" w:cs="Times New Roman"/>
          <w:b/>
          <w:bCs/>
          <w:szCs w:val="24"/>
        </w:rPr>
        <w:fldChar w:fldCharType="separate"/>
      </w:r>
      <w:r w:rsidR="00AA5AAC" w:rsidRPr="00AA5AAC">
        <w:rPr>
          <w:b/>
          <w:bCs/>
        </w:rPr>
        <w:t>Figure 3.4</w:t>
      </w:r>
      <w:r w:rsidR="000D043E" w:rsidRPr="000D043E">
        <w:rPr>
          <w:rFonts w:eastAsia="Times New Roman" w:cs="Times New Roman"/>
          <w:b/>
          <w:bCs/>
          <w:szCs w:val="24"/>
        </w:rPr>
        <w:fldChar w:fldCharType="end"/>
      </w:r>
      <w:r w:rsidRPr="007B7129">
        <w:rPr>
          <w:rFonts w:eastAsia="Times New Roman" w:cs="Times New Roman"/>
          <w:szCs w:val="24"/>
        </w:rPr>
        <w:t xml:space="preserve">), there are currently no synthetic routes reported for the bis-β-carboline </w:t>
      </w:r>
      <w:r w:rsidRPr="007B7129">
        <w:rPr>
          <w:rFonts w:eastAsia="Times New Roman" w:cs="Times New Roman"/>
          <w:i/>
          <w:iCs/>
          <w:szCs w:val="24"/>
        </w:rPr>
        <w:t>Picrasma</w:t>
      </w:r>
      <w:r w:rsidRPr="007B7129">
        <w:rPr>
          <w:rFonts w:eastAsia="Times New Roman" w:cs="Times New Roman"/>
          <w:szCs w:val="24"/>
        </w:rPr>
        <w:t xml:space="preserve"> alkaloids. The total synthesis of picrasidine H (</w:t>
      </w:r>
      <w:r w:rsidRPr="007B7129">
        <w:rPr>
          <w:rFonts w:eastAsia="Times New Roman" w:cs="Times New Roman"/>
          <w:b/>
          <w:bCs/>
          <w:szCs w:val="24"/>
        </w:rPr>
        <w:t>3.3</w:t>
      </w:r>
      <w:r w:rsidRPr="007B7129">
        <w:rPr>
          <w:rFonts w:eastAsia="Times New Roman" w:cs="Times New Roman"/>
          <w:szCs w:val="24"/>
        </w:rPr>
        <w:t xml:space="preserve">) has been attempted by Murakami et al. in 1997, although only the synthesis of its </w:t>
      </w:r>
      <w:proofErr w:type="spellStart"/>
      <w:r w:rsidRPr="007B7129">
        <w:rPr>
          <w:rFonts w:eastAsia="Times New Roman" w:cs="Times New Roman"/>
          <w:szCs w:val="24"/>
        </w:rPr>
        <w:t>regioisomer</w:t>
      </w:r>
      <w:proofErr w:type="spellEnd"/>
      <w:r w:rsidRPr="007B7129">
        <w:rPr>
          <w:rFonts w:eastAsia="Times New Roman" w:cs="Times New Roman"/>
          <w:szCs w:val="24"/>
        </w:rPr>
        <w:t xml:space="preserve"> </w:t>
      </w:r>
      <w:r w:rsidRPr="007B7129">
        <w:rPr>
          <w:rFonts w:eastAsia="Times New Roman" w:cs="Times New Roman"/>
          <w:b/>
          <w:bCs/>
          <w:szCs w:val="24"/>
        </w:rPr>
        <w:t>3.27</w:t>
      </w:r>
      <w:r w:rsidRPr="007B7129">
        <w:rPr>
          <w:rFonts w:eastAsia="Times New Roman" w:cs="Times New Roman"/>
          <w:szCs w:val="24"/>
        </w:rPr>
        <w:t xml:space="preserve"> was achieved, creating confusion around true structure of Picrasidine H (</w:t>
      </w:r>
      <w:r w:rsidR="000D043E" w:rsidRPr="000D043E">
        <w:rPr>
          <w:rFonts w:eastAsia="Times New Roman" w:cs="Times New Roman"/>
          <w:b/>
          <w:bCs/>
          <w:szCs w:val="24"/>
        </w:rPr>
        <w:fldChar w:fldCharType="begin"/>
      </w:r>
      <w:r w:rsidR="000D043E" w:rsidRPr="000D043E">
        <w:rPr>
          <w:rFonts w:eastAsia="Times New Roman" w:cs="Times New Roman"/>
          <w:b/>
          <w:bCs/>
          <w:szCs w:val="24"/>
        </w:rPr>
        <w:instrText xml:space="preserve"> REF _Ref102582973 \h </w:instrText>
      </w:r>
      <w:r w:rsidR="000D043E">
        <w:rPr>
          <w:rFonts w:eastAsia="Times New Roman" w:cs="Times New Roman"/>
          <w:b/>
          <w:bCs/>
          <w:szCs w:val="24"/>
        </w:rPr>
        <w:instrText xml:space="preserve"> \* MERGEFORMAT </w:instrText>
      </w:r>
      <w:r w:rsidR="000D043E" w:rsidRPr="000D043E">
        <w:rPr>
          <w:rFonts w:eastAsia="Times New Roman" w:cs="Times New Roman"/>
          <w:b/>
          <w:bCs/>
          <w:szCs w:val="24"/>
        </w:rPr>
      </w:r>
      <w:r w:rsidR="000D043E" w:rsidRPr="000D043E">
        <w:rPr>
          <w:rFonts w:eastAsia="Times New Roman" w:cs="Times New Roman"/>
          <w:b/>
          <w:bCs/>
          <w:szCs w:val="24"/>
        </w:rPr>
        <w:fldChar w:fldCharType="separate"/>
      </w:r>
      <w:r w:rsidR="00AA5AAC" w:rsidRPr="00AA5AAC">
        <w:rPr>
          <w:b/>
          <w:bCs/>
        </w:rPr>
        <w:t>Scheme 3.3</w:t>
      </w:r>
      <w:r w:rsidR="000D043E" w:rsidRPr="000D043E">
        <w:rPr>
          <w:rFonts w:eastAsia="Times New Roman" w:cs="Times New Roman"/>
          <w:b/>
          <w:bCs/>
          <w:szCs w:val="24"/>
        </w:rPr>
        <w:fldChar w:fldCharType="end"/>
      </w:r>
      <w:r w:rsidRPr="007B7129">
        <w:rPr>
          <w:rFonts w:eastAsia="Times New Roman" w:cs="Times New Roman"/>
          <w:szCs w:val="24"/>
        </w:rPr>
        <w:t>).</w:t>
      </w:r>
      <w:r w:rsidRPr="007B7129">
        <w:rPr>
          <w:rFonts w:eastAsia="Times New Roman" w:cs="Times New Roman"/>
          <w:szCs w:val="24"/>
        </w:rPr>
        <w:fldChar w:fldCharType="begin"/>
      </w:r>
      <w:r w:rsidRPr="007B7129">
        <w:rPr>
          <w:rFonts w:eastAsia="Times New Roman" w:cs="Times New Roman"/>
          <w:szCs w:val="24"/>
        </w:rPr>
        <w:instrText xml:space="preserve"> ADDIN ZOTERO_ITEM CSL_CITATION {"citationID":"GOtC43IW","properties":{"formattedCitation":"\\super 38\\nosupersub{}","plainCitation":"38","noteIndex":0},"citationItems":[{"id":274,"uris":["http://zotero.org/users/6503767/items/TPALE79K"],"itemData":{"id":274,"type":"article-journal","container-title":"Heterocycles","language":"en","page":"57-60","source":"Zotero","title":"Total synthesis of the structure proposed for picrasidine-H (dimeric 4-methoxy-P-carboline alkaloid)","volume":"16","author":[{"family":"Suzuki","given":"Hideharu"},{"family":"Ebihara","given":"Yuki"},{"family":"Yokoyama","given":"Yuusaku"},{"family":"Murakami","given":"Yasuoki"}],"issued":{"date-parts":[["1997"]]}}}],"schema":"https://github.com/citation-style-language/schema/raw/master/csl-citation.json"} </w:instrText>
      </w:r>
      <w:r w:rsidRPr="007B7129">
        <w:rPr>
          <w:rFonts w:eastAsia="Times New Roman" w:cs="Times New Roman"/>
          <w:szCs w:val="24"/>
        </w:rPr>
        <w:fldChar w:fldCharType="separate"/>
      </w:r>
      <w:r w:rsidRPr="007B7129">
        <w:rPr>
          <w:rFonts w:eastAsia="Times New Roman" w:cs="Times New Roman"/>
          <w:szCs w:val="24"/>
          <w:vertAlign w:val="superscript"/>
        </w:rPr>
        <w:t>38</w:t>
      </w:r>
      <w:r w:rsidRPr="007B7129">
        <w:rPr>
          <w:rFonts w:eastAsia="Times New Roman" w:cs="Times New Roman"/>
          <w:szCs w:val="24"/>
        </w:rPr>
        <w:fldChar w:fldCharType="end"/>
      </w:r>
      <w:r w:rsidRPr="007B7129">
        <w:rPr>
          <w:rFonts w:eastAsia="Times New Roman" w:cs="Times New Roman"/>
          <w:szCs w:val="24"/>
        </w:rPr>
        <w:t xml:space="preserve"> Despite Murakami’s efforts, the total synthesis of </w:t>
      </w:r>
      <w:r w:rsidRPr="007B7129">
        <w:rPr>
          <w:rFonts w:eastAsia="Times New Roman" w:cs="Times New Roman"/>
          <w:b/>
          <w:bCs/>
          <w:szCs w:val="24"/>
        </w:rPr>
        <w:t>3.3</w:t>
      </w:r>
      <w:r w:rsidRPr="007B7129">
        <w:rPr>
          <w:rFonts w:eastAsia="Times New Roman" w:cs="Times New Roman"/>
          <w:szCs w:val="24"/>
        </w:rPr>
        <w:t xml:space="preserve"> has not yet been reported.</w:t>
      </w:r>
    </w:p>
    <w:p w14:paraId="086BA87C" w14:textId="77777777" w:rsidR="007B7129" w:rsidRPr="007B7129" w:rsidRDefault="007B7129" w:rsidP="007B7129">
      <w:pPr>
        <w:spacing w:after="0"/>
        <w:ind w:left="720" w:firstLine="720"/>
        <w:rPr>
          <w:rFonts w:eastAsia="Times New Roman" w:cs="Times New Roman"/>
          <w:szCs w:val="24"/>
        </w:rPr>
      </w:pPr>
      <w:r w:rsidRPr="007B7129">
        <w:rPr>
          <w:rFonts w:eastAsia="Times New Roman" w:cs="Times New Roman"/>
          <w:szCs w:val="24"/>
        </w:rPr>
        <w:t xml:space="preserve"> </w:t>
      </w:r>
      <w:r w:rsidRPr="007B7129">
        <w:rPr>
          <w:rFonts w:eastAsia="Times New Roman" w:cs="Times New Roman"/>
          <w:noProof/>
          <w:szCs w:val="24"/>
        </w:rPr>
        <mc:AlternateContent>
          <mc:Choice Requires="wps">
            <w:drawing>
              <wp:inline distT="0" distB="0" distL="0" distR="0" wp14:anchorId="08713246" wp14:editId="79A25D00">
                <wp:extent cx="4113530" cy="1645920"/>
                <wp:effectExtent l="0" t="0" r="20320" b="11430"/>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3530" cy="1645920"/>
                        </a:xfrm>
                        <a:prstGeom prst="rect">
                          <a:avLst/>
                        </a:prstGeom>
                        <a:solidFill>
                          <a:srgbClr val="FFFFFF"/>
                        </a:solidFill>
                        <a:ln w="9525">
                          <a:solidFill>
                            <a:srgbClr val="000000"/>
                          </a:solidFill>
                          <a:miter lim="800000"/>
                          <a:headEnd/>
                          <a:tailEnd/>
                        </a:ln>
                      </wps:spPr>
                      <wps:txbx>
                        <w:txbxContent>
                          <w:p w14:paraId="71FBE7F9" w14:textId="77777777" w:rsidR="00183BAD" w:rsidRDefault="007B7129" w:rsidP="00183BAD">
                            <w:pPr>
                              <w:keepNext/>
                              <w:spacing w:after="0"/>
                              <w:jc w:val="center"/>
                            </w:pPr>
                            <w:r>
                              <w:object w:dxaOrig="6075" w:dyaOrig="1836" w14:anchorId="35915072">
                                <v:shape id="_x0000_i1084" type="#_x0000_t75" style="width:305.75pt;height:91.65pt" o:ole="">
                                  <v:imagedata r:id="rId241" o:title=""/>
                                </v:shape>
                                <o:OLEObject Type="Embed" ProgID="ChemDraw.Document.6.0" ShapeID="_x0000_i1084" DrawAspect="Content" ObjectID="_1713353494" r:id="rId242"/>
                              </w:object>
                            </w:r>
                          </w:p>
                          <w:p w14:paraId="6C8FBE2E" w14:textId="10C23DCF" w:rsidR="007B7129" w:rsidRDefault="00183BAD" w:rsidP="00DF51F5">
                            <w:pPr>
                              <w:pStyle w:val="Caption"/>
                            </w:pPr>
                            <w:bookmarkStart w:id="253" w:name="_Ref102582929"/>
                            <w:bookmarkStart w:id="254" w:name="_Toc100748311"/>
                            <w:r>
                              <w:t>Figure 3.</w:t>
                            </w:r>
                            <w:fldSimple w:instr=" SEQ Figure \* ARABIC ">
                              <w:r w:rsidR="00AA5AAC">
                                <w:rPr>
                                  <w:noProof/>
                                </w:rPr>
                                <w:t>4</w:t>
                              </w:r>
                            </w:fldSimple>
                            <w:bookmarkEnd w:id="253"/>
                            <w:r>
                              <w:t xml:space="preserve"> </w:t>
                            </w:r>
                            <w:bookmarkStart w:id="255" w:name="_Toc100243257"/>
                            <w:r w:rsidR="007B7129">
                              <w:t>Structure of mono-</w:t>
                            </w:r>
                            <w:r w:rsidR="007B7129">
                              <w:rPr>
                                <w:rFonts w:cs="Times New Roman"/>
                              </w:rPr>
                              <w:t>β</w:t>
                            </w:r>
                            <w:r w:rsidR="007B7129">
                              <w:t>-carboline alkaloids.</w:t>
                            </w:r>
                            <w:bookmarkEnd w:id="254"/>
                            <w:bookmarkEnd w:id="255"/>
                          </w:p>
                        </w:txbxContent>
                      </wps:txbx>
                      <wps:bodyPr rot="0" vert="horz" wrap="square" lIns="91440" tIns="45720" rIns="91440" bIns="45720" anchor="t" anchorCtr="0">
                        <a:noAutofit/>
                      </wps:bodyPr>
                    </wps:wsp>
                  </a:graphicData>
                </a:graphic>
              </wp:inline>
            </w:drawing>
          </mc:Choice>
          <mc:Fallback>
            <w:pict>
              <v:shape w14:anchorId="08713246" id="_x0000_s1080" type="#_x0000_t202" style="width:323.9pt;height:12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">
                <v:textbox>
                  <w:txbxContent>
                    <w:p w14:paraId="71FBE7F9" w14:textId="77777777" w:rsidR="00183BAD" w:rsidRDefault="007B7129" w:rsidP="00183BAD">
                      <w:pPr>
                        <w:keepNext/>
                        <w:spacing w:after="0"/>
                        <w:jc w:val="center"/>
                      </w:pPr>
                      <w:r>
                        <w:object w:dxaOrig="6075" w:dyaOrig="1836" w14:anchorId="35915072">
                          <v:shape id="_x0000_i1084" type="#_x0000_t75" style="width:305.75pt;height:91.65pt" o:ole="">
                            <v:imagedata r:id="rId241" o:title=""/>
                          </v:shape>
                          <o:OLEObject Type="Embed" ProgID="ChemDraw.Document.6.0" ShapeID="_x0000_i1084" DrawAspect="Content" ObjectID="_1713353494" r:id="rId243"/>
                        </w:object>
                      </w:r>
                    </w:p>
                    <w:p w14:paraId="6C8FBE2E" w14:textId="10C23DCF" w:rsidR="007B7129" w:rsidRDefault="00183BAD" w:rsidP="00DF51F5">
                      <w:pPr>
                        <w:pStyle w:val="Caption"/>
                      </w:pPr>
                      <w:bookmarkStart w:id="256" w:name="_Ref102582929"/>
                      <w:bookmarkStart w:id="257" w:name="_Toc100748311"/>
                      <w:r>
                        <w:t>Figure 3.</w:t>
                      </w:r>
                      <w:fldSimple w:instr=" SEQ Figure \* ARABIC ">
                        <w:r w:rsidR="00AA5AAC">
                          <w:rPr>
                            <w:noProof/>
                          </w:rPr>
                          <w:t>4</w:t>
                        </w:r>
                      </w:fldSimple>
                      <w:bookmarkEnd w:id="256"/>
                      <w:r>
                        <w:t xml:space="preserve"> </w:t>
                      </w:r>
                      <w:bookmarkStart w:id="258" w:name="_Toc100243257"/>
                      <w:r w:rsidR="007B7129">
                        <w:t>Structure of mono-</w:t>
                      </w:r>
                      <w:r w:rsidR="007B7129">
                        <w:rPr>
                          <w:rFonts w:cs="Times New Roman"/>
                        </w:rPr>
                        <w:t>β</w:t>
                      </w:r>
                      <w:r w:rsidR="007B7129">
                        <w:t>-carboline alkaloids.</w:t>
                      </w:r>
                      <w:bookmarkEnd w:id="257"/>
                      <w:bookmarkEnd w:id="258"/>
                    </w:p>
                  </w:txbxContent>
                </v:textbox>
                <w10:anchorlock/>
              </v:shape>
            </w:pict>
          </mc:Fallback>
        </mc:AlternateContent>
      </w:r>
    </w:p>
    <w:p w14:paraId="252B4B6E" w14:textId="77777777" w:rsidR="007B7129" w:rsidRPr="007B7129" w:rsidRDefault="007B7129" w:rsidP="007B7129">
      <w:pPr>
        <w:spacing w:after="0"/>
        <w:ind w:firstLine="720"/>
        <w:rPr>
          <w:rFonts w:eastAsia="Times New Roman" w:cs="Times New Roman"/>
          <w:noProof/>
          <w:szCs w:val="24"/>
        </w:rPr>
      </w:pPr>
      <w:r w:rsidRPr="007B7129">
        <w:rPr>
          <w:rFonts w:eastAsia="Times New Roman" w:cs="Times New Roman"/>
          <w:szCs w:val="24"/>
        </w:rPr>
        <w:t>Although the work by Murakami provides inspiration for bis-β-carboline syntheses, the approach is contingent on the coupling of two in-tact β-carboline heterocycles, limiting linker structure and connectivity. A more flexible synthetic design would allow for structural diversification, the possibilities of which will be discussed in this chapter.</w:t>
      </w:r>
      <w:r w:rsidRPr="007B7129">
        <w:rPr>
          <w:rFonts w:eastAsia="Times New Roman" w:cs="Times New Roman"/>
          <w:noProof/>
          <w:szCs w:val="24"/>
        </w:rPr>
        <w:t xml:space="preserve"> </w:t>
      </w:r>
    </w:p>
    <w:p w14:paraId="08F97F26" w14:textId="77777777" w:rsidR="007B7129" w:rsidRPr="007B7129" w:rsidRDefault="007B7129" w:rsidP="007B7129">
      <w:pPr>
        <w:spacing w:after="0"/>
        <w:rPr>
          <w:rFonts w:eastAsia="Times New Roman" w:cs="Times New Roman"/>
          <w:szCs w:val="24"/>
        </w:rPr>
      </w:pPr>
      <w:r w:rsidRPr="007B7129">
        <w:rPr>
          <w:rFonts w:eastAsia="Times New Roman" w:cs="Times New Roman"/>
          <w:noProof/>
          <w:szCs w:val="24"/>
        </w:rPr>
        <w:lastRenderedPageBreak/>
        <mc:AlternateContent>
          <mc:Choice Requires="wps">
            <w:drawing>
              <wp:inline distT="0" distB="0" distL="0" distR="0" wp14:anchorId="64D6C454" wp14:editId="1E36CA1F">
                <wp:extent cx="5943600" cy="5136515"/>
                <wp:effectExtent l="0" t="0" r="19050" b="26035"/>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136515"/>
                        </a:xfrm>
                        <a:prstGeom prst="rect">
                          <a:avLst/>
                        </a:prstGeom>
                        <a:solidFill>
                          <a:srgbClr val="FFFFFF"/>
                        </a:solidFill>
                        <a:ln w="9525">
                          <a:solidFill>
                            <a:srgbClr val="000000"/>
                          </a:solidFill>
                          <a:miter lim="800000"/>
                          <a:headEnd/>
                          <a:tailEnd/>
                        </a:ln>
                      </wps:spPr>
                      <wps:txbx>
                        <w:txbxContent>
                          <w:p w14:paraId="572F4231" w14:textId="77777777" w:rsidR="00183BAD" w:rsidRDefault="007B7129" w:rsidP="00183BAD">
                            <w:pPr>
                              <w:keepNext/>
                              <w:spacing w:after="0"/>
                            </w:pPr>
                            <w:r>
                              <w:object w:dxaOrig="9984" w:dyaOrig="6610" w14:anchorId="02A62D4B">
                                <v:shape id="_x0000_i1085" type="#_x0000_t75" style="width:452.55pt;height:299.7pt" o:ole="">
                                  <v:imagedata r:id="rId244" o:title=""/>
                                </v:shape>
                                <o:OLEObject Type="Embed" ProgID="ChemDraw.Document.6.0" ShapeID="_x0000_i1085" DrawAspect="Content" ObjectID="_1713353495" r:id="rId245"/>
                              </w:object>
                            </w:r>
                          </w:p>
                          <w:p w14:paraId="58AB5EAE" w14:textId="3EC7AAC8" w:rsidR="007B7129" w:rsidRDefault="00183BAD" w:rsidP="00DF51F5">
                            <w:pPr>
                              <w:pStyle w:val="Caption"/>
                            </w:pPr>
                            <w:bookmarkStart w:id="259" w:name="_Ref102582973"/>
                            <w:r>
                              <w:t>Scheme 3.</w:t>
                            </w:r>
                            <w:fldSimple w:instr=" SEQ Scheme \* ARABIC ">
                              <w:r w:rsidR="00AA5AAC">
                                <w:rPr>
                                  <w:noProof/>
                                </w:rPr>
                                <w:t>3</w:t>
                              </w:r>
                            </w:fldSimple>
                            <w:bookmarkEnd w:id="259"/>
                            <w:r>
                              <w:t>.</w:t>
                            </w:r>
                            <w:r w:rsidR="007B7129">
                              <w:t xml:space="preserve"> Murakami’s attempted total synthesis of picrasidine H (</w:t>
                            </w:r>
                            <w:r w:rsidR="007B7129" w:rsidRPr="0019781F">
                              <w:rPr>
                                <w:rFonts w:cs="Times New Roman"/>
                                <w:szCs w:val="24"/>
                              </w:rPr>
                              <w:t>3.</w:t>
                            </w:r>
                            <w:r w:rsidR="007B7129">
                              <w:t>3), yielding compound 3.27 instead.</w:t>
                            </w:r>
                          </w:p>
                          <w:p w14:paraId="415C1E97" w14:textId="77777777" w:rsidR="007B7129" w:rsidRDefault="007B7129" w:rsidP="007B7129">
                            <w:pPr>
                              <w:spacing w:line="240" w:lineRule="auto"/>
                            </w:pPr>
                            <w:r>
                              <w:t xml:space="preserve">Reagents and conditions: (a) ethyl acetate, LHMDS, -45 </w:t>
                            </w:r>
                            <w:r>
                              <w:rPr>
                                <w:rFonts w:cs="Times New Roman"/>
                              </w:rPr>
                              <w:t>̊</w:t>
                            </w:r>
                            <w:r>
                              <w:t>C 2.5 h (83%); (b) LiAlH</w:t>
                            </w:r>
                            <w:r w:rsidRPr="00CA2B89">
                              <w:rPr>
                                <w:vertAlign w:val="subscript"/>
                              </w:rPr>
                              <w:t>4</w:t>
                            </w:r>
                            <w:r>
                              <w:t>, THF, rt, 1 h (96%); (c) SOCl</w:t>
                            </w:r>
                            <w:r w:rsidRPr="00CA2B89">
                              <w:rPr>
                                <w:vertAlign w:val="subscript"/>
                              </w:rPr>
                              <w:t>2</w:t>
                            </w:r>
                            <w:r>
                              <w:t xml:space="preserve">, 60 </w:t>
                            </w:r>
                            <w:r>
                              <w:rPr>
                                <w:rFonts w:cs="Times New Roman"/>
                              </w:rPr>
                              <w:t>̊</w:t>
                            </w:r>
                            <w:r>
                              <w:t xml:space="preserve">C, 30 min (quant.); (d) </w:t>
                            </w:r>
                            <w:proofErr w:type="gramStart"/>
                            <w:r>
                              <w:t>Mg(</w:t>
                            </w:r>
                            <w:proofErr w:type="spellStart"/>
                            <w:proofErr w:type="gramEnd"/>
                            <w:r>
                              <w:t>OEt</w:t>
                            </w:r>
                            <w:proofErr w:type="spellEnd"/>
                            <w:r>
                              <w:t>)</w:t>
                            </w:r>
                            <w:r w:rsidRPr="00CA2B89">
                              <w:rPr>
                                <w:vertAlign w:val="subscript"/>
                              </w:rPr>
                              <w:t>2</w:t>
                            </w:r>
                            <w:r>
                              <w:t>, KI, DMF, rt, 8.5 h (70%), (e) BH</w:t>
                            </w:r>
                            <w:r w:rsidRPr="00CA2B89">
                              <w:rPr>
                                <w:vertAlign w:val="subscript"/>
                              </w:rPr>
                              <w:t>3</w:t>
                            </w:r>
                            <w:r>
                              <w:t>, THF, reflux, 5 h, (47%), (f) activated MnO</w:t>
                            </w:r>
                            <w:r w:rsidRPr="00CA2B89">
                              <w:rPr>
                                <w:vertAlign w:val="subscript"/>
                              </w:rPr>
                              <w:t>2</w:t>
                            </w:r>
                            <w:r>
                              <w:t>, DCM/MeOH, rt, 5 days (29%).</w:t>
                            </w:r>
                          </w:p>
                        </w:txbxContent>
                      </wps:txbx>
                      <wps:bodyPr rot="0" vert="horz" wrap="square" lIns="91440" tIns="45720" rIns="91440" bIns="45720" anchor="t" anchorCtr="0">
                        <a:noAutofit/>
                      </wps:bodyPr>
                    </wps:wsp>
                  </a:graphicData>
                </a:graphic>
              </wp:inline>
            </w:drawing>
          </mc:Choice>
          <mc:Fallback>
            <w:pict>
              <v:shape w14:anchorId="64D6C454" id="_x0000_s1081" type="#_x0000_t202" style="width:468pt;height:40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">
                <v:textbox>
                  <w:txbxContent>
                    <w:p w14:paraId="572F4231" w14:textId="77777777" w:rsidR="00183BAD" w:rsidRDefault="007B7129" w:rsidP="00183BAD">
                      <w:pPr>
                        <w:keepNext/>
                        <w:spacing w:after="0"/>
                      </w:pPr>
                      <w:r>
                        <w:object w:dxaOrig="9984" w:dyaOrig="6610" w14:anchorId="02A62D4B">
                          <v:shape id="_x0000_i1085" type="#_x0000_t75" style="width:452.55pt;height:299.7pt" o:ole="">
                            <v:imagedata r:id="rId244" o:title=""/>
                          </v:shape>
                          <o:OLEObject Type="Embed" ProgID="ChemDraw.Document.6.0" ShapeID="_x0000_i1085" DrawAspect="Content" ObjectID="_1713353495" r:id="rId246"/>
                        </w:object>
                      </w:r>
                    </w:p>
                    <w:p w14:paraId="58AB5EAE" w14:textId="3EC7AAC8" w:rsidR="007B7129" w:rsidRDefault="00183BAD" w:rsidP="00DF51F5">
                      <w:pPr>
                        <w:pStyle w:val="Caption"/>
                      </w:pPr>
                      <w:bookmarkStart w:id="260" w:name="_Ref102582973"/>
                      <w:r>
                        <w:t>Scheme 3.</w:t>
                      </w:r>
                      <w:fldSimple w:instr=" SEQ Scheme \* ARABIC ">
                        <w:r w:rsidR="00AA5AAC">
                          <w:rPr>
                            <w:noProof/>
                          </w:rPr>
                          <w:t>3</w:t>
                        </w:r>
                      </w:fldSimple>
                      <w:bookmarkEnd w:id="260"/>
                      <w:r>
                        <w:t>.</w:t>
                      </w:r>
                      <w:r w:rsidR="007B7129">
                        <w:t xml:space="preserve"> Murakami’s attempted total synthesis of picrasidine H (</w:t>
                      </w:r>
                      <w:r w:rsidR="007B7129" w:rsidRPr="0019781F">
                        <w:rPr>
                          <w:rFonts w:cs="Times New Roman"/>
                          <w:szCs w:val="24"/>
                        </w:rPr>
                        <w:t>3.</w:t>
                      </w:r>
                      <w:r w:rsidR="007B7129">
                        <w:t>3), yielding compound 3.27 instead.</w:t>
                      </w:r>
                    </w:p>
                    <w:p w14:paraId="415C1E97" w14:textId="77777777" w:rsidR="007B7129" w:rsidRDefault="007B7129" w:rsidP="007B7129">
                      <w:pPr>
                        <w:spacing w:line="240" w:lineRule="auto"/>
                      </w:pPr>
                      <w:r>
                        <w:t xml:space="preserve">Reagents and conditions: (a) ethyl acetate, LHMDS, -45 </w:t>
                      </w:r>
                      <w:r>
                        <w:rPr>
                          <w:rFonts w:cs="Times New Roman"/>
                        </w:rPr>
                        <w:t>̊</w:t>
                      </w:r>
                      <w:r>
                        <w:t>C 2.5 h (83%); (b) LiAlH</w:t>
                      </w:r>
                      <w:r w:rsidRPr="00CA2B89">
                        <w:rPr>
                          <w:vertAlign w:val="subscript"/>
                        </w:rPr>
                        <w:t>4</w:t>
                      </w:r>
                      <w:r>
                        <w:t>, THF, rt, 1 h (96%); (c) SOCl</w:t>
                      </w:r>
                      <w:r w:rsidRPr="00CA2B89">
                        <w:rPr>
                          <w:vertAlign w:val="subscript"/>
                        </w:rPr>
                        <w:t>2</w:t>
                      </w:r>
                      <w:r>
                        <w:t xml:space="preserve">, 60 </w:t>
                      </w:r>
                      <w:r>
                        <w:rPr>
                          <w:rFonts w:cs="Times New Roman"/>
                        </w:rPr>
                        <w:t>̊</w:t>
                      </w:r>
                      <w:r>
                        <w:t xml:space="preserve">C, 30 min (quant.); (d) </w:t>
                      </w:r>
                      <w:proofErr w:type="gramStart"/>
                      <w:r>
                        <w:t>Mg(</w:t>
                      </w:r>
                      <w:proofErr w:type="spellStart"/>
                      <w:proofErr w:type="gramEnd"/>
                      <w:r>
                        <w:t>OEt</w:t>
                      </w:r>
                      <w:proofErr w:type="spellEnd"/>
                      <w:r>
                        <w:t>)</w:t>
                      </w:r>
                      <w:r w:rsidRPr="00CA2B89">
                        <w:rPr>
                          <w:vertAlign w:val="subscript"/>
                        </w:rPr>
                        <w:t>2</w:t>
                      </w:r>
                      <w:r>
                        <w:t>, KI, DMF, rt, 8.5 h (70%), (e) BH</w:t>
                      </w:r>
                      <w:r w:rsidRPr="00CA2B89">
                        <w:rPr>
                          <w:vertAlign w:val="subscript"/>
                        </w:rPr>
                        <w:t>3</w:t>
                      </w:r>
                      <w:r>
                        <w:t>, THF, reflux, 5 h, (47%), (f) activated MnO</w:t>
                      </w:r>
                      <w:r w:rsidRPr="00CA2B89">
                        <w:rPr>
                          <w:vertAlign w:val="subscript"/>
                        </w:rPr>
                        <w:t>2</w:t>
                      </w:r>
                      <w:r>
                        <w:t>, DCM/MeOH, rt, 5 days (29%).</w:t>
                      </w:r>
                    </w:p>
                  </w:txbxContent>
                </v:textbox>
                <w10:anchorlock/>
              </v:shape>
            </w:pict>
          </mc:Fallback>
        </mc:AlternateContent>
      </w:r>
    </w:p>
    <w:p w14:paraId="668F9385" w14:textId="77777777" w:rsidR="007B7129" w:rsidRPr="007B7129" w:rsidRDefault="007B7129" w:rsidP="007B7129">
      <w:pPr>
        <w:spacing w:after="0"/>
        <w:ind w:firstLine="720"/>
        <w:rPr>
          <w:rFonts w:eastAsia="Times New Roman" w:cs="Times New Roman"/>
          <w:szCs w:val="24"/>
        </w:rPr>
      </w:pPr>
    </w:p>
    <w:p w14:paraId="2D1B306E" w14:textId="77777777" w:rsidR="007B7129" w:rsidRPr="007B7129" w:rsidRDefault="007B7129" w:rsidP="00EC026C">
      <w:pPr>
        <w:pStyle w:val="Section"/>
      </w:pPr>
      <w:bookmarkStart w:id="261" w:name="_Toc97337850"/>
      <w:bookmarkStart w:id="262" w:name="_Toc100241905"/>
      <w:bookmarkStart w:id="263" w:name="_Toc102586269"/>
      <w:r w:rsidRPr="007B7129">
        <w:t>3.2 Retrosynthetic analysis</w:t>
      </w:r>
      <w:bookmarkEnd w:id="261"/>
      <w:bookmarkEnd w:id="262"/>
      <w:bookmarkEnd w:id="263"/>
      <w:r w:rsidRPr="007B7129">
        <w:t xml:space="preserve"> </w:t>
      </w:r>
    </w:p>
    <w:p w14:paraId="071DC102" w14:textId="77777777"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 xml:space="preserve">I primarily envisioned two approaches for accessing β-carboline-containing molecules: (1) building the heterocycle from structural fragments or (2) functionalizing an existing β-carboline ring. Efforts to employ each strategy are the focus of this chapter. </w:t>
      </w:r>
    </w:p>
    <w:p w14:paraId="1B82236D" w14:textId="77777777" w:rsidR="007B7129" w:rsidRPr="007B7129" w:rsidRDefault="007B7129" w:rsidP="00EC026C">
      <w:pPr>
        <w:pStyle w:val="Subsection"/>
      </w:pPr>
      <w:bookmarkStart w:id="264" w:name="_Toc97337851"/>
      <w:bookmarkStart w:id="265" w:name="_Toc100241906"/>
      <w:bookmarkStart w:id="266" w:name="_Toc102586270"/>
      <w:r w:rsidRPr="007B7129">
        <w:t>3.2.1 Iterative β-carboline ring construction (Approach 1)</w:t>
      </w:r>
      <w:bookmarkEnd w:id="264"/>
      <w:bookmarkEnd w:id="265"/>
      <w:r w:rsidRPr="007B7129">
        <w:t>.</w:t>
      </w:r>
      <w:bookmarkEnd w:id="266"/>
    </w:p>
    <w:p w14:paraId="6A95BAD3" w14:textId="71E4E304"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 xml:space="preserve">The first strategy for the total synthesis of </w:t>
      </w:r>
      <w:r w:rsidRPr="007B7129">
        <w:rPr>
          <w:rFonts w:eastAsia="Times New Roman" w:cs="Times New Roman"/>
          <w:b/>
          <w:bCs/>
          <w:szCs w:val="20"/>
        </w:rPr>
        <w:t>3.1</w:t>
      </w:r>
      <w:r w:rsidRPr="007B7129">
        <w:rPr>
          <w:rFonts w:eastAsia="Times New Roman" w:cs="Times New Roman"/>
          <w:szCs w:val="20"/>
        </w:rPr>
        <w:t xml:space="preserve"> relied on the individual construction of both β-carboline A (cyan) and B (magenta) ring systems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_Ref87277742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Pr="007B7129">
        <w:rPr>
          <w:rFonts w:eastAsia="Times New Roman" w:cs="Times New Roman"/>
          <w:szCs w:val="20"/>
        </w:rPr>
        <w:t xml:space="preserve">). The first bond disconnection was </w:t>
      </w:r>
      <w:r w:rsidRPr="007B7129">
        <w:rPr>
          <w:rFonts w:eastAsia="Times New Roman" w:cs="Times New Roman"/>
          <w:szCs w:val="20"/>
        </w:rPr>
        <w:lastRenderedPageBreak/>
        <w:t xml:space="preserve">made at the methoxy substituent in the linker to enable late-stage functionalization of synthon </w:t>
      </w:r>
      <w:r w:rsidRPr="007B7129">
        <w:rPr>
          <w:rFonts w:eastAsia="Times New Roman" w:cs="Times New Roman"/>
          <w:b/>
          <w:bCs/>
          <w:szCs w:val="20"/>
        </w:rPr>
        <w:t>A</w:t>
      </w:r>
      <w:r w:rsidRPr="007B7129">
        <w:rPr>
          <w:rFonts w:eastAsia="Times New Roman" w:cs="Times New Roman"/>
          <w:szCs w:val="20"/>
        </w:rPr>
        <w:t xml:space="preserve">. Relying on the historic utility of the Pictet-Spengler cyclization for the construction of both β-carbolines A and B, synthon </w:t>
      </w:r>
      <w:r w:rsidRPr="007B7129">
        <w:rPr>
          <w:rFonts w:eastAsia="Times New Roman" w:cs="Times New Roman"/>
          <w:b/>
          <w:bCs/>
          <w:szCs w:val="20"/>
        </w:rPr>
        <w:t>C</w:t>
      </w:r>
      <w:r w:rsidRPr="007B7129">
        <w:rPr>
          <w:rFonts w:eastAsia="Times New Roman" w:cs="Times New Roman"/>
          <w:szCs w:val="20"/>
        </w:rPr>
        <w:t xml:space="preserve"> was envisioned to allow for one PSR with substituted tryptamines </w:t>
      </w:r>
      <w:r w:rsidRPr="007B7129">
        <w:rPr>
          <w:rFonts w:eastAsia="Times New Roman" w:cs="Times New Roman"/>
          <w:b/>
          <w:bCs/>
          <w:szCs w:val="20"/>
        </w:rPr>
        <w:t>B</w:t>
      </w:r>
      <w:r w:rsidRPr="007B7129">
        <w:rPr>
          <w:rFonts w:eastAsia="Times New Roman" w:cs="Times New Roman"/>
          <w:szCs w:val="20"/>
        </w:rPr>
        <w:t xml:space="preserve"> to form β-carboline B. Synthon </w:t>
      </w:r>
      <w:r w:rsidRPr="007B7129">
        <w:rPr>
          <w:rFonts w:eastAsia="Times New Roman" w:cs="Times New Roman"/>
          <w:b/>
          <w:bCs/>
          <w:szCs w:val="20"/>
        </w:rPr>
        <w:t>C</w:t>
      </w:r>
      <w:r w:rsidRPr="007B7129">
        <w:rPr>
          <w:rFonts w:eastAsia="Times New Roman" w:cs="Times New Roman"/>
          <w:szCs w:val="20"/>
        </w:rPr>
        <w:t xml:space="preserve"> also contains the linker atoms and the important aldehyde component for the PSR. The linker was envisioned to arise from an oxidative cleavage of a cyclic olefin, such as synthon </w:t>
      </w:r>
      <w:r w:rsidRPr="007B7129">
        <w:rPr>
          <w:rFonts w:eastAsia="Times New Roman" w:cs="Times New Roman"/>
          <w:b/>
          <w:bCs/>
          <w:szCs w:val="20"/>
        </w:rPr>
        <w:t>D</w:t>
      </w:r>
      <w:r w:rsidRPr="007B7129">
        <w:rPr>
          <w:rFonts w:eastAsia="Times New Roman" w:cs="Times New Roman"/>
          <w:szCs w:val="20"/>
        </w:rPr>
        <w:t>, which could be synthesized via another PSR.</w:t>
      </w:r>
    </w:p>
    <w:p w14:paraId="0D2D33A1" w14:textId="60839088" w:rsidR="007B7129" w:rsidRPr="007B7129" w:rsidRDefault="007B7129" w:rsidP="007B7129">
      <w:pPr>
        <w:spacing w:after="0"/>
        <w:ind w:firstLine="720"/>
        <w:rPr>
          <w:rFonts w:eastAsia="Times New Roman" w:cs="Times New Roman"/>
          <w:bCs/>
          <w:noProof/>
          <w:szCs w:val="20"/>
          <w:u w:val="single"/>
        </w:rPr>
      </w:pPr>
      <w:r w:rsidRPr="007B7129">
        <w:rPr>
          <w:rFonts w:eastAsia="Times New Roman" w:cs="Times New Roman"/>
          <w:szCs w:val="20"/>
        </w:rPr>
        <w:t xml:space="preserve">This route employs inexpensive and commercially available tryptamine starting materials </w:t>
      </w:r>
      <w:r w:rsidRPr="007B7129">
        <w:rPr>
          <w:rFonts w:eastAsia="Times New Roman" w:cs="Times New Roman"/>
          <w:b/>
          <w:bCs/>
          <w:szCs w:val="20"/>
        </w:rPr>
        <w:t>B</w:t>
      </w:r>
      <w:r w:rsidRPr="007B7129">
        <w:rPr>
          <w:rFonts w:eastAsia="Times New Roman" w:cs="Times New Roman"/>
          <w:szCs w:val="20"/>
        </w:rPr>
        <w:t>. With 1-cyclopentene-1-carbaldehyde (</w:t>
      </w:r>
      <w:r w:rsidRPr="007B7129">
        <w:rPr>
          <w:rFonts w:eastAsia="Times New Roman" w:cs="Times New Roman"/>
          <w:b/>
          <w:bCs/>
          <w:szCs w:val="20"/>
        </w:rPr>
        <w:t>E</w:t>
      </w:r>
      <w:r w:rsidRPr="007B7129">
        <w:rPr>
          <w:rFonts w:eastAsia="Times New Roman" w:cs="Times New Roman"/>
          <w:szCs w:val="20"/>
        </w:rPr>
        <w:t xml:space="preserve">) as the PSR carbonyl component for β-carboline A, after oxidative aromatization, the resulting olefin </w:t>
      </w:r>
      <w:r w:rsidRPr="007B7129">
        <w:rPr>
          <w:rFonts w:eastAsia="Times New Roman" w:cs="Times New Roman"/>
          <w:b/>
          <w:bCs/>
          <w:szCs w:val="20"/>
        </w:rPr>
        <w:t>D</w:t>
      </w:r>
      <w:r w:rsidRPr="007B7129">
        <w:rPr>
          <w:rFonts w:eastAsia="Times New Roman" w:cs="Times New Roman"/>
          <w:szCs w:val="20"/>
        </w:rPr>
        <w:t xml:space="preserve"> is poised for oxidative cleavage to continue the total synthesis as envisioned by the retrosynthetic analysis. The olefin in </w:t>
      </w:r>
      <w:r w:rsidRPr="007B7129">
        <w:rPr>
          <w:rFonts w:eastAsia="Times New Roman" w:cs="Times New Roman"/>
          <w:b/>
          <w:bCs/>
          <w:szCs w:val="20"/>
        </w:rPr>
        <w:t>D</w:t>
      </w:r>
      <w:r w:rsidRPr="007B7129">
        <w:rPr>
          <w:rFonts w:eastAsia="Times New Roman" w:cs="Times New Roman"/>
          <w:szCs w:val="20"/>
        </w:rPr>
        <w:t xml:space="preserve"> also provides a synthetic handle for functionalization or eventual diversification, with potential to investigate new chemical space within the Picrasma alkaloids. Another location in this plan that allows for possible structural diversification is the α-keto position on synthon </w:t>
      </w:r>
      <w:r w:rsidRPr="007B7129">
        <w:rPr>
          <w:rFonts w:eastAsia="Times New Roman" w:cs="Times New Roman"/>
          <w:b/>
          <w:bCs/>
          <w:szCs w:val="20"/>
        </w:rPr>
        <w:t>A</w:t>
      </w:r>
      <w:r w:rsidRPr="007B7129">
        <w:rPr>
          <w:rFonts w:eastAsia="Times New Roman" w:cs="Times New Roman"/>
          <w:szCs w:val="20"/>
        </w:rPr>
        <w:t xml:space="preserve">. Specifically, oxidation and alkylation to install an α-keto-methoxy group would result in the total synthesis of </w:t>
      </w:r>
      <w:r w:rsidRPr="007B7129">
        <w:rPr>
          <w:rFonts w:eastAsia="Times New Roman" w:cs="Times New Roman"/>
          <w:b/>
          <w:bCs/>
          <w:szCs w:val="20"/>
        </w:rPr>
        <w:t>3.1</w:t>
      </w:r>
      <w:r w:rsidRPr="007B7129">
        <w:rPr>
          <w:rFonts w:eastAsia="Times New Roman" w:cs="Times New Roman"/>
          <w:szCs w:val="20"/>
        </w:rPr>
        <w:t xml:space="preserve">. Additional analogs were envisioned to be accessible through enolate trapping of synthon </w:t>
      </w:r>
      <w:r w:rsidRPr="007B7129">
        <w:rPr>
          <w:rFonts w:eastAsia="Times New Roman" w:cs="Times New Roman"/>
          <w:b/>
          <w:bCs/>
          <w:szCs w:val="20"/>
        </w:rPr>
        <w:t>A</w:t>
      </w:r>
      <w:r w:rsidRPr="007B7129">
        <w:rPr>
          <w:rFonts w:eastAsia="Times New Roman" w:cs="Times New Roman"/>
          <w:szCs w:val="20"/>
        </w:rPr>
        <w:t xml:space="preserve">. Further, if stereoselective α-keto functionalization is possible, then both enantiomers of </w:t>
      </w:r>
      <w:r w:rsidRPr="007B7129">
        <w:rPr>
          <w:rFonts w:eastAsia="Times New Roman" w:cs="Times New Roman"/>
          <w:b/>
          <w:bCs/>
          <w:szCs w:val="20"/>
        </w:rPr>
        <w:t>3.1</w:t>
      </w:r>
      <w:r w:rsidRPr="007B7129">
        <w:rPr>
          <w:rFonts w:eastAsia="Times New Roman" w:cs="Times New Roman"/>
          <w:szCs w:val="20"/>
        </w:rPr>
        <w:t xml:space="preserve"> can be synthesized individually to help elucidate the absolute stereochemistry of the natural product. Two other points of diversification exist in both PSR steps where substituted tryptamines </w:t>
      </w:r>
      <w:r w:rsidRPr="007B7129">
        <w:rPr>
          <w:rFonts w:eastAsia="Times New Roman" w:cs="Times New Roman"/>
          <w:b/>
          <w:bCs/>
          <w:szCs w:val="20"/>
        </w:rPr>
        <w:t>B</w:t>
      </w:r>
      <w:r w:rsidRPr="007B7129">
        <w:rPr>
          <w:rFonts w:eastAsia="Times New Roman" w:cs="Times New Roman"/>
          <w:szCs w:val="20"/>
        </w:rPr>
        <w:t xml:space="preserve"> would provide β-carboline molecules with a variety of substitution patterns (points of diversification denoted by intermediates in dashed-line boxes in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_Ref87277742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Scheme 3.</w:t>
      </w:r>
      <w:r w:rsidRPr="007B7129">
        <w:rPr>
          <w:rFonts w:eastAsia="Times New Roman" w:cs="Times New Roman"/>
          <w:b/>
          <w:bCs/>
          <w:szCs w:val="20"/>
        </w:rPr>
        <w:fldChar w:fldCharType="end"/>
      </w:r>
      <w:r w:rsidRPr="007B7129">
        <w:rPr>
          <w:rFonts w:eastAsia="Times New Roman" w:cs="Times New Roman"/>
          <w:szCs w:val="20"/>
        </w:rPr>
        <w:t>).</w:t>
      </w:r>
      <w:r w:rsidRPr="007B7129">
        <w:rPr>
          <w:rFonts w:eastAsia="Times New Roman" w:cs="Times New Roman"/>
          <w:bCs/>
          <w:noProof/>
          <w:szCs w:val="20"/>
          <w:u w:val="single"/>
        </w:rPr>
        <w:t xml:space="preserve"> </w:t>
      </w:r>
    </w:p>
    <w:p w14:paraId="1A226E73" w14:textId="77777777" w:rsidR="007B7129" w:rsidRPr="007B7129" w:rsidRDefault="007B7129" w:rsidP="007B7129">
      <w:pPr>
        <w:spacing w:after="0"/>
        <w:rPr>
          <w:rFonts w:eastAsia="Times New Roman" w:cs="Times New Roman"/>
          <w:bCs/>
          <w:noProof/>
          <w:szCs w:val="20"/>
          <w:u w:val="single"/>
        </w:rPr>
      </w:pPr>
      <w:r w:rsidRPr="007B7129">
        <w:rPr>
          <w:rFonts w:eastAsia="Times New Roman" w:cs="Times New Roman"/>
          <w:bCs/>
          <w:noProof/>
          <w:szCs w:val="20"/>
          <w:u w:val="single"/>
        </w:rPr>
        <w:lastRenderedPageBreak/>
        <mc:AlternateContent>
          <mc:Choice Requires="wps">
            <w:drawing>
              <wp:inline distT="0" distB="0" distL="0" distR="0" wp14:anchorId="36F4C78D" wp14:editId="67984037">
                <wp:extent cx="5943600" cy="6615430"/>
                <wp:effectExtent l="0" t="0" r="19050" b="13970"/>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615430"/>
                        </a:xfrm>
                        <a:prstGeom prst="rect">
                          <a:avLst/>
                        </a:prstGeom>
                        <a:solidFill>
                          <a:srgbClr val="FFFFFF"/>
                        </a:solidFill>
                        <a:ln w="9525">
                          <a:solidFill>
                            <a:srgbClr val="000000"/>
                          </a:solidFill>
                          <a:miter lim="800000"/>
                          <a:headEnd/>
                          <a:tailEnd/>
                        </a:ln>
                      </wps:spPr>
                      <wps:txbx>
                        <w:txbxContent>
                          <w:p w14:paraId="577B0214" w14:textId="77777777" w:rsidR="007B7129" w:rsidRDefault="007B7129" w:rsidP="007B7129">
                            <w:pPr>
                              <w:keepNext/>
                              <w:spacing w:after="0"/>
                              <w:jc w:val="center"/>
                            </w:pPr>
                            <w:r>
                              <w:object w:dxaOrig="8388" w:dyaOrig="8194" w14:anchorId="6F3ECE3E">
                                <v:shape id="_x0000_i1086" type="#_x0000_t75" style="width:420.3pt;height:410.05pt" o:ole="">
                                  <v:imagedata r:id="rId247" o:title=""/>
                                </v:shape>
                                <o:OLEObject Type="Embed" ProgID="ChemDraw.Document.6.0" ShapeID="_x0000_i1086" DrawAspect="Content" ObjectID="_1713353496" r:id="rId248"/>
                              </w:object>
                            </w:r>
                          </w:p>
                          <w:p w14:paraId="250BA64A" w14:textId="29FEA141" w:rsidR="007B7129" w:rsidRDefault="007B7129" w:rsidP="00DF51F5">
                            <w:pPr>
                              <w:pStyle w:val="Caption"/>
                            </w:pPr>
                            <w:bookmarkStart w:id="267" w:name="_Ref87277742"/>
                            <w:r>
                              <w:t>Scheme 3.</w:t>
                            </w:r>
                            <w:bookmarkEnd w:id="267"/>
                            <w:r w:rsidR="005352D9">
                              <w:t>4</w:t>
                            </w:r>
                            <w:r>
                              <w:t xml:space="preserve">. First retrosynthetic analysis of </w:t>
                            </w:r>
                            <w:r w:rsidRPr="0019781F">
                              <w:t>3.</w:t>
                            </w:r>
                            <w:r>
                              <w:t xml:space="preserve">1 derived from individual </w:t>
                            </w:r>
                            <w:r>
                              <w:rPr>
                                <w:rFonts w:cs="Times New Roman"/>
                              </w:rPr>
                              <w:t>β</w:t>
                            </w:r>
                            <w:r>
                              <w:t>-carboline heterocycle construction (Approach 1).</w:t>
                            </w:r>
                          </w:p>
                          <w:p w14:paraId="4AF7235F" w14:textId="77777777" w:rsidR="007B7129" w:rsidRPr="00935A28" w:rsidRDefault="007B7129" w:rsidP="007B7129">
                            <w:pPr>
                              <w:spacing w:line="240" w:lineRule="auto"/>
                            </w:pPr>
                            <w:r>
                              <w:rPr>
                                <w:rFonts w:cs="Times New Roman"/>
                              </w:rPr>
                              <w:t>β</w:t>
                            </w:r>
                            <w:r>
                              <w:t xml:space="preserve">-carbolines </w:t>
                            </w:r>
                            <w:r w:rsidRPr="00172D7C">
                              <w:rPr>
                                <w:b/>
                                <w:bCs/>
                              </w:rPr>
                              <w:t>A</w:t>
                            </w:r>
                            <w:r>
                              <w:t xml:space="preserve"> and </w:t>
                            </w:r>
                            <w:r w:rsidRPr="00172D7C">
                              <w:rPr>
                                <w:b/>
                                <w:bCs/>
                              </w:rPr>
                              <w:t>B</w:t>
                            </w:r>
                            <w:r>
                              <w:t xml:space="preserve"> are drawn in cyan and magenta, respectively. Bond disconnections are denoted in red and blue. The possible points of structural diversification are outlined by gray boxes. </w:t>
                            </w:r>
                          </w:p>
                        </w:txbxContent>
                      </wps:txbx>
                      <wps:bodyPr rot="0" vert="horz" wrap="square" lIns="91440" tIns="45720" rIns="91440" bIns="45720" anchor="t" anchorCtr="0">
                        <a:noAutofit/>
                      </wps:bodyPr>
                    </wps:wsp>
                  </a:graphicData>
                </a:graphic>
              </wp:inline>
            </w:drawing>
          </mc:Choice>
          <mc:Fallback>
            <w:pict>
              <v:shape w14:anchorId="36F4C78D" id="_x0000_s1082" type="#_x0000_t202" style="width:468pt;height:5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">
                <v:textbox>
                  <w:txbxContent>
                    <w:p w14:paraId="577B0214" w14:textId="77777777" w:rsidR="007B7129" w:rsidRDefault="007B7129" w:rsidP="007B7129">
                      <w:pPr>
                        <w:keepNext/>
                        <w:spacing w:after="0"/>
                        <w:jc w:val="center"/>
                      </w:pPr>
                      <w:r>
                        <w:object w:dxaOrig="8388" w:dyaOrig="8194" w14:anchorId="6F3ECE3E">
                          <v:shape id="_x0000_i1086" type="#_x0000_t75" style="width:420.3pt;height:410.05pt" o:ole="">
                            <v:imagedata r:id="rId247" o:title=""/>
                          </v:shape>
                          <o:OLEObject Type="Embed" ProgID="ChemDraw.Document.6.0" ShapeID="_x0000_i1086" DrawAspect="Content" ObjectID="_1713353496" r:id="rId249"/>
                        </w:object>
                      </w:r>
                    </w:p>
                    <w:p w14:paraId="250BA64A" w14:textId="29FEA141" w:rsidR="007B7129" w:rsidRDefault="007B7129" w:rsidP="00DF51F5">
                      <w:pPr>
                        <w:pStyle w:val="Caption"/>
                      </w:pPr>
                      <w:bookmarkStart w:id="268" w:name="_Ref87277742"/>
                      <w:r>
                        <w:t>Scheme 3.</w:t>
                      </w:r>
                      <w:bookmarkEnd w:id="268"/>
                      <w:r w:rsidR="005352D9">
                        <w:t>4</w:t>
                      </w:r>
                      <w:r>
                        <w:t xml:space="preserve">. First retrosynthetic analysis of </w:t>
                      </w:r>
                      <w:r w:rsidRPr="0019781F">
                        <w:t>3.</w:t>
                      </w:r>
                      <w:r>
                        <w:t xml:space="preserve">1 derived from individual </w:t>
                      </w:r>
                      <w:r>
                        <w:rPr>
                          <w:rFonts w:cs="Times New Roman"/>
                        </w:rPr>
                        <w:t>β</w:t>
                      </w:r>
                      <w:r>
                        <w:t>-carboline heterocycle construction (Approach 1).</w:t>
                      </w:r>
                    </w:p>
                    <w:p w14:paraId="4AF7235F" w14:textId="77777777" w:rsidR="007B7129" w:rsidRPr="00935A28" w:rsidRDefault="007B7129" w:rsidP="007B7129">
                      <w:pPr>
                        <w:spacing w:line="240" w:lineRule="auto"/>
                      </w:pPr>
                      <w:r>
                        <w:rPr>
                          <w:rFonts w:cs="Times New Roman"/>
                        </w:rPr>
                        <w:t>β</w:t>
                      </w:r>
                      <w:r>
                        <w:t xml:space="preserve">-carbolines </w:t>
                      </w:r>
                      <w:r w:rsidRPr="00172D7C">
                        <w:rPr>
                          <w:b/>
                          <w:bCs/>
                        </w:rPr>
                        <w:t>A</w:t>
                      </w:r>
                      <w:r>
                        <w:t xml:space="preserve"> and </w:t>
                      </w:r>
                      <w:r w:rsidRPr="00172D7C">
                        <w:rPr>
                          <w:b/>
                          <w:bCs/>
                        </w:rPr>
                        <w:t>B</w:t>
                      </w:r>
                      <w:r>
                        <w:t xml:space="preserve"> are drawn in cyan and magenta, respectively. Bond disconnections are denoted in red and blue. The possible points of structural diversification are outlined by gray boxes. </w:t>
                      </w:r>
                    </w:p>
                  </w:txbxContent>
                </v:textbox>
                <w10:anchorlock/>
              </v:shape>
            </w:pict>
          </mc:Fallback>
        </mc:AlternateContent>
      </w:r>
    </w:p>
    <w:p w14:paraId="35F3E5C7" w14:textId="77777777" w:rsidR="007B7129" w:rsidRPr="007B7129" w:rsidRDefault="007B7129" w:rsidP="00EC026C">
      <w:pPr>
        <w:pStyle w:val="Subsection"/>
      </w:pPr>
      <w:bookmarkStart w:id="269" w:name="_Toc97337852"/>
      <w:bookmarkStart w:id="270" w:name="_Toc100241907"/>
      <w:bookmarkStart w:id="271" w:name="_Toc102586271"/>
      <w:r w:rsidRPr="007B7129">
        <w:t>3.2.2 β-carboline functionalization (Approach 2)</w:t>
      </w:r>
      <w:bookmarkEnd w:id="269"/>
      <w:bookmarkEnd w:id="270"/>
      <w:r w:rsidRPr="007B7129">
        <w:t>.</w:t>
      </w:r>
      <w:bookmarkEnd w:id="271"/>
    </w:p>
    <w:p w14:paraId="68C2DF61" w14:textId="31BD487C"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 xml:space="preserve">This approach only employs one PSR for the formation of β-carboline </w:t>
      </w:r>
      <w:r w:rsidRPr="007B7129">
        <w:rPr>
          <w:rFonts w:eastAsia="Times New Roman" w:cs="Times New Roman"/>
          <w:b/>
          <w:bCs/>
          <w:szCs w:val="20"/>
        </w:rPr>
        <w:t>B</w:t>
      </w:r>
      <w:r w:rsidRPr="007B7129">
        <w:rPr>
          <w:rFonts w:eastAsia="Times New Roman" w:cs="Times New Roman"/>
          <w:szCs w:val="20"/>
        </w:rPr>
        <w:t xml:space="preserve"> (magenta,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_Ref87208666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Pr="007B7129">
        <w:rPr>
          <w:rFonts w:eastAsia="Times New Roman" w:cs="Times New Roman"/>
          <w:szCs w:val="20"/>
        </w:rPr>
        <w:t xml:space="preserve">) from an aldehyde such as </w:t>
      </w:r>
      <w:r w:rsidRPr="007B7129">
        <w:rPr>
          <w:rFonts w:eastAsia="Times New Roman" w:cs="Times New Roman"/>
          <w:b/>
          <w:bCs/>
          <w:szCs w:val="20"/>
        </w:rPr>
        <w:t>F</w:t>
      </w:r>
      <w:r w:rsidRPr="007B7129">
        <w:rPr>
          <w:rFonts w:eastAsia="Times New Roman" w:cs="Times New Roman"/>
          <w:szCs w:val="20"/>
        </w:rPr>
        <w:t xml:space="preserve">. Synthon </w:t>
      </w:r>
      <w:r w:rsidRPr="007B7129">
        <w:rPr>
          <w:rFonts w:eastAsia="Times New Roman" w:cs="Times New Roman"/>
          <w:b/>
          <w:bCs/>
          <w:szCs w:val="20"/>
        </w:rPr>
        <w:t>F</w:t>
      </w:r>
      <w:r w:rsidRPr="007B7129">
        <w:rPr>
          <w:rFonts w:eastAsia="Times New Roman" w:cs="Times New Roman"/>
          <w:szCs w:val="20"/>
        </w:rPr>
        <w:t xml:space="preserve"> contains an already in-tact β-carboline </w:t>
      </w:r>
      <w:r w:rsidRPr="007B7129">
        <w:rPr>
          <w:rFonts w:eastAsia="Times New Roman" w:cs="Times New Roman"/>
          <w:b/>
          <w:bCs/>
          <w:szCs w:val="20"/>
        </w:rPr>
        <w:t>A</w:t>
      </w:r>
      <w:r w:rsidRPr="007B7129">
        <w:rPr>
          <w:rFonts w:eastAsia="Times New Roman" w:cs="Times New Roman"/>
          <w:szCs w:val="20"/>
        </w:rPr>
        <w:t xml:space="preserve"> heterocycle (cyan,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_Ref87208666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Pr="007B7129">
        <w:rPr>
          <w:rFonts w:eastAsia="Times New Roman" w:cs="Times New Roman"/>
          <w:szCs w:val="20"/>
        </w:rPr>
        <w:t xml:space="preserve">) and a linker with the correct oxidation pattern present in </w:t>
      </w:r>
      <w:r w:rsidRPr="007B7129">
        <w:rPr>
          <w:rFonts w:eastAsia="Times New Roman" w:cs="Times New Roman"/>
          <w:b/>
          <w:bCs/>
          <w:szCs w:val="20"/>
        </w:rPr>
        <w:t>3.1</w:t>
      </w:r>
      <w:r w:rsidRPr="007B7129">
        <w:rPr>
          <w:rFonts w:eastAsia="Times New Roman" w:cs="Times New Roman"/>
          <w:szCs w:val="20"/>
        </w:rPr>
        <w:t xml:space="preserve">. The formation of </w:t>
      </w:r>
      <w:r w:rsidRPr="007B7129">
        <w:rPr>
          <w:rFonts w:eastAsia="Times New Roman" w:cs="Times New Roman"/>
          <w:szCs w:val="20"/>
        </w:rPr>
        <w:lastRenderedPageBreak/>
        <w:t xml:space="preserve">synthon </w:t>
      </w:r>
      <w:r w:rsidRPr="007B7129">
        <w:rPr>
          <w:rFonts w:eastAsia="Times New Roman" w:cs="Times New Roman"/>
          <w:b/>
          <w:bCs/>
          <w:szCs w:val="20"/>
        </w:rPr>
        <w:t>F</w:t>
      </w:r>
      <w:r w:rsidRPr="007B7129">
        <w:rPr>
          <w:rFonts w:eastAsia="Times New Roman" w:cs="Times New Roman"/>
          <w:szCs w:val="20"/>
        </w:rPr>
        <w:t xml:space="preserve"> could arise from </w:t>
      </w:r>
      <w:proofErr w:type="spellStart"/>
      <w:r w:rsidRPr="007B7129">
        <w:rPr>
          <w:rFonts w:eastAsia="Times New Roman" w:cs="Times New Roman"/>
          <w:szCs w:val="20"/>
        </w:rPr>
        <w:t>Swern</w:t>
      </w:r>
      <w:proofErr w:type="spellEnd"/>
      <w:r w:rsidRPr="007B7129">
        <w:rPr>
          <w:rFonts w:eastAsia="Times New Roman" w:cs="Times New Roman"/>
          <w:szCs w:val="20"/>
        </w:rPr>
        <w:t xml:space="preserve"> oxidation</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{"citationID":"P9iX2d6r","properties":{"formattedCitation":"\\super 39\\nosupersub{}","plainCitation":"39","noteIndex":0},"citationItems":[{"id":402,"uris":["http://zotero.org/users/6503767/items/FXCNUBRI"],"itemData":{"id":402,"type":"article-journal","abstract":"The oxidation of primary, secondary, allylic, benzylic, hindered and bicyclic alcohols with dimethyl sulfoxide (DMSO) “activated” by numerous electrophiles was studied: yields of carbonyls, by-products and recovered alcohols were quantitatively determined. Pathways for carbonyl and by-product formation are presented. Generally, yields of carbonyls increase with increased steric hindrance in the alcohols. Steric effects of tertiary amines, used for basification, were also investigated, and the results are consistent with the suggested reaction pathways. Among previously unreported “activators,” oxalyl chloride is the most generally effective; yields of carbonyls are typically over 95%. Thionyl chloride is also a satisfactory “activator” although yields of carbonyls are not quite as high. An improved method of preparation of alkyl methylthiomethyl ethers, by-products of the oxidation process, is reported.","container-title":"Tetrahedron","DOI":"10.1016/0040-4020(78)80197-5","ISSN":"0040-4020","issue":"11","journalAbbreviation":"Tetrahedron","language":"en","page":"1651-1660","source":"ScienceDirect","title":"Oxidation of alcohols by “activated” dimethyl sulfoxide. a preparative, steric and mechanistic study","volume":"34","author":[{"family":"Omura","given":"Kanji"},{"family":"Swern","given":"Daniel"}],"issued":{"date-parts":[["1978",1,1]]}}}],"schema":"https://github.com/citation-style-language/schema/raw/master/csl-citation.json"}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39</w:t>
      </w:r>
      <w:r w:rsidRPr="007B7129">
        <w:rPr>
          <w:rFonts w:eastAsia="Times New Roman" w:cs="Times New Roman"/>
          <w:szCs w:val="20"/>
        </w:rPr>
        <w:fldChar w:fldCharType="end"/>
      </w:r>
      <w:r w:rsidRPr="007B7129">
        <w:rPr>
          <w:rFonts w:eastAsia="Times New Roman" w:cs="Times New Roman"/>
          <w:szCs w:val="20"/>
        </w:rPr>
        <w:t xml:space="preserve"> of alcohol </w:t>
      </w:r>
      <w:r w:rsidRPr="007B7129">
        <w:rPr>
          <w:rFonts w:eastAsia="Times New Roman" w:cs="Times New Roman"/>
          <w:b/>
          <w:bCs/>
          <w:szCs w:val="20"/>
        </w:rPr>
        <w:t>G</w:t>
      </w:r>
      <w:r w:rsidRPr="007B7129">
        <w:rPr>
          <w:rFonts w:eastAsia="Times New Roman" w:cs="Times New Roman"/>
          <w:szCs w:val="20"/>
        </w:rPr>
        <w:t xml:space="preserve">. The formation of synthon </w:t>
      </w:r>
      <w:r w:rsidRPr="007B7129">
        <w:rPr>
          <w:rFonts w:eastAsia="Times New Roman" w:cs="Times New Roman"/>
          <w:b/>
          <w:bCs/>
          <w:szCs w:val="20"/>
        </w:rPr>
        <w:t>G</w:t>
      </w:r>
      <w:r w:rsidRPr="007B7129">
        <w:rPr>
          <w:rFonts w:eastAsia="Times New Roman" w:cs="Times New Roman"/>
          <w:szCs w:val="20"/>
        </w:rPr>
        <w:t xml:space="preserve"> is anticipated to be a difficult step in this retrosynthetic analysis, because it relies on the ability to create a nucleophilic 1-position on β-carboline </w:t>
      </w:r>
      <w:r w:rsidRPr="007B7129">
        <w:rPr>
          <w:rFonts w:eastAsia="Times New Roman" w:cs="Times New Roman"/>
          <w:b/>
          <w:bCs/>
          <w:szCs w:val="20"/>
        </w:rPr>
        <w:t>A</w:t>
      </w:r>
      <w:r w:rsidRPr="007B7129">
        <w:rPr>
          <w:rFonts w:eastAsia="Times New Roman" w:cs="Times New Roman"/>
          <w:szCs w:val="20"/>
        </w:rPr>
        <w:t xml:space="preserve">. The synthesis of β-carboline synthon </w:t>
      </w:r>
      <w:r w:rsidRPr="007B7129">
        <w:rPr>
          <w:rFonts w:eastAsia="Times New Roman" w:cs="Times New Roman"/>
          <w:b/>
          <w:bCs/>
          <w:szCs w:val="20"/>
        </w:rPr>
        <w:t>G</w:t>
      </w:r>
      <w:r w:rsidRPr="007B7129">
        <w:rPr>
          <w:rFonts w:eastAsia="Times New Roman" w:cs="Times New Roman"/>
          <w:szCs w:val="20"/>
        </w:rPr>
        <w:t xml:space="preserve"> was envisioned to arise from ring metalation,</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{"citationID":"oY81fxxm","properties":{"formattedCitation":"\\super 40\\nosupersub{}","plainCitation":"40","noteIndex":0},"citationItems":[{"id":390,"uris":["http://zotero.org/users/6503767/items/X2UQDGTP"],"itemData":{"id":390,"type":"article-journal","abstract":"It is shown that the complex base BuLi·LiDMAE reacts with pyridine to give metallated species which, after trapping by electrophiles, lead to 2-substituted pyridines in good to excellent yields. The same reactions have been less successfully performed with quinoline.","container-title":"Journal of the Chemical Society, Perkin Transactions 1","DOI":"10.1039/A705027E","ISSN":"1364-5463","issue":"24","journalAbbreviation":"J. Chem. Soc., Perkin Trans. 1","language":"en","note":"publisher: The Royal Society of Chemistry","page":"3597-3600","source":"pubs.rsc.org","title":"Aggregative activation in heterocyclic chemistry. Part 5.† Lithiation of pyridine and quinoline with the complex base BuLi·Me2N(CH2)2OLi (BuLi·LiDMAE)","author":[{"family":"Gros","given":"Philippe"},{"family":"Fort","given":"Yves"},{"family":"Caubère","given":"Paul"}],"issued":{"date-parts":[["1997",1,1]]}}}],"schema":"https://github.com/citation-style-language/schema/raw/master/csl-citation.json"}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40</w:t>
      </w:r>
      <w:r w:rsidRPr="007B7129">
        <w:rPr>
          <w:rFonts w:eastAsia="Times New Roman" w:cs="Times New Roman"/>
          <w:szCs w:val="20"/>
        </w:rPr>
        <w:fldChar w:fldCharType="end"/>
      </w:r>
      <w:r w:rsidRPr="007B7129">
        <w:rPr>
          <w:rFonts w:eastAsia="Times New Roman" w:cs="Times New Roman"/>
          <w:szCs w:val="20"/>
        </w:rPr>
        <w:t xml:space="preserve"> C-H activation,</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{"citationID":"IQFEjQhA","properties":{"formattedCitation":"\\super 41\\nosupersub{}","plainCitation":"41","noteIndex":0},"citationItems":[{"id":395,"uris":["http://zotero.org/users/6503767/items/NR52YQCF"],"itemData":{"id":395,"type":"article-journal","abstract":"Go go Grignard! The first highly regioselective, cobalt-catalyzed CH transformation of benzo[h]quinoline and phenylpyridine derivatives with Grignard reagents at room temperature has been achieved (see scheme). Both aryl and alkyl Grignard reagents showed significant reactivity.","container-title":"Angewandte Chemie International Edition","DOI":"10.1002/anie.201005394","ISSN":"1521-3773","issue":"5","note":"_eprint: https://onlinelibrary.wiley.com/doi/pdf/10.1002/anie.201005394","page":"1109-1113","source":"Wiley Online Library","title":"Direct Cross-Coupling of C-H Bonds with Grignard Reagents through Cobalt Catalysis","volume":"50","author":[{"family":"Li","given":"Bin"},{"family":"Wu","given":"Zhen-Hua"},{"family":"Gu","given":"Yi-Fan"},{"family":"Sun","given":"Chang-Liang"},{"family":"Wang","given":"Bai-Quan"},{"family":"Shi","given":"Zhang-Jie"}],"issued":{"date-parts":[["2011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41</w:t>
      </w:r>
      <w:r w:rsidRPr="007B7129">
        <w:rPr>
          <w:rFonts w:eastAsia="Times New Roman" w:cs="Times New Roman"/>
          <w:szCs w:val="20"/>
        </w:rPr>
        <w:fldChar w:fldCharType="end"/>
      </w:r>
      <w:r w:rsidRPr="007B7129">
        <w:rPr>
          <w:rFonts w:eastAsia="Times New Roman" w:cs="Times New Roman"/>
          <w:szCs w:val="20"/>
        </w:rPr>
        <w:t xml:space="preserve"> or radical functionalization at the 1-position of the β-carboline in synthon </w:t>
      </w:r>
      <w:r w:rsidRPr="007B7129">
        <w:rPr>
          <w:rFonts w:eastAsia="Times New Roman" w:cs="Times New Roman"/>
          <w:b/>
          <w:bCs/>
          <w:szCs w:val="20"/>
        </w:rPr>
        <w:t>I</w:t>
      </w:r>
      <w:r w:rsidRPr="007B7129">
        <w:rPr>
          <w:rFonts w:eastAsia="Times New Roman" w:cs="Times New Roman"/>
          <w:szCs w:val="20"/>
        </w:rPr>
        <w:t>.</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{"citationID":"LAcvii76","properties":{"formattedCitation":"\\super 42\\nosupersub{}","plainCitation":"42","noteIndex":0},"citationItems":[{"id":393,"uris":["http://zotero.org/users/6503767/items/6VXR2KL4"],"itemData":{"id":393,"type":"article-journal","abstract":"A new method of homolytic alkylation of heteroaromatic bases is described, in which the silver-catalysed oxidative decarboxylation of acids by peroxydisulphate is used as a source of alkyl radicals. The method is particularly noteworthy because of the good yields and the high selectivity obtained, due to the nucleophilic character of the alkyl radicals; for synthetic interest it is comparable to electrophilic alkylation in the homocyclic series.","container-title":"Tetrahedron","DOI":"10.1016/S0040-4020(01)97768-3","ISSN":"0040-4020","issue":"15","journalAbbreviation":"Tetrahedron","language":"en","page":"3575-3579","source":"ScienceDirect","title":"Nucleophilic character of alkyl radicals—VI: A new convenient selective alkylation of heteroaromatic bases","title-short":"Nucleophilic character of alkyl radicals—VI","volume":"27","author":[{"family":"Minisci","given":"F."},{"family":"Bernardi","given":"R."},{"family":"Bertini","given":"F."},{"family":"Galli","given":"R."},{"family":"Perchinummo","given":"M."}],"issued":{"date-parts":[["1971",1,1]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42</w:t>
      </w:r>
      <w:r w:rsidRPr="007B7129">
        <w:rPr>
          <w:rFonts w:eastAsia="Times New Roman" w:cs="Times New Roman"/>
          <w:szCs w:val="20"/>
        </w:rPr>
        <w:fldChar w:fldCharType="end"/>
      </w:r>
      <w:r w:rsidRPr="007B7129">
        <w:rPr>
          <w:rFonts w:eastAsia="Times New Roman" w:cs="Times New Roman"/>
          <w:szCs w:val="20"/>
        </w:rPr>
        <w:t xml:space="preserve"> If the substituted δ-</w:t>
      </w:r>
      <w:proofErr w:type="spellStart"/>
      <w:r w:rsidRPr="007B7129">
        <w:rPr>
          <w:rFonts w:eastAsia="Times New Roman" w:cs="Times New Roman"/>
          <w:szCs w:val="20"/>
        </w:rPr>
        <w:t>valerolactone</w:t>
      </w:r>
      <w:proofErr w:type="spellEnd"/>
      <w:r w:rsidRPr="007B7129">
        <w:rPr>
          <w:rFonts w:eastAsia="Times New Roman" w:cs="Times New Roman"/>
          <w:szCs w:val="20"/>
        </w:rPr>
        <w:t xml:space="preserve"> synthon </w:t>
      </w:r>
      <w:r w:rsidRPr="007B7129">
        <w:rPr>
          <w:rFonts w:eastAsia="Times New Roman" w:cs="Times New Roman"/>
          <w:b/>
          <w:bCs/>
          <w:szCs w:val="20"/>
        </w:rPr>
        <w:t>H</w:t>
      </w:r>
      <w:r w:rsidRPr="007B7129">
        <w:rPr>
          <w:rFonts w:eastAsia="Times New Roman" w:cs="Times New Roman"/>
          <w:szCs w:val="20"/>
        </w:rPr>
        <w:t xml:space="preserve"> is an adequate electrophile, then the linker can be directly attached with the proper oxidation pattern of the linker in compound </w:t>
      </w:r>
      <w:r w:rsidRPr="007B7129">
        <w:rPr>
          <w:rFonts w:eastAsia="Times New Roman" w:cs="Times New Roman"/>
          <w:b/>
          <w:bCs/>
          <w:szCs w:val="20"/>
        </w:rPr>
        <w:t>3.1</w:t>
      </w:r>
      <w:r w:rsidRPr="007B7129">
        <w:rPr>
          <w:rFonts w:eastAsia="Times New Roman" w:cs="Times New Roman"/>
          <w:szCs w:val="20"/>
        </w:rPr>
        <w:t xml:space="preserve">. Ideally, the terminal carbon on the linker would be captured in a final PSR as C1 in β-carboline B (magenta,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_Ref87208666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Pr="007B7129">
        <w:rPr>
          <w:rFonts w:eastAsia="Times New Roman" w:cs="Times New Roman"/>
          <w:szCs w:val="20"/>
        </w:rPr>
        <w:t xml:space="preserve">). </w:t>
      </w:r>
    </w:p>
    <w:p w14:paraId="17006F25" w14:textId="77777777" w:rsidR="007B7129" w:rsidRPr="007B7129" w:rsidRDefault="007B7129" w:rsidP="007B7129">
      <w:pPr>
        <w:spacing w:after="0"/>
        <w:rPr>
          <w:rFonts w:eastAsia="Times New Roman" w:cs="Times New Roman"/>
          <w:szCs w:val="20"/>
        </w:rPr>
      </w:pPr>
      <w:r w:rsidRPr="007B7129">
        <w:rPr>
          <w:rFonts w:eastAsia="Times New Roman" w:cs="Times New Roman"/>
          <w:bCs/>
          <w:noProof/>
          <w:szCs w:val="20"/>
          <w:u w:val="single"/>
        </w:rPr>
        <mc:AlternateContent>
          <mc:Choice Requires="wps">
            <w:drawing>
              <wp:inline distT="0" distB="0" distL="0" distR="0" wp14:anchorId="56E46F92" wp14:editId="14991BF8">
                <wp:extent cx="5943600" cy="4690745"/>
                <wp:effectExtent l="0" t="0" r="19050" b="14605"/>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690745"/>
                        </a:xfrm>
                        <a:prstGeom prst="rect">
                          <a:avLst/>
                        </a:prstGeom>
                        <a:solidFill>
                          <a:srgbClr val="FFFFFF"/>
                        </a:solidFill>
                        <a:ln w="9525">
                          <a:solidFill>
                            <a:srgbClr val="000000"/>
                          </a:solidFill>
                          <a:miter lim="800000"/>
                          <a:headEnd/>
                          <a:tailEnd/>
                        </a:ln>
                      </wps:spPr>
                      <wps:txbx>
                        <w:txbxContent>
                          <w:p w14:paraId="20AEA335" w14:textId="77777777" w:rsidR="007B7129" w:rsidRDefault="007B7129" w:rsidP="007B7129">
                            <w:pPr>
                              <w:keepNext/>
                              <w:spacing w:after="0"/>
                              <w:jc w:val="center"/>
                            </w:pPr>
                            <w:r>
                              <w:object w:dxaOrig="8819" w:dyaOrig="5360" w14:anchorId="69E56709">
                                <v:shape id="_x0000_i1087" type="#_x0000_t75" style="width:438.55pt;height:267.9pt" o:ole="">
                                  <v:imagedata r:id="rId250" o:title=""/>
                                </v:shape>
                                <o:OLEObject Type="Embed" ProgID="ChemDraw.Document.6.0" ShapeID="_x0000_i1087" DrawAspect="Content" ObjectID="_1713353497" r:id="rId251"/>
                              </w:object>
                            </w:r>
                          </w:p>
                          <w:p w14:paraId="66B7E10C" w14:textId="5E2AFE7B" w:rsidR="007B7129" w:rsidRDefault="007B7129" w:rsidP="00DF51F5">
                            <w:pPr>
                              <w:pStyle w:val="Caption"/>
                            </w:pPr>
                            <w:bookmarkStart w:id="272" w:name="_Ref87208666"/>
                            <w:r>
                              <w:t>Scheme 3.</w:t>
                            </w:r>
                            <w:bookmarkEnd w:id="272"/>
                            <w:r w:rsidR="005352D9">
                              <w:t>5</w:t>
                            </w:r>
                            <w:r>
                              <w:t xml:space="preserve">. Second retrosynthetic analysis of 1 that utilizes </w:t>
                            </w:r>
                            <w:r>
                              <w:rPr>
                                <w:rFonts w:cs="Times New Roman"/>
                              </w:rPr>
                              <w:t>β</w:t>
                            </w:r>
                            <w:r>
                              <w:t>-carboline functionalization (Approach 2).</w:t>
                            </w:r>
                          </w:p>
                          <w:p w14:paraId="37417D6D" w14:textId="77777777" w:rsidR="007B7129" w:rsidRDefault="007B7129" w:rsidP="007B7129">
                            <w:pPr>
                              <w:spacing w:line="240" w:lineRule="auto"/>
                            </w:pPr>
                            <w:r>
                              <w:rPr>
                                <w:rFonts w:cs="Times New Roman"/>
                              </w:rPr>
                              <w:t>β</w:t>
                            </w:r>
                            <w:r>
                              <w:t xml:space="preserve">-carbolines </w:t>
                            </w:r>
                            <w:r w:rsidRPr="00172D7C">
                              <w:rPr>
                                <w:b/>
                                <w:bCs/>
                              </w:rPr>
                              <w:t>A</w:t>
                            </w:r>
                            <w:r>
                              <w:t xml:space="preserve"> and </w:t>
                            </w:r>
                            <w:r w:rsidRPr="00172D7C">
                              <w:rPr>
                                <w:b/>
                                <w:bCs/>
                              </w:rPr>
                              <w:t>B</w:t>
                            </w:r>
                            <w:r>
                              <w:t xml:space="preserve"> are drawn in cyan and magenta, respectively. Bond disconnections are denoted in red and blue. the Possible points of structural diversification are outlined by gray boxes. </w:t>
                            </w:r>
                          </w:p>
                        </w:txbxContent>
                      </wps:txbx>
                      <wps:bodyPr rot="0" vert="horz" wrap="square" lIns="91440" tIns="45720" rIns="91440" bIns="45720" anchor="t" anchorCtr="0">
                        <a:noAutofit/>
                      </wps:bodyPr>
                    </wps:wsp>
                  </a:graphicData>
                </a:graphic>
              </wp:inline>
            </w:drawing>
          </mc:Choice>
          <mc:Fallback>
            <w:pict>
              <v:shape w14:anchorId="56E46F92" id="_x0000_s1083" type="#_x0000_t202" style="width:468pt;height:36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">
                <v:textbox>
                  <w:txbxContent>
                    <w:p w14:paraId="20AEA335" w14:textId="77777777" w:rsidR="007B7129" w:rsidRDefault="007B7129" w:rsidP="007B7129">
                      <w:pPr>
                        <w:keepNext/>
                        <w:spacing w:after="0"/>
                        <w:jc w:val="center"/>
                      </w:pPr>
                      <w:r>
                        <w:object w:dxaOrig="8819" w:dyaOrig="5360" w14:anchorId="69E56709">
                          <v:shape id="_x0000_i1087" type="#_x0000_t75" style="width:438.55pt;height:267.9pt" o:ole="">
                            <v:imagedata r:id="rId250" o:title=""/>
                          </v:shape>
                          <o:OLEObject Type="Embed" ProgID="ChemDraw.Document.6.0" ShapeID="_x0000_i1087" DrawAspect="Content" ObjectID="_1713353497" r:id="rId252"/>
                        </w:object>
                      </w:r>
                    </w:p>
                    <w:p w14:paraId="66B7E10C" w14:textId="5E2AFE7B" w:rsidR="007B7129" w:rsidRDefault="007B7129" w:rsidP="00DF51F5">
                      <w:pPr>
                        <w:pStyle w:val="Caption"/>
                      </w:pPr>
                      <w:bookmarkStart w:id="273" w:name="_Ref87208666"/>
                      <w:r>
                        <w:t>Scheme 3.</w:t>
                      </w:r>
                      <w:bookmarkEnd w:id="273"/>
                      <w:r w:rsidR="005352D9">
                        <w:t>5</w:t>
                      </w:r>
                      <w:r>
                        <w:t xml:space="preserve">. Second retrosynthetic analysis of 1 that utilizes </w:t>
                      </w:r>
                      <w:r>
                        <w:rPr>
                          <w:rFonts w:cs="Times New Roman"/>
                        </w:rPr>
                        <w:t>β</w:t>
                      </w:r>
                      <w:r>
                        <w:t>-carboline functionalization (Approach 2).</w:t>
                      </w:r>
                    </w:p>
                    <w:p w14:paraId="37417D6D" w14:textId="77777777" w:rsidR="007B7129" w:rsidRDefault="007B7129" w:rsidP="007B7129">
                      <w:pPr>
                        <w:spacing w:line="240" w:lineRule="auto"/>
                      </w:pPr>
                      <w:r>
                        <w:rPr>
                          <w:rFonts w:cs="Times New Roman"/>
                        </w:rPr>
                        <w:t>β</w:t>
                      </w:r>
                      <w:r>
                        <w:t xml:space="preserve">-carbolines </w:t>
                      </w:r>
                      <w:r w:rsidRPr="00172D7C">
                        <w:rPr>
                          <w:b/>
                          <w:bCs/>
                        </w:rPr>
                        <w:t>A</w:t>
                      </w:r>
                      <w:r>
                        <w:t xml:space="preserve"> and </w:t>
                      </w:r>
                      <w:r w:rsidRPr="00172D7C">
                        <w:rPr>
                          <w:b/>
                          <w:bCs/>
                        </w:rPr>
                        <w:t>B</w:t>
                      </w:r>
                      <w:r>
                        <w:t xml:space="preserve"> are drawn in cyan and magenta, respectively. Bond disconnections are denoted in red and blue. the Possible points of structural diversification are outlined by gray boxes. </w:t>
                      </w:r>
                    </w:p>
                  </w:txbxContent>
                </v:textbox>
                <w10:anchorlock/>
              </v:shape>
            </w:pict>
          </mc:Fallback>
        </mc:AlternateContent>
      </w:r>
    </w:p>
    <w:p w14:paraId="06B4AF4B" w14:textId="4C22CC2F" w:rsidR="007B7129" w:rsidRPr="007B7129" w:rsidRDefault="007B7129" w:rsidP="007B7129">
      <w:pPr>
        <w:spacing w:after="0"/>
        <w:ind w:firstLine="720"/>
        <w:rPr>
          <w:rFonts w:eastAsia="Times New Roman" w:cs="Times New Roman"/>
          <w:noProof/>
          <w:szCs w:val="20"/>
        </w:rPr>
      </w:pPr>
      <w:r w:rsidRPr="007B7129">
        <w:rPr>
          <w:rFonts w:eastAsia="Times New Roman" w:cs="Times New Roman"/>
          <w:szCs w:val="20"/>
        </w:rPr>
        <w:lastRenderedPageBreak/>
        <w:t xml:space="preserve">This synthetic approach allows for structural diversification at three different points, denoted by the intermediates highlighted with dashed-lined boxes in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_Ref87208666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Pr="007B7129">
        <w:rPr>
          <w:rFonts w:eastAsia="Times New Roman" w:cs="Times New Roman"/>
          <w:szCs w:val="20"/>
        </w:rPr>
        <w:t>. Depending on the substitution pattern of various β-carbolines (</w:t>
      </w:r>
      <w:r w:rsidRPr="007B7129">
        <w:rPr>
          <w:rFonts w:eastAsia="Times New Roman" w:cs="Times New Roman"/>
          <w:b/>
          <w:bCs/>
          <w:szCs w:val="20"/>
        </w:rPr>
        <w:t>I</w:t>
      </w:r>
      <w:r w:rsidRPr="007B7129">
        <w:rPr>
          <w:rFonts w:eastAsia="Times New Roman" w:cs="Times New Roman"/>
          <w:szCs w:val="20"/>
        </w:rPr>
        <w:t xml:space="preserve">) and the corresponding effects to the metalation chemistry, the initial coupling reaction of compounds </w:t>
      </w:r>
      <w:r w:rsidRPr="007B7129">
        <w:rPr>
          <w:rFonts w:eastAsia="Times New Roman" w:cs="Times New Roman"/>
          <w:b/>
          <w:bCs/>
          <w:szCs w:val="20"/>
        </w:rPr>
        <w:t>I</w:t>
      </w:r>
      <w:r w:rsidRPr="007B7129">
        <w:rPr>
          <w:rFonts w:eastAsia="Times New Roman" w:cs="Times New Roman"/>
          <w:szCs w:val="20"/>
        </w:rPr>
        <w:t xml:space="preserve"> and </w:t>
      </w:r>
      <w:r w:rsidRPr="007B7129">
        <w:rPr>
          <w:rFonts w:eastAsia="Times New Roman" w:cs="Times New Roman"/>
          <w:b/>
          <w:bCs/>
          <w:szCs w:val="20"/>
        </w:rPr>
        <w:t>H</w:t>
      </w:r>
      <w:r w:rsidRPr="007B7129">
        <w:rPr>
          <w:rFonts w:eastAsia="Times New Roman" w:cs="Times New Roman"/>
          <w:szCs w:val="20"/>
        </w:rPr>
        <w:t xml:space="preserve"> is expected to provide the first point of diversification. This would allow for diversification of both </w:t>
      </w:r>
      <w:r w:rsidRPr="007B7129">
        <w:rPr>
          <w:rFonts w:ascii="Calibri" w:eastAsia="Times New Roman" w:hAnsi="Calibri" w:cs="Calibri"/>
          <w:szCs w:val="20"/>
        </w:rPr>
        <w:t>β</w:t>
      </w:r>
      <w:r w:rsidRPr="007B7129">
        <w:rPr>
          <w:rFonts w:eastAsia="Times New Roman" w:cs="Times New Roman"/>
          <w:szCs w:val="20"/>
        </w:rPr>
        <w:t xml:space="preserve">-carboline </w:t>
      </w:r>
      <w:r w:rsidRPr="007B7129">
        <w:rPr>
          <w:rFonts w:eastAsia="Times New Roman" w:cs="Times New Roman"/>
          <w:b/>
          <w:bCs/>
          <w:szCs w:val="20"/>
        </w:rPr>
        <w:t>A</w:t>
      </w:r>
      <w:r w:rsidRPr="007B7129">
        <w:rPr>
          <w:rFonts w:eastAsia="Times New Roman" w:cs="Times New Roman"/>
          <w:szCs w:val="20"/>
        </w:rPr>
        <w:t xml:space="preserve"> and the linker. Alternatively, differently substituted tryptamines in the final PSR are expected to enable diversification of β-carboline </w:t>
      </w:r>
      <w:r w:rsidRPr="007B7129">
        <w:rPr>
          <w:rFonts w:eastAsia="Times New Roman" w:cs="Times New Roman"/>
          <w:b/>
          <w:bCs/>
          <w:szCs w:val="20"/>
        </w:rPr>
        <w:t>B</w:t>
      </w:r>
      <w:r w:rsidRPr="007B7129">
        <w:rPr>
          <w:rFonts w:eastAsia="Times New Roman" w:cs="Times New Roman"/>
          <w:szCs w:val="20"/>
        </w:rPr>
        <w:t xml:space="preserve">. For example, if tryptamine </w:t>
      </w:r>
      <w:r w:rsidRPr="007B7129">
        <w:rPr>
          <w:rFonts w:eastAsia="Times New Roman" w:cs="Times New Roman"/>
          <w:b/>
          <w:bCs/>
          <w:szCs w:val="20"/>
        </w:rPr>
        <w:t>J</w:t>
      </w:r>
      <w:r w:rsidRPr="007B7129">
        <w:rPr>
          <w:rFonts w:eastAsia="Times New Roman" w:cs="Times New Roman"/>
          <w:szCs w:val="20"/>
        </w:rPr>
        <w:t xml:space="preserve"> (</w:t>
      </w:r>
      <w:r w:rsidR="000D043E" w:rsidRPr="000D043E">
        <w:rPr>
          <w:rFonts w:eastAsia="Times New Roman" w:cs="Times New Roman"/>
          <w:b/>
          <w:bCs/>
          <w:szCs w:val="20"/>
        </w:rPr>
        <w:fldChar w:fldCharType="begin"/>
      </w:r>
      <w:r w:rsidR="000D043E" w:rsidRPr="000D043E">
        <w:rPr>
          <w:rFonts w:eastAsia="Times New Roman" w:cs="Times New Roman"/>
          <w:b/>
          <w:bCs/>
          <w:szCs w:val="20"/>
        </w:rPr>
        <w:instrText xml:space="preserve"> REF _Ref102583002 \h  \* MERGEFORMAT </w:instrText>
      </w:r>
      <w:r w:rsidR="000D043E" w:rsidRPr="000D043E">
        <w:rPr>
          <w:rFonts w:eastAsia="Times New Roman" w:cs="Times New Roman"/>
          <w:b/>
          <w:bCs/>
          <w:szCs w:val="20"/>
        </w:rPr>
      </w:r>
      <w:r w:rsidR="000D043E" w:rsidRPr="000D043E">
        <w:rPr>
          <w:rFonts w:eastAsia="Times New Roman" w:cs="Times New Roman"/>
          <w:b/>
          <w:bCs/>
          <w:szCs w:val="20"/>
        </w:rPr>
        <w:fldChar w:fldCharType="separate"/>
      </w:r>
      <w:r w:rsidR="00AA5AAC" w:rsidRPr="00AA5AAC">
        <w:rPr>
          <w:b/>
          <w:bCs/>
        </w:rPr>
        <w:t>Figure 3.5</w:t>
      </w:r>
      <w:r w:rsidR="000D043E" w:rsidRPr="000D043E">
        <w:rPr>
          <w:rFonts w:eastAsia="Times New Roman" w:cs="Times New Roman"/>
          <w:b/>
          <w:bCs/>
          <w:szCs w:val="20"/>
        </w:rPr>
        <w:fldChar w:fldCharType="end"/>
      </w:r>
      <w:r w:rsidRPr="007B7129">
        <w:rPr>
          <w:rFonts w:eastAsia="Times New Roman" w:cs="Times New Roman"/>
          <w:szCs w:val="20"/>
        </w:rPr>
        <w:t xml:space="preserve">) was employed in the PSR with aldehyde </w:t>
      </w:r>
      <w:r w:rsidRPr="007B7129">
        <w:rPr>
          <w:rFonts w:eastAsia="Times New Roman" w:cs="Times New Roman"/>
          <w:b/>
          <w:bCs/>
          <w:szCs w:val="20"/>
        </w:rPr>
        <w:t xml:space="preserve">A </w:t>
      </w:r>
      <w:r w:rsidRPr="007B7129">
        <w:rPr>
          <w:rFonts w:eastAsia="Times New Roman" w:cs="Times New Roman"/>
          <w:szCs w:val="20"/>
        </w:rPr>
        <w:t>(</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_Ref87208666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000D043E">
        <w:rPr>
          <w:rFonts w:eastAsia="Times New Roman" w:cs="Times New Roman"/>
          <w:b/>
          <w:bCs/>
          <w:szCs w:val="20"/>
        </w:rPr>
        <w:t>5</w:t>
      </w:r>
      <w:r w:rsidRPr="007B7129">
        <w:rPr>
          <w:rFonts w:eastAsia="Times New Roman" w:cs="Times New Roman"/>
          <w:szCs w:val="20"/>
        </w:rPr>
        <w:t xml:space="preserve">), then the total synthesis of </w:t>
      </w:r>
      <w:r w:rsidRPr="007B7129">
        <w:rPr>
          <w:rFonts w:eastAsia="Times New Roman" w:cs="Times New Roman"/>
          <w:b/>
          <w:bCs/>
          <w:szCs w:val="20"/>
        </w:rPr>
        <w:t>3.1</w:t>
      </w:r>
      <w:r w:rsidRPr="007B7129">
        <w:rPr>
          <w:rFonts w:eastAsia="Times New Roman" w:cs="Times New Roman"/>
          <w:szCs w:val="20"/>
        </w:rPr>
        <w:t xml:space="preserve"> would be achieved. As such, this synthetic approach provides a valuable opportunity to develop a Picrasma alkaloid library to interrogate the SAR of Picrasidine C and related congeners.</w:t>
      </w:r>
      <w:r w:rsidRPr="007B7129">
        <w:rPr>
          <w:rFonts w:eastAsia="Times New Roman" w:cs="Times New Roman"/>
          <w:noProof/>
          <w:szCs w:val="20"/>
        </w:rPr>
        <w:t xml:space="preserve"> </w:t>
      </w:r>
    </w:p>
    <w:p w14:paraId="5CB58359" w14:textId="77777777" w:rsidR="007B7129" w:rsidRPr="007B7129" w:rsidRDefault="007B7129" w:rsidP="007B7129">
      <w:pPr>
        <w:spacing w:after="0"/>
        <w:ind w:left="2160" w:firstLine="720"/>
        <w:rPr>
          <w:rFonts w:eastAsia="Times New Roman" w:cs="Times New Roman"/>
          <w:szCs w:val="20"/>
        </w:rPr>
      </w:pPr>
      <w:r w:rsidRPr="007B7129">
        <w:rPr>
          <w:rFonts w:eastAsia="Times New Roman" w:cs="Times New Roman"/>
          <w:noProof/>
          <w:szCs w:val="20"/>
        </w:rPr>
        <mc:AlternateContent>
          <mc:Choice Requires="wps">
            <w:drawing>
              <wp:inline distT="0" distB="0" distL="0" distR="0" wp14:anchorId="50D2AA19" wp14:editId="3CD452FB">
                <wp:extent cx="2623930" cy="1852295"/>
                <wp:effectExtent l="0" t="0" r="24130" b="14605"/>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930" cy="1852295"/>
                        </a:xfrm>
                        <a:prstGeom prst="rect">
                          <a:avLst/>
                        </a:prstGeom>
                        <a:solidFill>
                          <a:srgbClr val="FFFFFF"/>
                        </a:solidFill>
                        <a:ln w="9525">
                          <a:solidFill>
                            <a:srgbClr val="000000"/>
                          </a:solidFill>
                          <a:miter lim="800000"/>
                          <a:headEnd/>
                          <a:tailEnd/>
                        </a:ln>
                      </wps:spPr>
                      <wps:txbx>
                        <w:txbxContent>
                          <w:p w14:paraId="50CA64A1" w14:textId="77777777" w:rsidR="00183BAD" w:rsidRDefault="007B7129" w:rsidP="00183BAD">
                            <w:pPr>
                              <w:keepNext/>
                              <w:spacing w:after="0"/>
                              <w:jc w:val="center"/>
                            </w:pPr>
                            <w:r>
                              <w:object w:dxaOrig="1687" w:dyaOrig="1812" w14:anchorId="44B9DCA6">
                                <v:shape id="_x0000_i1088" type="#_x0000_t75" style="width:84.6pt;height:90.25pt">
                                  <v:imagedata r:id="rId253" o:title=""/>
                                </v:shape>
                                <o:OLEObject Type="Embed" ProgID="ChemDraw.Document.6.0" ShapeID="_x0000_i1088" DrawAspect="Content" ObjectID="_1713353498" r:id="rId254"/>
                              </w:object>
                            </w:r>
                          </w:p>
                          <w:p w14:paraId="6366437B" w14:textId="281C62FC" w:rsidR="007B7129" w:rsidRDefault="00183BAD" w:rsidP="00DF51F5">
                            <w:pPr>
                              <w:pStyle w:val="Caption"/>
                            </w:pPr>
                            <w:bookmarkStart w:id="274" w:name="_Ref102583002"/>
                            <w:bookmarkStart w:id="275" w:name="_Toc100748312"/>
                            <w:r>
                              <w:t>Figure 3.</w:t>
                            </w:r>
                            <w:fldSimple w:instr=" SEQ Figure \* ARABIC ">
                              <w:r w:rsidR="00AA5AAC">
                                <w:rPr>
                                  <w:noProof/>
                                </w:rPr>
                                <w:t>5</w:t>
                              </w:r>
                            </w:fldSimple>
                            <w:bookmarkEnd w:id="274"/>
                            <w:r>
                              <w:t xml:space="preserve">. </w:t>
                            </w:r>
                            <w:bookmarkStart w:id="276" w:name="_Toc100243258"/>
                            <w:r w:rsidR="007B7129">
                              <w:t>Structure of proposed di-substituted methoxy tryptamine J.</w:t>
                            </w:r>
                            <w:bookmarkEnd w:id="275"/>
                            <w:bookmarkEnd w:id="276"/>
                          </w:p>
                          <w:p w14:paraId="6537B879" w14:textId="77777777" w:rsidR="007B7129" w:rsidRDefault="007B7129" w:rsidP="007B7129"/>
                        </w:txbxContent>
                      </wps:txbx>
                      <wps:bodyPr rot="0" vert="horz" wrap="square" lIns="91440" tIns="45720" rIns="91440" bIns="45720" anchor="t" anchorCtr="0">
                        <a:noAutofit/>
                      </wps:bodyPr>
                    </wps:wsp>
                  </a:graphicData>
                </a:graphic>
              </wp:inline>
            </w:drawing>
          </mc:Choice>
          <mc:Fallback>
            <w:pict>
              <v:shape w14:anchorId="50D2AA19" id="_x0000_s1084" type="#_x0000_t202" style="width:206.6pt;height:14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">
                <v:textbox>
                  <w:txbxContent>
                    <w:p w14:paraId="50CA64A1" w14:textId="77777777" w:rsidR="00183BAD" w:rsidRDefault="007B7129" w:rsidP="00183BAD">
                      <w:pPr>
                        <w:keepNext/>
                        <w:spacing w:after="0"/>
                        <w:jc w:val="center"/>
                      </w:pPr>
                      <w:r>
                        <w:object w:dxaOrig="1687" w:dyaOrig="1812" w14:anchorId="44B9DCA6">
                          <v:shape id="_x0000_i1088" type="#_x0000_t75" style="width:84.6pt;height:90.25pt">
                            <v:imagedata r:id="rId253" o:title=""/>
                          </v:shape>
                          <o:OLEObject Type="Embed" ProgID="ChemDraw.Document.6.0" ShapeID="_x0000_i1088" DrawAspect="Content" ObjectID="_1713353498" r:id="rId255"/>
                        </w:object>
                      </w:r>
                    </w:p>
                    <w:p w14:paraId="6366437B" w14:textId="281C62FC" w:rsidR="007B7129" w:rsidRDefault="00183BAD" w:rsidP="00DF51F5">
                      <w:pPr>
                        <w:pStyle w:val="Caption"/>
                      </w:pPr>
                      <w:bookmarkStart w:id="277" w:name="_Ref102583002"/>
                      <w:bookmarkStart w:id="278" w:name="_Toc100748312"/>
                      <w:r>
                        <w:t>Figure 3.</w:t>
                      </w:r>
                      <w:fldSimple w:instr=" SEQ Figure \* ARABIC ">
                        <w:r w:rsidR="00AA5AAC">
                          <w:rPr>
                            <w:noProof/>
                          </w:rPr>
                          <w:t>5</w:t>
                        </w:r>
                      </w:fldSimple>
                      <w:bookmarkEnd w:id="277"/>
                      <w:r>
                        <w:t xml:space="preserve">. </w:t>
                      </w:r>
                      <w:bookmarkStart w:id="279" w:name="_Toc100243258"/>
                      <w:r w:rsidR="007B7129">
                        <w:t>Structure of proposed di-substituted methoxy tryptamine J.</w:t>
                      </w:r>
                      <w:bookmarkEnd w:id="278"/>
                      <w:bookmarkEnd w:id="279"/>
                    </w:p>
                    <w:p w14:paraId="6537B879" w14:textId="77777777" w:rsidR="007B7129" w:rsidRDefault="007B7129" w:rsidP="007B7129"/>
                  </w:txbxContent>
                </v:textbox>
                <w10:anchorlock/>
              </v:shape>
            </w:pict>
          </mc:Fallback>
        </mc:AlternateContent>
      </w:r>
    </w:p>
    <w:p w14:paraId="3A7CC287" w14:textId="77777777" w:rsidR="007B7129" w:rsidRPr="007B7129" w:rsidRDefault="007B7129" w:rsidP="000624E1">
      <w:pPr>
        <w:spacing w:after="0" w:line="259" w:lineRule="auto"/>
        <w:jc w:val="left"/>
      </w:pPr>
    </w:p>
    <w:p w14:paraId="5F3F7CAC" w14:textId="77777777" w:rsidR="007B7129" w:rsidRPr="007B7129" w:rsidRDefault="007B7129" w:rsidP="00EC026C">
      <w:pPr>
        <w:pStyle w:val="Section"/>
      </w:pPr>
      <w:bookmarkStart w:id="280" w:name="_Toc97337853"/>
      <w:bookmarkStart w:id="281" w:name="_Toc100241908"/>
      <w:bookmarkStart w:id="282" w:name="_Toc102586272"/>
      <w:r w:rsidRPr="007B7129">
        <w:t>3.3 Results and discussion for Approach 1</w:t>
      </w:r>
      <w:bookmarkEnd w:id="280"/>
      <w:bookmarkEnd w:id="281"/>
      <w:bookmarkEnd w:id="282"/>
    </w:p>
    <w:p w14:paraId="219EC534" w14:textId="77777777" w:rsidR="007B7129" w:rsidRPr="007B7129" w:rsidRDefault="007B7129" w:rsidP="007B7129">
      <w:r w:rsidRPr="007B7129">
        <w:tab/>
        <w:t xml:space="preserve">The iterative </w:t>
      </w:r>
      <w:r w:rsidRPr="007B7129">
        <w:rPr>
          <w:rFonts w:cs="Times New Roman"/>
        </w:rPr>
        <w:t>β</w:t>
      </w:r>
      <w:r w:rsidRPr="007B7129">
        <w:t>-carboline construction approach was explored more extensively between the two approaches. The PSR is the pivotal reaction of this approach</w:t>
      </w:r>
      <w:r w:rsidRPr="007B7129">
        <w:rPr>
          <w:b/>
          <w:bCs/>
        </w:rPr>
        <w:t xml:space="preserve"> </w:t>
      </w:r>
      <w:r w:rsidRPr="007B7129">
        <w:t xml:space="preserve">as it is utilized for the assembly of both </w:t>
      </w:r>
      <w:r w:rsidRPr="007B7129">
        <w:rPr>
          <w:rFonts w:cs="Times New Roman"/>
        </w:rPr>
        <w:t>β</w:t>
      </w:r>
      <w:r w:rsidRPr="007B7129">
        <w:t xml:space="preserve">-carbolines </w:t>
      </w:r>
      <w:r w:rsidRPr="007B7129">
        <w:rPr>
          <w:b/>
          <w:bCs/>
        </w:rPr>
        <w:t>A</w:t>
      </w:r>
      <w:r w:rsidRPr="007B7129">
        <w:t xml:space="preserve"> and </w:t>
      </w:r>
      <w:r w:rsidRPr="007B7129">
        <w:rPr>
          <w:b/>
          <w:bCs/>
        </w:rPr>
        <w:t>B</w:t>
      </w:r>
      <w:r w:rsidRPr="007B7129">
        <w:t xml:space="preserve">, and each PSR step required individual optimization. </w:t>
      </w:r>
      <w:r w:rsidRPr="007B7129">
        <w:rPr>
          <w:b/>
          <w:bCs/>
        </w:rPr>
        <w:t>Approach 1</w:t>
      </w:r>
      <w:r w:rsidRPr="007B7129">
        <w:t xml:space="preserve"> can be generalized and broken down into four steps: (1) PSR1, (2) oxidative aromatization, (3) oxidative cleavage, and (4) PSR2. The investigation, optimization, and application of each of these steps in the efforts to synthesize </w:t>
      </w:r>
      <w:r w:rsidRPr="007B7129">
        <w:rPr>
          <w:b/>
          <w:bCs/>
        </w:rPr>
        <w:t>3.1</w:t>
      </w:r>
      <w:r w:rsidRPr="007B7129">
        <w:t xml:space="preserve"> are discussed in this section. </w:t>
      </w:r>
    </w:p>
    <w:p w14:paraId="630012E3" w14:textId="77777777" w:rsidR="007B7129" w:rsidRPr="007B7129" w:rsidRDefault="007B7129" w:rsidP="00EC026C">
      <w:pPr>
        <w:pStyle w:val="Subsection"/>
      </w:pPr>
      <w:bookmarkStart w:id="283" w:name="_Toc97337854"/>
      <w:bookmarkStart w:id="284" w:name="_Toc100241909"/>
      <w:bookmarkStart w:id="285" w:name="_Toc102586273"/>
      <w:r w:rsidRPr="007B7129">
        <w:lastRenderedPageBreak/>
        <w:t>3.3.1 Step 1: Pictet-Spengler cyclization with cyclopentene-1-aldehyde for the formation of THBC 3.</w:t>
      </w:r>
      <w:r w:rsidRPr="007B7129">
        <w:rPr>
          <w:bCs/>
        </w:rPr>
        <w:t>34</w:t>
      </w:r>
      <w:r w:rsidRPr="007B7129">
        <w:t xml:space="preserve"> (PSR1)</w:t>
      </w:r>
      <w:bookmarkEnd w:id="283"/>
      <w:bookmarkEnd w:id="284"/>
      <w:r w:rsidRPr="007B7129">
        <w:t>.</w:t>
      </w:r>
      <w:bookmarkEnd w:id="285"/>
    </w:p>
    <w:p w14:paraId="14E174BF" w14:textId="77777777" w:rsidR="007B7129" w:rsidRPr="007B7129" w:rsidRDefault="007B7129" w:rsidP="007B7129">
      <w:pPr>
        <w:spacing w:after="0"/>
        <w:ind w:firstLine="720"/>
        <w:rPr>
          <w:rFonts w:eastAsia="Times New Roman" w:cs="Times New Roman"/>
          <w:szCs w:val="20"/>
        </w:rPr>
      </w:pPr>
      <w:r w:rsidRPr="007B7129">
        <w:rPr>
          <w:rFonts w:eastAsia="Times New Roman" w:cs="Times New Roman"/>
          <w:noProof/>
          <w:szCs w:val="20"/>
        </w:rPr>
        <mc:AlternateContent>
          <mc:Choice Requires="wps">
            <w:drawing>
              <wp:inline distT="0" distB="0" distL="0" distR="0" wp14:anchorId="38802F1E" wp14:editId="289C53C3">
                <wp:extent cx="4915535" cy="1438910"/>
                <wp:effectExtent l="0" t="0" r="18415" b="27940"/>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5535" cy="1438910"/>
                        </a:xfrm>
                        <a:prstGeom prst="rect">
                          <a:avLst/>
                        </a:prstGeom>
                        <a:solidFill>
                          <a:srgbClr val="FFFFFF"/>
                        </a:solidFill>
                        <a:ln w="9525">
                          <a:solidFill>
                            <a:srgbClr val="000000"/>
                          </a:solidFill>
                          <a:miter lim="800000"/>
                          <a:headEnd/>
                          <a:tailEnd/>
                        </a:ln>
                      </wps:spPr>
                      <wps:txbx>
                        <w:txbxContent>
                          <w:p w14:paraId="529A5CBD" w14:textId="77777777" w:rsidR="007B7129" w:rsidRDefault="007B7129" w:rsidP="007B7129">
                            <w:pPr>
                              <w:keepNext/>
                              <w:spacing w:line="240" w:lineRule="auto"/>
                              <w:jc w:val="center"/>
                            </w:pPr>
                            <w:r>
                              <w:object w:dxaOrig="7083" w:dyaOrig="1545" w14:anchorId="73D878AC">
                                <v:shape id="_x0000_i1089" type="#_x0000_t75" style="width:371.7pt;height:81.8pt">
                                  <v:imagedata r:id="rId256" o:title=""/>
                                </v:shape>
                                <o:OLEObject Type="Embed" ProgID="ChemDraw.Document.6.0" ShapeID="_x0000_i1089" DrawAspect="Content" ObjectID="_1713353499" r:id="rId257"/>
                              </w:object>
                            </w:r>
                          </w:p>
                          <w:p w14:paraId="06E49B0D" w14:textId="7F94EF5E" w:rsidR="007B7129" w:rsidRDefault="007B7129" w:rsidP="00DF51F5">
                            <w:pPr>
                              <w:pStyle w:val="Caption"/>
                            </w:pPr>
                            <w:bookmarkStart w:id="286" w:name="_Ref86672544"/>
                            <w:r>
                              <w:t>Scheme 3.</w:t>
                            </w:r>
                            <w:bookmarkEnd w:id="286"/>
                            <w:r w:rsidR="005352D9">
                              <w:t>6</w:t>
                            </w:r>
                            <w:r>
                              <w:t>. Generalized PSR for Step 1.</w:t>
                            </w:r>
                          </w:p>
                          <w:p w14:paraId="0B1CF3C7" w14:textId="77777777" w:rsidR="007B7129" w:rsidRDefault="007B7129" w:rsidP="007B7129">
                            <w:pPr>
                              <w:spacing w:line="240" w:lineRule="auto"/>
                            </w:pPr>
                          </w:p>
                        </w:txbxContent>
                      </wps:txbx>
                      <wps:bodyPr rot="0" vert="horz" wrap="square" lIns="91440" tIns="45720" rIns="91440" bIns="45720" anchor="t" anchorCtr="0">
                        <a:noAutofit/>
                      </wps:bodyPr>
                    </wps:wsp>
                  </a:graphicData>
                </a:graphic>
              </wp:inline>
            </w:drawing>
          </mc:Choice>
          <mc:Fallback>
            <w:pict>
              <v:shape w14:anchorId="38802F1E" id="_x0000_s1085" type="#_x0000_t202" style="width:387.05pt;height:1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">
                <v:textbox>
                  <w:txbxContent>
                    <w:p w14:paraId="529A5CBD" w14:textId="77777777" w:rsidR="007B7129" w:rsidRDefault="007B7129" w:rsidP="007B7129">
                      <w:pPr>
                        <w:keepNext/>
                        <w:spacing w:line="240" w:lineRule="auto"/>
                        <w:jc w:val="center"/>
                      </w:pPr>
                      <w:r>
                        <w:object w:dxaOrig="7083" w:dyaOrig="1545" w14:anchorId="73D878AC">
                          <v:shape id="_x0000_i1089" type="#_x0000_t75" style="width:371.7pt;height:81.8pt">
                            <v:imagedata r:id="rId256" o:title=""/>
                          </v:shape>
                          <o:OLEObject Type="Embed" ProgID="ChemDraw.Document.6.0" ShapeID="_x0000_i1089" DrawAspect="Content" ObjectID="_1713353499" r:id="rId258"/>
                        </w:object>
                      </w:r>
                    </w:p>
                    <w:p w14:paraId="06E49B0D" w14:textId="7F94EF5E" w:rsidR="007B7129" w:rsidRDefault="007B7129" w:rsidP="00DF51F5">
                      <w:pPr>
                        <w:pStyle w:val="Caption"/>
                      </w:pPr>
                      <w:bookmarkStart w:id="287" w:name="_Ref86672544"/>
                      <w:r>
                        <w:t>Scheme 3.</w:t>
                      </w:r>
                      <w:bookmarkEnd w:id="287"/>
                      <w:r w:rsidR="005352D9">
                        <w:t>6</w:t>
                      </w:r>
                      <w:r>
                        <w:t>. Generalized PSR for Step 1.</w:t>
                      </w:r>
                    </w:p>
                    <w:p w14:paraId="0B1CF3C7" w14:textId="77777777" w:rsidR="007B7129" w:rsidRDefault="007B7129" w:rsidP="007B7129">
                      <w:pPr>
                        <w:spacing w:line="240" w:lineRule="auto"/>
                      </w:pPr>
                    </w:p>
                  </w:txbxContent>
                </v:textbox>
                <w10:anchorlock/>
              </v:shape>
            </w:pict>
          </mc:Fallback>
        </mc:AlternateContent>
      </w:r>
    </w:p>
    <w:p w14:paraId="2848748B" w14:textId="7150AC39" w:rsidR="007B7129" w:rsidRPr="007B7129" w:rsidRDefault="007B7129" w:rsidP="007B7129">
      <w:pPr>
        <w:spacing w:after="0"/>
        <w:ind w:firstLine="720"/>
        <w:rPr>
          <w:rFonts w:eastAsia="Times New Roman" w:cs="Times New Roman"/>
          <w:noProof/>
          <w:szCs w:val="20"/>
        </w:rPr>
      </w:pPr>
      <w:r w:rsidRPr="007B7129">
        <w:rPr>
          <w:rFonts w:eastAsia="Times New Roman" w:cs="Times New Roman"/>
          <w:szCs w:val="20"/>
        </w:rPr>
        <w:t xml:space="preserve">The first Pictet-Spengler reaction, hereby denoted as </w:t>
      </w:r>
      <w:r w:rsidRPr="007B7129">
        <w:rPr>
          <w:rFonts w:eastAsia="Times New Roman" w:cs="Times New Roman"/>
          <w:b/>
          <w:bCs/>
          <w:szCs w:val="20"/>
        </w:rPr>
        <w:t>PSR1</w:t>
      </w:r>
      <w:r w:rsidRPr="007B7129">
        <w:rPr>
          <w:rFonts w:eastAsia="Times New Roman" w:cs="Times New Roman"/>
          <w:szCs w:val="20"/>
        </w:rPr>
        <w:t xml:space="preserve"> or </w:t>
      </w:r>
      <w:r w:rsidRPr="007B7129">
        <w:rPr>
          <w:rFonts w:eastAsia="Times New Roman" w:cs="Times New Roman"/>
          <w:b/>
          <w:bCs/>
          <w:szCs w:val="20"/>
        </w:rPr>
        <w:t>Step 1</w:t>
      </w:r>
      <w:r w:rsidRPr="007B7129">
        <w:rPr>
          <w:rFonts w:eastAsia="Times New Roman" w:cs="Times New Roman"/>
          <w:szCs w:val="20"/>
        </w:rPr>
        <w:t xml:space="preserve">, was integral to the retrosynthetic plan, because it would provide the carbon and nitrogen skeleton of both β-carboline </w:t>
      </w:r>
      <w:r w:rsidRPr="007B7129">
        <w:rPr>
          <w:rFonts w:eastAsia="Times New Roman" w:cs="Times New Roman"/>
          <w:b/>
          <w:bCs/>
          <w:szCs w:val="20"/>
        </w:rPr>
        <w:t>A</w:t>
      </w:r>
      <w:r w:rsidRPr="007B7129">
        <w:rPr>
          <w:rFonts w:eastAsia="Times New Roman" w:cs="Times New Roman"/>
          <w:szCs w:val="20"/>
        </w:rPr>
        <w:t xml:space="preserve"> and the linker. To achieve this, </w:t>
      </w:r>
      <w:r w:rsidRPr="007B7129">
        <w:rPr>
          <w:rFonts w:eastAsia="Times New Roman" w:cs="Times New Roman"/>
          <w:b/>
          <w:bCs/>
          <w:szCs w:val="20"/>
        </w:rPr>
        <w:t>PSR1</w:t>
      </w:r>
      <w:r w:rsidRPr="007B7129">
        <w:rPr>
          <w:rFonts w:eastAsia="Times New Roman" w:cs="Times New Roman"/>
          <w:szCs w:val="20"/>
        </w:rPr>
        <w:t xml:space="preserve"> was envisaged from starting materials tryptamine </w:t>
      </w:r>
      <w:r w:rsidRPr="007B7129">
        <w:rPr>
          <w:rFonts w:eastAsia="Times New Roman" w:cs="Times New Roman"/>
          <w:b/>
          <w:bCs/>
          <w:szCs w:val="20"/>
        </w:rPr>
        <w:t>3.32</w:t>
      </w:r>
      <w:r w:rsidRPr="007B7129">
        <w:rPr>
          <w:rFonts w:eastAsia="Times New Roman" w:cs="Times New Roman"/>
          <w:szCs w:val="20"/>
        </w:rPr>
        <w:t xml:space="preserve"> and cyclopentene-1-aldehyde </w:t>
      </w:r>
      <w:r w:rsidRPr="007B7129">
        <w:rPr>
          <w:rFonts w:eastAsia="Times New Roman" w:cs="Times New Roman"/>
          <w:b/>
          <w:bCs/>
          <w:szCs w:val="20"/>
        </w:rPr>
        <w:t>3.33</w:t>
      </w:r>
      <w:r w:rsidRPr="007B7129">
        <w:rPr>
          <w:rFonts w:eastAsia="Times New Roman" w:cs="Times New Roman"/>
          <w:szCs w:val="20"/>
        </w:rPr>
        <w:t xml:space="preserve">, where substituted tryptamines might also be used during future diversification of THBC </w:t>
      </w:r>
      <w:r w:rsidRPr="007B7129">
        <w:rPr>
          <w:rFonts w:eastAsia="Times New Roman" w:cs="Times New Roman"/>
          <w:b/>
          <w:bCs/>
          <w:szCs w:val="20"/>
        </w:rPr>
        <w:t xml:space="preserve">3.34 </w:t>
      </w:r>
      <w:r w:rsidRPr="007B7129">
        <w:rPr>
          <w:rFonts w:eastAsia="Times New Roman" w:cs="Times New Roman"/>
          <w:szCs w:val="20"/>
        </w:rPr>
        <w:t>(</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_Ref86672544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Pr="007B7129">
        <w:rPr>
          <w:rFonts w:eastAsia="Times New Roman" w:cs="Times New Roman"/>
          <w:szCs w:val="20"/>
        </w:rPr>
        <w:t xml:space="preserve">). This reaction was more challenging than predicted, thus this subsection will describe the work towards accomplishing </w:t>
      </w:r>
      <w:r w:rsidRPr="007B7129">
        <w:rPr>
          <w:rFonts w:eastAsia="Times New Roman" w:cs="Times New Roman"/>
          <w:b/>
          <w:bCs/>
          <w:szCs w:val="20"/>
        </w:rPr>
        <w:t>Step 1</w:t>
      </w:r>
      <w:r w:rsidRPr="007B7129">
        <w:rPr>
          <w:rFonts w:eastAsia="Times New Roman" w:cs="Times New Roman"/>
          <w:szCs w:val="20"/>
        </w:rPr>
        <w:t xml:space="preserve"> and its optimization.</w:t>
      </w:r>
      <w:r w:rsidRPr="007B7129">
        <w:rPr>
          <w:rFonts w:eastAsia="Times New Roman" w:cs="Times New Roman"/>
          <w:noProof/>
          <w:szCs w:val="20"/>
        </w:rPr>
        <w:t xml:space="preserve"> </w:t>
      </w:r>
    </w:p>
    <w:p w14:paraId="7EABB1F6" w14:textId="77777777" w:rsidR="007B7129" w:rsidRPr="007B7129" w:rsidRDefault="007B7129" w:rsidP="007B7129">
      <w:pPr>
        <w:spacing w:after="0"/>
        <w:ind w:firstLine="720"/>
        <w:rPr>
          <w:rFonts w:eastAsia="Times New Roman" w:cs="Times New Roman"/>
          <w:szCs w:val="20"/>
        </w:rPr>
      </w:pPr>
      <w:r w:rsidRPr="007B7129">
        <w:rPr>
          <w:rFonts w:eastAsia="Times New Roman" w:cs="Times New Roman"/>
          <w:noProof/>
          <w:szCs w:val="20"/>
        </w:rPr>
        <mc:AlternateContent>
          <mc:Choice Requires="wps">
            <w:drawing>
              <wp:inline distT="0" distB="0" distL="0" distR="0" wp14:anchorId="10462CB8" wp14:editId="6F2E5041">
                <wp:extent cx="5025224" cy="1749287"/>
                <wp:effectExtent l="0" t="0" r="23495" b="22860"/>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5224" cy="1749287"/>
                        </a:xfrm>
                        <a:prstGeom prst="rect">
                          <a:avLst/>
                        </a:prstGeom>
                        <a:solidFill>
                          <a:srgbClr val="FFFFFF"/>
                        </a:solidFill>
                        <a:ln w="9525">
                          <a:solidFill>
                            <a:srgbClr val="000000"/>
                          </a:solidFill>
                          <a:miter lim="800000"/>
                          <a:headEnd/>
                          <a:tailEnd/>
                        </a:ln>
                      </wps:spPr>
                      <wps:txbx>
                        <w:txbxContent>
                          <w:p w14:paraId="6BACE9E4" w14:textId="77777777" w:rsidR="007B7129" w:rsidRDefault="007B7129" w:rsidP="007B7129">
                            <w:pPr>
                              <w:spacing w:after="0"/>
                              <w:jc w:val="center"/>
                            </w:pPr>
                            <w:r>
                              <w:object w:dxaOrig="3249" w:dyaOrig="1514" w14:anchorId="316ADCFF">
                                <v:shape id="_x0000_i1090" type="#_x0000_t75" style="width:162.7pt;height:75.75pt">
                                  <v:imagedata r:id="rId259" o:title=""/>
                                </v:shape>
                                <o:OLEObject Type="Embed" ProgID="ChemDraw.Document.6.0" ShapeID="_x0000_i1090" DrawAspect="Content" ObjectID="_1713353500" r:id="rId260"/>
                              </w:object>
                            </w:r>
                          </w:p>
                          <w:p w14:paraId="6395C610" w14:textId="68368EDB" w:rsidR="007B7129" w:rsidRDefault="007B7129" w:rsidP="00DF51F5">
                            <w:pPr>
                              <w:pStyle w:val="Caption"/>
                            </w:pPr>
                            <w:bookmarkStart w:id="288" w:name="_Ref86673427"/>
                            <w:r>
                              <w:t>Scheme 3.</w:t>
                            </w:r>
                            <w:bookmarkEnd w:id="288"/>
                            <w:r w:rsidR="005352D9">
                              <w:t>7</w:t>
                            </w:r>
                            <w:r>
                              <w:t xml:space="preserve">. Synthesis of aldehyde </w:t>
                            </w:r>
                            <w:r w:rsidRPr="0059409D">
                              <w:t>3.</w:t>
                            </w:r>
                            <w:r>
                              <w:t>33.</w:t>
                            </w:r>
                          </w:p>
                          <w:p w14:paraId="03DC45EF" w14:textId="77777777" w:rsidR="007B7129" w:rsidRDefault="007B7129" w:rsidP="007B7129">
                            <w:pPr>
                              <w:spacing w:line="240" w:lineRule="auto"/>
                            </w:pPr>
                            <w:r>
                              <w:t>Reagents and conditions: (a) NaIO</w:t>
                            </w:r>
                            <w:r w:rsidRPr="007D260F">
                              <w:rPr>
                                <w:vertAlign w:val="subscript"/>
                              </w:rPr>
                              <w:t>4</w:t>
                            </w:r>
                            <w:r>
                              <w:t>, Et</w:t>
                            </w:r>
                            <w:r w:rsidRPr="007D260F">
                              <w:rPr>
                                <w:vertAlign w:val="subscript"/>
                              </w:rPr>
                              <w:t>2</w:t>
                            </w:r>
                            <w:r>
                              <w:t>O, 1 h. (b) 20% aq. KOH, 1 h.</w:t>
                            </w:r>
                          </w:p>
                        </w:txbxContent>
                      </wps:txbx>
                      <wps:bodyPr rot="0" vert="horz" wrap="square" lIns="91440" tIns="45720" rIns="91440" bIns="45720" anchor="t" anchorCtr="0">
                        <a:noAutofit/>
                      </wps:bodyPr>
                    </wps:wsp>
                  </a:graphicData>
                </a:graphic>
              </wp:inline>
            </w:drawing>
          </mc:Choice>
          <mc:Fallback>
            <w:pict>
              <v:shape w14:anchorId="10462CB8" id="_x0000_s1086" type="#_x0000_t202" style="width:395.7pt;height:13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">
                <v:textbox>
                  <w:txbxContent>
                    <w:p w14:paraId="6BACE9E4" w14:textId="77777777" w:rsidR="007B7129" w:rsidRDefault="007B7129" w:rsidP="007B7129">
                      <w:pPr>
                        <w:spacing w:after="0"/>
                        <w:jc w:val="center"/>
                      </w:pPr>
                      <w:r>
                        <w:object w:dxaOrig="3249" w:dyaOrig="1514" w14:anchorId="316ADCFF">
                          <v:shape id="_x0000_i1090" type="#_x0000_t75" style="width:162.7pt;height:75.75pt">
                            <v:imagedata r:id="rId259" o:title=""/>
                          </v:shape>
                          <o:OLEObject Type="Embed" ProgID="ChemDraw.Document.6.0" ShapeID="_x0000_i1090" DrawAspect="Content" ObjectID="_1713353500" r:id="rId261"/>
                        </w:object>
                      </w:r>
                    </w:p>
                    <w:p w14:paraId="6395C610" w14:textId="68368EDB" w:rsidR="007B7129" w:rsidRDefault="007B7129" w:rsidP="00DF51F5">
                      <w:pPr>
                        <w:pStyle w:val="Caption"/>
                      </w:pPr>
                      <w:bookmarkStart w:id="289" w:name="_Ref86673427"/>
                      <w:r>
                        <w:t>Scheme 3.</w:t>
                      </w:r>
                      <w:bookmarkEnd w:id="289"/>
                      <w:r w:rsidR="005352D9">
                        <w:t>7</w:t>
                      </w:r>
                      <w:r>
                        <w:t xml:space="preserve">. Synthesis of aldehyde </w:t>
                      </w:r>
                      <w:r w:rsidRPr="0059409D">
                        <w:t>3.</w:t>
                      </w:r>
                      <w:r>
                        <w:t>33.</w:t>
                      </w:r>
                    </w:p>
                    <w:p w14:paraId="03DC45EF" w14:textId="77777777" w:rsidR="007B7129" w:rsidRDefault="007B7129" w:rsidP="007B7129">
                      <w:pPr>
                        <w:spacing w:line="240" w:lineRule="auto"/>
                      </w:pPr>
                      <w:r>
                        <w:t>Reagents and conditions: (a) NaIO</w:t>
                      </w:r>
                      <w:r w:rsidRPr="007D260F">
                        <w:rPr>
                          <w:vertAlign w:val="subscript"/>
                        </w:rPr>
                        <w:t>4</w:t>
                      </w:r>
                      <w:r>
                        <w:t>, Et</w:t>
                      </w:r>
                      <w:r w:rsidRPr="007D260F">
                        <w:rPr>
                          <w:vertAlign w:val="subscript"/>
                        </w:rPr>
                        <w:t>2</w:t>
                      </w:r>
                      <w:r>
                        <w:t>O, 1 h. (b) 20% aq. KOH, 1 h.</w:t>
                      </w:r>
                    </w:p>
                  </w:txbxContent>
                </v:textbox>
                <w10:anchorlock/>
              </v:shape>
            </w:pict>
          </mc:Fallback>
        </mc:AlternateContent>
      </w:r>
    </w:p>
    <w:p w14:paraId="1BD736C9" w14:textId="338483D7"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 xml:space="preserve">Aldehyde compound </w:t>
      </w:r>
      <w:r w:rsidRPr="007B7129">
        <w:rPr>
          <w:rFonts w:eastAsia="Times New Roman" w:cs="Times New Roman"/>
          <w:b/>
          <w:bCs/>
          <w:szCs w:val="20"/>
        </w:rPr>
        <w:t>3.33</w:t>
      </w:r>
      <w:r w:rsidRPr="007B7129">
        <w:rPr>
          <w:rFonts w:eastAsia="Times New Roman" w:cs="Times New Roman"/>
          <w:szCs w:val="20"/>
        </w:rPr>
        <w:t xml:space="preserve"> is a colorless, volatile liquid. It is commercially available and relatively expensive, however supply chain issues and material limitations (&lt;5 g available at a time) inspired me to synthesize it in-house. As in the typical case of α,β-unsaturated aldehydes,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{"citationID":"GxnhHQUO","properties":{"formattedCitation":"\\super 43\\nosupersub{}","plainCitation":"43","noteIndex":0},"citationItems":[{"id":311,"uris":["http://zotero.org/users/6503767/items/WR93874N"],"itemData":{"id":311,"type":"article-journal","abstract":"Download PDF of Methods of acrolein polymerization and investigation of structures of the polymers obtained published in Journal of Polymer Science: Polymer Chemistry Edition","container-title":"Journal of Polymer Science","language":"en","page":"3415-3424","title":"Methods of acrolein polymerization and investigation of structures of the polymers obtained | EndNote Click","volume":"17","author":[{"family":"Andreeva","given":"I. V."},{"family":"Artemyeva","given":"V. N."},{"family":"Nesterov","given":"V. V."},{"family":"Kukarkina","given":"N. V."}],"issued":{"date-parts":[["1979"]]}}}],"schema":"https://github.com/citation-style-language/schema/raw/master/csl-citation.json"}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43</w:t>
      </w:r>
      <w:r w:rsidRPr="007B7129">
        <w:rPr>
          <w:rFonts w:eastAsia="Times New Roman" w:cs="Times New Roman"/>
          <w:szCs w:val="20"/>
        </w:rPr>
        <w:fldChar w:fldCharType="end"/>
      </w:r>
      <w:r w:rsidRPr="007B7129">
        <w:rPr>
          <w:rFonts w:eastAsia="Times New Roman" w:cs="Times New Roman"/>
          <w:szCs w:val="20"/>
        </w:rPr>
        <w:t xml:space="preserve"> </w:t>
      </w:r>
      <w:r w:rsidRPr="007B7129">
        <w:rPr>
          <w:rFonts w:eastAsia="Times New Roman" w:cs="Times New Roman"/>
          <w:b/>
          <w:bCs/>
          <w:szCs w:val="20"/>
        </w:rPr>
        <w:t>3.33</w:t>
      </w:r>
      <w:r w:rsidRPr="007B7129">
        <w:rPr>
          <w:rFonts w:eastAsia="Times New Roman" w:cs="Times New Roman"/>
          <w:szCs w:val="20"/>
        </w:rPr>
        <w:t xml:space="preserve"> is also rather unstable, as it polymerizes under mildly basic conditions or in an aqueous environment. Thus, </w:t>
      </w:r>
      <w:r w:rsidRPr="007B7129">
        <w:rPr>
          <w:rFonts w:eastAsia="Times New Roman" w:cs="Times New Roman"/>
          <w:b/>
          <w:bCs/>
          <w:szCs w:val="20"/>
        </w:rPr>
        <w:t>3.33</w:t>
      </w:r>
      <w:r w:rsidRPr="007B7129">
        <w:rPr>
          <w:rFonts w:eastAsia="Times New Roman" w:cs="Times New Roman"/>
          <w:szCs w:val="20"/>
        </w:rPr>
        <w:t xml:space="preserve"> was freshly synthesized each time before executing </w:t>
      </w:r>
      <w:r w:rsidRPr="007B7129">
        <w:rPr>
          <w:rFonts w:eastAsia="Times New Roman" w:cs="Times New Roman"/>
          <w:b/>
          <w:bCs/>
          <w:szCs w:val="20"/>
        </w:rPr>
        <w:t>PSR1</w:t>
      </w:r>
      <w:r w:rsidRPr="007B7129">
        <w:rPr>
          <w:rFonts w:eastAsia="Times New Roman" w:cs="Times New Roman"/>
          <w:szCs w:val="20"/>
        </w:rPr>
        <w:t xml:space="preserve">. The synthesis </w:t>
      </w:r>
      <w:r w:rsidRPr="007B7129">
        <w:rPr>
          <w:rFonts w:eastAsia="Times New Roman" w:cs="Times New Roman"/>
          <w:szCs w:val="20"/>
        </w:rPr>
        <w:lastRenderedPageBreak/>
        <w:t xml:space="preserve">of </w:t>
      </w:r>
      <w:r w:rsidRPr="007B7129">
        <w:rPr>
          <w:rFonts w:eastAsia="Times New Roman" w:cs="Times New Roman"/>
          <w:b/>
          <w:bCs/>
          <w:szCs w:val="20"/>
        </w:rPr>
        <w:t>3.33</w:t>
      </w:r>
      <w:r w:rsidRPr="007B7129">
        <w:rPr>
          <w:rFonts w:eastAsia="Times New Roman" w:cs="Times New Roman"/>
          <w:szCs w:val="20"/>
        </w:rPr>
        <w:t xml:space="preserve"> was achieved through oxidation of </w:t>
      </w:r>
      <w:r w:rsidRPr="007B7129">
        <w:rPr>
          <w:rFonts w:eastAsia="Times New Roman" w:cs="Times New Roman"/>
          <w:i/>
          <w:iCs/>
          <w:szCs w:val="20"/>
        </w:rPr>
        <w:t>cis</w:t>
      </w:r>
      <w:r w:rsidRPr="007B7129">
        <w:rPr>
          <w:rFonts w:eastAsia="Times New Roman" w:cs="Times New Roman"/>
          <w:szCs w:val="20"/>
        </w:rPr>
        <w:t>-1,2-cyclohexanediol (</w:t>
      </w:r>
      <w:r w:rsidRPr="007B7129">
        <w:rPr>
          <w:rFonts w:eastAsia="Times New Roman" w:cs="Times New Roman"/>
          <w:b/>
          <w:bCs/>
          <w:szCs w:val="20"/>
        </w:rPr>
        <w:t>3.35</w:t>
      </w:r>
      <w:r w:rsidRPr="007B7129">
        <w:rPr>
          <w:rFonts w:eastAsia="Times New Roman" w:cs="Times New Roman"/>
          <w:szCs w:val="20"/>
        </w:rPr>
        <w:t>) with sodium (meta)periodate (NaIO</w:t>
      </w:r>
      <w:r w:rsidRPr="007B7129">
        <w:rPr>
          <w:rFonts w:eastAsia="Times New Roman" w:cs="Times New Roman"/>
          <w:szCs w:val="20"/>
          <w:vertAlign w:val="subscript"/>
        </w:rPr>
        <w:t>4</w:t>
      </w:r>
      <w:r w:rsidRPr="007B7129">
        <w:rPr>
          <w:rFonts w:eastAsia="Times New Roman" w:cs="Times New Roman"/>
          <w:szCs w:val="20"/>
        </w:rPr>
        <w:t>) followed by base-promoted ring-opening with potassium hydroxide (KOH). This reaction is performed in a biphasic mixture of water and diethyl ether at room temperature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_Ref86673427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Pr="007B7129">
        <w:rPr>
          <w:rFonts w:eastAsia="Times New Roman" w:cs="Times New Roman"/>
          <w:szCs w:val="20"/>
        </w:rPr>
        <w:t xml:space="preserve">). Since </w:t>
      </w:r>
      <w:r w:rsidRPr="007B7129">
        <w:rPr>
          <w:rFonts w:eastAsia="Times New Roman" w:cs="Times New Roman"/>
          <w:b/>
          <w:bCs/>
          <w:szCs w:val="20"/>
        </w:rPr>
        <w:t>3.33</w:t>
      </w:r>
      <w:r w:rsidRPr="007B7129">
        <w:rPr>
          <w:rFonts w:eastAsia="Times New Roman" w:cs="Times New Roman"/>
          <w:szCs w:val="20"/>
        </w:rPr>
        <w:t xml:space="preserve"> is a low molecular weight liquid and is highly volatile, purification is best achieved using a </w:t>
      </w:r>
      <w:proofErr w:type="spellStart"/>
      <w:r w:rsidRPr="007B7129">
        <w:rPr>
          <w:rFonts w:eastAsia="Times New Roman" w:cs="Times New Roman"/>
          <w:szCs w:val="20"/>
        </w:rPr>
        <w:t>Kugelrohr</w:t>
      </w:r>
      <w:proofErr w:type="spellEnd"/>
      <w:r w:rsidRPr="007B7129">
        <w:rPr>
          <w:rFonts w:eastAsia="Times New Roman" w:cs="Times New Roman"/>
          <w:szCs w:val="20"/>
        </w:rPr>
        <w:t xml:space="preserve"> distillation apparatus. Purification was circumvented, however, and the crude product in ether was used immediately for the Pictet-Spengler cyclization reaction. Notably, yields of the following PSR were not affected by purity of the aldehyde solution. </w:t>
      </w:r>
    </w:p>
    <w:p w14:paraId="2A5D7FC8" w14:textId="6862E7A1" w:rsidR="007B7129" w:rsidRPr="007B7129" w:rsidRDefault="007B7129" w:rsidP="007B7129">
      <w:pPr>
        <w:spacing w:after="0"/>
        <w:ind w:firstLine="360"/>
        <w:rPr>
          <w:rFonts w:eastAsia="Times New Roman" w:cs="Times New Roman"/>
          <w:szCs w:val="20"/>
        </w:rPr>
      </w:pPr>
      <w:r w:rsidRPr="007B7129">
        <w:rPr>
          <w:rFonts w:eastAsia="Times New Roman" w:cs="Times New Roman"/>
          <w:szCs w:val="20"/>
        </w:rPr>
        <w:t>The PSR is generally performed under acidic conditions at refluxing temperatures in a variety of solvents.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{"citationID":"hCrs8bTo","properties":{"formattedCitation":"\\super 27\\nosupersub{}","plainCitation":"27","noteIndex":0},"citationItems":[{"id":308,"uris":["http://zotero.org/users/6503767/items/37IHSGC4"],"itemData":{"id":308,"type":"article-journal","container-title":"Berichte der deutschen chemischen Gesellschaft","DOI":"10.1002/cber.19110440309","ISSN":"1099-0682","issue":"3","language":"en","note":"_eprint: https://onlinelibrary.wiley.com/doi/pdf/10.1002/cber.19110440309","page":"2030-2036","source":"Wiley Online Library","title":"Über die Bildung von Isochinolin-derivaten durch Einwirkung von Methylal auf Phenyl-äthylamin, Phenyl-alanin und Tyrosin","volume":"44","author":[{"family":"Pictet","given":"Amé"},{"family":"Spengler","given":"Theod."}],"issued":{"date-parts":[["1911"]]}}}],"schema":"https://github.com/citation-style-language/schema/raw/master/csl-citation.json"}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27</w:t>
      </w:r>
      <w:r w:rsidRPr="007B7129">
        <w:rPr>
          <w:rFonts w:eastAsia="Times New Roman" w:cs="Times New Roman"/>
          <w:szCs w:val="20"/>
        </w:rPr>
        <w:fldChar w:fldCharType="end"/>
      </w:r>
      <w:r w:rsidRPr="007B7129">
        <w:rPr>
          <w:rFonts w:eastAsia="Times New Roman" w:cs="Times New Roman"/>
          <w:szCs w:val="20"/>
        </w:rPr>
        <w:t xml:space="preserve"> In order to assess the best conditions for this reaction to occur with the cyclopentene-1-aldehyde substrate, methanol, dichloroethane (DCE), dichloromethane (DCM), and diethyl ether (Et</w:t>
      </w:r>
      <w:r w:rsidRPr="007B7129">
        <w:rPr>
          <w:rFonts w:eastAsia="Times New Roman" w:cs="Times New Roman"/>
          <w:szCs w:val="20"/>
          <w:vertAlign w:val="subscript"/>
        </w:rPr>
        <w:t>2</w:t>
      </w:r>
      <w:r w:rsidRPr="007B7129">
        <w:rPr>
          <w:rFonts w:eastAsia="Times New Roman" w:cs="Times New Roman"/>
          <w:szCs w:val="20"/>
        </w:rPr>
        <w:t>O) were employed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_Ref86431591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3.2</w:t>
      </w:r>
      <w:r w:rsidRPr="007B7129">
        <w:rPr>
          <w:rFonts w:eastAsia="Times New Roman" w:cs="Times New Roman"/>
          <w:b/>
          <w:bCs/>
          <w:szCs w:val="20"/>
        </w:rPr>
        <w:fldChar w:fldCharType="end"/>
      </w:r>
      <w:r w:rsidRPr="007B7129">
        <w:rPr>
          <w:rFonts w:eastAsia="Times New Roman" w:cs="Times New Roman"/>
          <w:szCs w:val="20"/>
        </w:rPr>
        <w:t>). Following typical PSR procedures,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{"citationID":"JyCzGMEK","properties":{"formattedCitation":"\\super 27\\nosupersub{}","plainCitation":"27","noteIndex":0},"citationItems":[{"id":308,"uris":["http://zotero.org/users/6503767/items/37IHSGC4"],"itemData":{"id":308,"type":"article-journal","container-title":"Berichte der deutschen chemischen Gesellschaft","DOI":"10.1002/cber.19110440309","ISSN":"1099-0682","issue":"3","language":"en","note":"_eprint: https://onlinelibrary.wiley.com/doi/pdf/10.1002/cber.19110440309","page":"2030-2036","source":"Wiley Online Library","title":"Über die Bildung von Isochinolin-derivaten durch Einwirkung von Methylal auf Phenyl-äthylamin, Phenyl-alanin und Tyrosin","volume":"44","author":[{"family":"Pictet","given":"Amé"},{"family":"Spengler","given":"Theod."}],"issued":{"date-parts":[["1911"]]}}}],"schema":"https://github.com/citation-style-language/schema/raw/master/csl-citation.json"}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27</w:t>
      </w:r>
      <w:r w:rsidRPr="007B7129">
        <w:rPr>
          <w:rFonts w:eastAsia="Times New Roman" w:cs="Times New Roman"/>
          <w:szCs w:val="20"/>
        </w:rPr>
        <w:fldChar w:fldCharType="end"/>
      </w:r>
      <w:r w:rsidRPr="007B7129">
        <w:rPr>
          <w:rFonts w:eastAsia="Times New Roman" w:cs="Times New Roman"/>
          <w:szCs w:val="20"/>
        </w:rPr>
        <w:t xml:space="preserve"> the reaction was first attempted in methanol at 80 ̊C with one equivalent of glacial acetic acid, which resulted in no observable product formation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_Ref86431591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3.2</w:t>
      </w:r>
      <w:r w:rsidRPr="007B7129">
        <w:rPr>
          <w:rFonts w:eastAsia="Times New Roman" w:cs="Times New Roman"/>
          <w:b/>
          <w:bCs/>
          <w:szCs w:val="20"/>
        </w:rPr>
        <w:fldChar w:fldCharType="end"/>
      </w:r>
      <w:r w:rsidRPr="007B7129">
        <w:rPr>
          <w:rFonts w:eastAsia="Times New Roman" w:cs="Times New Roman"/>
          <w:szCs w:val="20"/>
        </w:rPr>
        <w:t>, entry 1). Likewise, heating to 110 ̊C in DCE and TFA failed to provide the desired product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_Ref86431591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3.2</w:t>
      </w:r>
      <w:r w:rsidRPr="007B7129">
        <w:rPr>
          <w:rFonts w:eastAsia="Times New Roman" w:cs="Times New Roman"/>
          <w:b/>
          <w:bCs/>
          <w:szCs w:val="20"/>
        </w:rPr>
        <w:fldChar w:fldCharType="end"/>
      </w:r>
      <w:r w:rsidRPr="007B7129">
        <w:rPr>
          <w:rFonts w:eastAsia="Times New Roman" w:cs="Times New Roman"/>
          <w:szCs w:val="20"/>
        </w:rPr>
        <w:t>, entry 2). Finally, two equivalents of TFA in DCM at room temperature (~23 ̊C) resulted in product formation, albeit in 18% yield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_Ref86431591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3.2</w:t>
      </w:r>
      <w:r w:rsidRPr="007B7129">
        <w:rPr>
          <w:rFonts w:eastAsia="Times New Roman" w:cs="Times New Roman"/>
          <w:b/>
          <w:bCs/>
          <w:szCs w:val="20"/>
        </w:rPr>
        <w:fldChar w:fldCharType="end"/>
      </w:r>
      <w:r w:rsidRPr="007B7129">
        <w:rPr>
          <w:rFonts w:eastAsia="Times New Roman" w:cs="Times New Roman"/>
          <w:szCs w:val="20"/>
        </w:rPr>
        <w:t xml:space="preserve">, entry 3). Interestingly, yields for this reaction, when repeating the same conditions, were inconsistent and ranged from 18 – 39%. </w:t>
      </w:r>
    </w:p>
    <w:p w14:paraId="5F1D0548" w14:textId="70FD12CA" w:rsidR="007B7129" w:rsidRPr="007B7129" w:rsidRDefault="007B7129" w:rsidP="005C5841">
      <w:pPr>
        <w:spacing w:after="0"/>
        <w:ind w:firstLine="360"/>
        <w:rPr>
          <w:rFonts w:eastAsia="Times New Roman" w:cs="Times New Roman"/>
          <w:szCs w:val="20"/>
        </w:rPr>
      </w:pPr>
      <w:r w:rsidRPr="007B7129">
        <w:rPr>
          <w:rFonts w:eastAsia="Times New Roman" w:cs="Times New Roman"/>
          <w:szCs w:val="20"/>
        </w:rPr>
        <w:t xml:space="preserve">Based on results by TLC, all reactions independent of solvent or temperature form one very polar product, which appears at baseline and remains immobile in a 5 – 20% methanol/ethyl acetate eluent. Unsuccessful attempts were made to isolate and characterize this product, but it is presumed to be a polymerization product from either the aldehyde, tryptamine, or a combination of the two. Qualitatively, the formation of the putative polymerization product can be observed as a brownish </w:t>
      </w:r>
      <w:r w:rsidRPr="007B7129">
        <w:rPr>
          <w:rFonts w:eastAsia="Times New Roman" w:cs="Times New Roman"/>
          <w:szCs w:val="20"/>
        </w:rPr>
        <w:lastRenderedPageBreak/>
        <w:t xml:space="preserve">amber sticky oil as the reaction occurs. I also believe that the formation of this by-product continuously diminishes the yield of the desired product </w:t>
      </w:r>
      <w:r w:rsidRPr="007B7129">
        <w:rPr>
          <w:rFonts w:eastAsia="Times New Roman" w:cs="Times New Roman"/>
          <w:b/>
          <w:bCs/>
          <w:szCs w:val="20"/>
        </w:rPr>
        <w:t>3.34</w:t>
      </w:r>
      <w:r w:rsidRPr="007B7129">
        <w:rPr>
          <w:rFonts w:eastAsia="Times New Roman" w:cs="Times New Roman"/>
          <w:szCs w:val="20"/>
        </w:rPr>
        <w:t xml:space="preserve">, so that once the polymer starts to form, the production of the desired product stalls. Practically speaking, when the reaction turns dark brown or a brown tar collects on the side of the reaction flask, I could assume a poor yielding reaction. </w:t>
      </w:r>
    </w:p>
    <w:p w14:paraId="77608F71" w14:textId="2EAD044F" w:rsidR="007B7129" w:rsidRPr="007B7129" w:rsidRDefault="007B7129" w:rsidP="000624E1">
      <w:pPr>
        <w:spacing w:after="0" w:line="240" w:lineRule="auto"/>
        <w:rPr>
          <w:b/>
          <w:szCs w:val="18"/>
        </w:rPr>
      </w:pPr>
      <w:bookmarkStart w:id="290" w:name="_Ref86431591"/>
      <w:r w:rsidRPr="007B7129">
        <w:rPr>
          <w:b/>
          <w:szCs w:val="18"/>
        </w:rPr>
        <w:t>Table 3.</w:t>
      </w:r>
      <w:r w:rsidRPr="007B7129">
        <w:rPr>
          <w:b/>
          <w:szCs w:val="18"/>
        </w:rPr>
        <w:fldChar w:fldCharType="begin"/>
      </w:r>
      <w:r w:rsidRPr="007B7129">
        <w:rPr>
          <w:b/>
          <w:szCs w:val="18"/>
        </w:rPr>
        <w:instrText xml:space="preserve"> SEQ Table \* ARABIC </w:instrText>
      </w:r>
      <w:r w:rsidRPr="007B7129">
        <w:rPr>
          <w:b/>
          <w:szCs w:val="18"/>
        </w:rPr>
        <w:fldChar w:fldCharType="separate"/>
      </w:r>
      <w:r w:rsidR="00AA5AAC">
        <w:rPr>
          <w:b/>
          <w:noProof/>
          <w:szCs w:val="18"/>
        </w:rPr>
        <w:t>2</w:t>
      </w:r>
      <w:r w:rsidRPr="007B7129">
        <w:rPr>
          <w:b/>
          <w:noProof/>
          <w:szCs w:val="18"/>
        </w:rPr>
        <w:fldChar w:fldCharType="end"/>
      </w:r>
      <w:bookmarkEnd w:id="290"/>
      <w:r w:rsidRPr="007B7129">
        <w:rPr>
          <w:b/>
          <w:szCs w:val="18"/>
        </w:rPr>
        <w:t>. Optimization table for PSR1.</w:t>
      </w:r>
    </w:p>
    <w:tbl>
      <w:tblPr>
        <w:tblStyle w:val="TableGrid"/>
        <w:tblW w:w="9360" w:type="dxa"/>
        <w:jc w:val="center"/>
        <w:tblLook w:val="04A0" w:firstRow="1" w:lastRow="0" w:firstColumn="1" w:lastColumn="0" w:noHBand="0" w:noVBand="1"/>
      </w:tblPr>
      <w:tblGrid>
        <w:gridCol w:w="750"/>
        <w:gridCol w:w="1062"/>
        <w:gridCol w:w="1796"/>
        <w:gridCol w:w="1796"/>
        <w:gridCol w:w="1079"/>
        <w:gridCol w:w="1615"/>
        <w:gridCol w:w="1262"/>
      </w:tblGrid>
      <w:tr w:rsidR="007B7129" w:rsidRPr="007B7129" w14:paraId="1B49AF92" w14:textId="77777777" w:rsidTr="00562397">
        <w:trPr>
          <w:trHeight w:val="890"/>
          <w:jc w:val="center"/>
        </w:trPr>
        <w:tc>
          <w:tcPr>
            <w:tcW w:w="9360" w:type="dxa"/>
            <w:gridSpan w:val="7"/>
            <w:shd w:val="clear" w:color="auto" w:fill="auto"/>
            <w:vAlign w:val="center"/>
          </w:tcPr>
          <w:p w14:paraId="4E6BDEA8" w14:textId="77777777" w:rsidR="007B7129" w:rsidRPr="007B7129" w:rsidRDefault="007B7129" w:rsidP="007B7129">
            <w:pPr>
              <w:spacing w:line="240" w:lineRule="auto"/>
              <w:contextualSpacing/>
              <w:jc w:val="center"/>
              <w:rPr>
                <w:rFonts w:cs="Times New Roman"/>
                <w:b/>
                <w:color w:val="000000"/>
                <w:szCs w:val="24"/>
                <w:shd w:val="clear" w:color="auto" w:fill="FFFFFF"/>
              </w:rPr>
            </w:pPr>
            <w:r w:rsidRPr="007B7129">
              <w:rPr>
                <w:rFonts w:cs="Times New Roman"/>
                <w:b/>
                <w:color w:val="000000"/>
                <w:szCs w:val="24"/>
                <w:shd w:val="clear" w:color="auto" w:fill="FFFFFF"/>
              </w:rPr>
              <w:object w:dxaOrig="4988" w:dyaOrig="1541" w14:anchorId="0E991ABB">
                <v:shape id="_x0000_i1091" type="#_x0000_t75" style="width:250.15pt;height:76.2pt" o:ole="">
                  <v:imagedata r:id="rId262" o:title=""/>
                </v:shape>
                <o:OLEObject Type="Embed" ProgID="ChemDraw.Document.6.0" ShapeID="_x0000_i1091" DrawAspect="Content" ObjectID="_1713353456" r:id="rId263"/>
              </w:object>
            </w:r>
          </w:p>
        </w:tc>
      </w:tr>
      <w:tr w:rsidR="007B7129" w:rsidRPr="007B7129" w14:paraId="17DDEF9E" w14:textId="77777777" w:rsidTr="00562397">
        <w:trPr>
          <w:trHeight w:val="266"/>
          <w:jc w:val="center"/>
        </w:trPr>
        <w:tc>
          <w:tcPr>
            <w:tcW w:w="750" w:type="dxa"/>
            <w:shd w:val="clear" w:color="auto" w:fill="E7E6E6" w:themeFill="background2"/>
            <w:vAlign w:val="center"/>
          </w:tcPr>
          <w:p w14:paraId="74E1340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Entry</w:t>
            </w:r>
          </w:p>
        </w:tc>
        <w:tc>
          <w:tcPr>
            <w:tcW w:w="1062" w:type="dxa"/>
            <w:shd w:val="clear" w:color="auto" w:fill="E7E6E6" w:themeFill="background2"/>
            <w:vAlign w:val="center"/>
          </w:tcPr>
          <w:p w14:paraId="7E95CF0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Acid</w:t>
            </w:r>
          </w:p>
        </w:tc>
        <w:tc>
          <w:tcPr>
            <w:tcW w:w="1796" w:type="dxa"/>
            <w:shd w:val="clear" w:color="auto" w:fill="E7E6E6" w:themeFill="background2"/>
            <w:vAlign w:val="center"/>
          </w:tcPr>
          <w:p w14:paraId="54341B5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Solvent</w:t>
            </w:r>
          </w:p>
        </w:tc>
        <w:tc>
          <w:tcPr>
            <w:tcW w:w="1796" w:type="dxa"/>
            <w:shd w:val="clear" w:color="auto" w:fill="E7E6E6" w:themeFill="background2"/>
            <w:vAlign w:val="center"/>
          </w:tcPr>
          <w:p w14:paraId="6E0952F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Additive</w:t>
            </w:r>
          </w:p>
        </w:tc>
        <w:tc>
          <w:tcPr>
            <w:tcW w:w="1079" w:type="dxa"/>
            <w:shd w:val="clear" w:color="auto" w:fill="E7E6E6" w:themeFill="background2"/>
            <w:vAlign w:val="center"/>
          </w:tcPr>
          <w:p w14:paraId="76C175D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Method</w:t>
            </w:r>
          </w:p>
        </w:tc>
        <w:tc>
          <w:tcPr>
            <w:tcW w:w="1615" w:type="dxa"/>
            <w:shd w:val="clear" w:color="auto" w:fill="E7E6E6" w:themeFill="background2"/>
            <w:vAlign w:val="center"/>
          </w:tcPr>
          <w:p w14:paraId="76D2D9A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Temp (̊C)</w:t>
            </w:r>
          </w:p>
        </w:tc>
        <w:tc>
          <w:tcPr>
            <w:tcW w:w="1262" w:type="dxa"/>
            <w:shd w:val="clear" w:color="auto" w:fill="E7E6E6" w:themeFill="background2"/>
            <w:vAlign w:val="center"/>
          </w:tcPr>
          <w:p w14:paraId="11F5A59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Yield (%)</w:t>
            </w:r>
          </w:p>
        </w:tc>
      </w:tr>
      <w:tr w:rsidR="007B7129" w:rsidRPr="007B7129" w14:paraId="01BE2E2B" w14:textId="77777777" w:rsidTr="00562397">
        <w:trPr>
          <w:trHeight w:val="266"/>
          <w:jc w:val="center"/>
        </w:trPr>
        <w:tc>
          <w:tcPr>
            <w:tcW w:w="750" w:type="dxa"/>
            <w:vAlign w:val="center"/>
          </w:tcPr>
          <w:p w14:paraId="383E338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w:t>
            </w:r>
          </w:p>
        </w:tc>
        <w:tc>
          <w:tcPr>
            <w:tcW w:w="1062" w:type="dxa"/>
            <w:vAlign w:val="center"/>
          </w:tcPr>
          <w:p w14:paraId="454A8AB2"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AcOH</w:t>
            </w:r>
            <w:proofErr w:type="spellEnd"/>
          </w:p>
        </w:tc>
        <w:tc>
          <w:tcPr>
            <w:tcW w:w="1796" w:type="dxa"/>
            <w:vAlign w:val="center"/>
          </w:tcPr>
          <w:p w14:paraId="57B7964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Methanol</w:t>
            </w:r>
          </w:p>
        </w:tc>
        <w:tc>
          <w:tcPr>
            <w:tcW w:w="1796" w:type="dxa"/>
            <w:vAlign w:val="center"/>
          </w:tcPr>
          <w:p w14:paraId="390DADF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None</w:t>
            </w:r>
          </w:p>
        </w:tc>
        <w:tc>
          <w:tcPr>
            <w:tcW w:w="1079" w:type="dxa"/>
            <w:vAlign w:val="center"/>
          </w:tcPr>
          <w:p w14:paraId="5CD793B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w:t>
            </w:r>
          </w:p>
        </w:tc>
        <w:tc>
          <w:tcPr>
            <w:tcW w:w="1615" w:type="dxa"/>
            <w:vAlign w:val="center"/>
          </w:tcPr>
          <w:p w14:paraId="554B2CD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80</w:t>
            </w:r>
          </w:p>
        </w:tc>
        <w:tc>
          <w:tcPr>
            <w:tcW w:w="1262" w:type="dxa"/>
            <w:vAlign w:val="center"/>
          </w:tcPr>
          <w:p w14:paraId="4004585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337D3433" w14:textId="77777777" w:rsidTr="00562397">
        <w:trPr>
          <w:trHeight w:val="278"/>
          <w:jc w:val="center"/>
        </w:trPr>
        <w:tc>
          <w:tcPr>
            <w:tcW w:w="750" w:type="dxa"/>
            <w:vAlign w:val="center"/>
          </w:tcPr>
          <w:p w14:paraId="77FDE74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w:t>
            </w:r>
          </w:p>
        </w:tc>
        <w:tc>
          <w:tcPr>
            <w:tcW w:w="1062" w:type="dxa"/>
            <w:vAlign w:val="center"/>
          </w:tcPr>
          <w:p w14:paraId="629FAAA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TFA</w:t>
            </w:r>
          </w:p>
        </w:tc>
        <w:tc>
          <w:tcPr>
            <w:tcW w:w="1796" w:type="dxa"/>
            <w:vAlign w:val="center"/>
          </w:tcPr>
          <w:p w14:paraId="22638BB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DCE</w:t>
            </w:r>
          </w:p>
        </w:tc>
        <w:tc>
          <w:tcPr>
            <w:tcW w:w="1796" w:type="dxa"/>
            <w:vAlign w:val="center"/>
          </w:tcPr>
          <w:p w14:paraId="5FF2946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None</w:t>
            </w:r>
          </w:p>
        </w:tc>
        <w:tc>
          <w:tcPr>
            <w:tcW w:w="1079" w:type="dxa"/>
            <w:vAlign w:val="center"/>
          </w:tcPr>
          <w:p w14:paraId="78355AA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w:t>
            </w:r>
          </w:p>
        </w:tc>
        <w:tc>
          <w:tcPr>
            <w:tcW w:w="1615" w:type="dxa"/>
            <w:vAlign w:val="center"/>
          </w:tcPr>
          <w:p w14:paraId="31E4EF2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110</w:t>
            </w:r>
          </w:p>
        </w:tc>
        <w:tc>
          <w:tcPr>
            <w:tcW w:w="1262" w:type="dxa"/>
            <w:vAlign w:val="center"/>
          </w:tcPr>
          <w:p w14:paraId="36B75D2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428489BC" w14:textId="77777777" w:rsidTr="00562397">
        <w:trPr>
          <w:trHeight w:val="266"/>
          <w:jc w:val="center"/>
        </w:trPr>
        <w:tc>
          <w:tcPr>
            <w:tcW w:w="750" w:type="dxa"/>
            <w:vAlign w:val="center"/>
          </w:tcPr>
          <w:p w14:paraId="6548679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w:t>
            </w:r>
          </w:p>
        </w:tc>
        <w:tc>
          <w:tcPr>
            <w:tcW w:w="1062" w:type="dxa"/>
            <w:vAlign w:val="center"/>
          </w:tcPr>
          <w:p w14:paraId="25BBB8C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TFA</w:t>
            </w:r>
          </w:p>
        </w:tc>
        <w:tc>
          <w:tcPr>
            <w:tcW w:w="1796" w:type="dxa"/>
            <w:vAlign w:val="center"/>
          </w:tcPr>
          <w:p w14:paraId="2DAC230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796" w:type="dxa"/>
            <w:vAlign w:val="center"/>
          </w:tcPr>
          <w:p w14:paraId="3FC885A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None</w:t>
            </w:r>
          </w:p>
        </w:tc>
        <w:tc>
          <w:tcPr>
            <w:tcW w:w="1079" w:type="dxa"/>
            <w:vAlign w:val="center"/>
          </w:tcPr>
          <w:p w14:paraId="0ABB534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w:t>
            </w:r>
          </w:p>
        </w:tc>
        <w:tc>
          <w:tcPr>
            <w:tcW w:w="1615" w:type="dxa"/>
            <w:vAlign w:val="center"/>
          </w:tcPr>
          <w:p w14:paraId="4F76597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1262" w:type="dxa"/>
            <w:vAlign w:val="center"/>
          </w:tcPr>
          <w:p w14:paraId="0A538E3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18</w:t>
            </w:r>
          </w:p>
        </w:tc>
      </w:tr>
      <w:tr w:rsidR="007B7129" w:rsidRPr="007B7129" w14:paraId="112D7E88" w14:textId="77777777" w:rsidTr="00562397">
        <w:trPr>
          <w:trHeight w:val="266"/>
          <w:jc w:val="center"/>
        </w:trPr>
        <w:tc>
          <w:tcPr>
            <w:tcW w:w="750" w:type="dxa"/>
            <w:vAlign w:val="center"/>
          </w:tcPr>
          <w:p w14:paraId="71A4C76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w:t>
            </w:r>
          </w:p>
        </w:tc>
        <w:tc>
          <w:tcPr>
            <w:tcW w:w="1062" w:type="dxa"/>
            <w:vAlign w:val="center"/>
          </w:tcPr>
          <w:p w14:paraId="598215D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TFA</w:t>
            </w:r>
          </w:p>
        </w:tc>
        <w:tc>
          <w:tcPr>
            <w:tcW w:w="1796" w:type="dxa"/>
            <w:vAlign w:val="center"/>
          </w:tcPr>
          <w:p w14:paraId="6E8D33D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796" w:type="dxa"/>
            <w:vAlign w:val="center"/>
          </w:tcPr>
          <w:p w14:paraId="3A09E12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Na</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SO</w:t>
            </w:r>
            <w:r w:rsidRPr="007B7129">
              <w:rPr>
                <w:rFonts w:cs="Times New Roman"/>
                <w:bCs/>
                <w:color w:val="000000"/>
                <w:szCs w:val="24"/>
                <w:shd w:val="clear" w:color="auto" w:fill="FFFFFF"/>
                <w:vertAlign w:val="subscript"/>
              </w:rPr>
              <w:t>4</w:t>
            </w:r>
          </w:p>
        </w:tc>
        <w:tc>
          <w:tcPr>
            <w:tcW w:w="1079" w:type="dxa"/>
            <w:vAlign w:val="center"/>
          </w:tcPr>
          <w:p w14:paraId="280F2AF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w:t>
            </w:r>
          </w:p>
        </w:tc>
        <w:tc>
          <w:tcPr>
            <w:tcW w:w="1615" w:type="dxa"/>
            <w:vAlign w:val="center"/>
          </w:tcPr>
          <w:p w14:paraId="68F066D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 xml:space="preserve">0 – 23 </w:t>
            </w:r>
          </w:p>
        </w:tc>
        <w:tc>
          <w:tcPr>
            <w:tcW w:w="1262" w:type="dxa"/>
            <w:vAlign w:val="center"/>
          </w:tcPr>
          <w:p w14:paraId="69A59AB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39</w:t>
            </w:r>
          </w:p>
        </w:tc>
      </w:tr>
      <w:tr w:rsidR="007B7129" w:rsidRPr="007B7129" w14:paraId="18284FEF" w14:textId="77777777" w:rsidTr="00562397">
        <w:trPr>
          <w:trHeight w:val="266"/>
          <w:jc w:val="center"/>
        </w:trPr>
        <w:tc>
          <w:tcPr>
            <w:tcW w:w="750" w:type="dxa"/>
            <w:vAlign w:val="center"/>
          </w:tcPr>
          <w:p w14:paraId="195BDA4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5</w:t>
            </w:r>
          </w:p>
        </w:tc>
        <w:tc>
          <w:tcPr>
            <w:tcW w:w="1062" w:type="dxa"/>
            <w:vAlign w:val="center"/>
          </w:tcPr>
          <w:p w14:paraId="73D1E2C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TFA</w:t>
            </w:r>
          </w:p>
        </w:tc>
        <w:tc>
          <w:tcPr>
            <w:tcW w:w="1796" w:type="dxa"/>
            <w:vAlign w:val="center"/>
          </w:tcPr>
          <w:p w14:paraId="55F6F33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796" w:type="dxa"/>
            <w:vAlign w:val="center"/>
          </w:tcPr>
          <w:p w14:paraId="7DDC907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Na</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SO</w:t>
            </w:r>
            <w:r w:rsidRPr="007B7129">
              <w:rPr>
                <w:rFonts w:cs="Times New Roman"/>
                <w:bCs/>
                <w:color w:val="000000"/>
                <w:szCs w:val="24"/>
                <w:shd w:val="clear" w:color="auto" w:fill="FFFFFF"/>
                <w:vertAlign w:val="subscript"/>
              </w:rPr>
              <w:t>4</w:t>
            </w:r>
          </w:p>
        </w:tc>
        <w:tc>
          <w:tcPr>
            <w:tcW w:w="1079" w:type="dxa"/>
            <w:vAlign w:val="center"/>
          </w:tcPr>
          <w:p w14:paraId="119F142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B</w:t>
            </w:r>
          </w:p>
        </w:tc>
        <w:tc>
          <w:tcPr>
            <w:tcW w:w="1615" w:type="dxa"/>
            <w:vAlign w:val="center"/>
          </w:tcPr>
          <w:p w14:paraId="1ED3E2D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 – 23</w:t>
            </w:r>
          </w:p>
        </w:tc>
        <w:tc>
          <w:tcPr>
            <w:tcW w:w="1262" w:type="dxa"/>
            <w:vAlign w:val="center"/>
          </w:tcPr>
          <w:p w14:paraId="41B3574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46</w:t>
            </w:r>
          </w:p>
        </w:tc>
      </w:tr>
      <w:tr w:rsidR="007B7129" w:rsidRPr="007B7129" w14:paraId="5E2B691A" w14:textId="77777777" w:rsidTr="00562397">
        <w:trPr>
          <w:trHeight w:val="266"/>
          <w:jc w:val="center"/>
        </w:trPr>
        <w:tc>
          <w:tcPr>
            <w:tcW w:w="750" w:type="dxa"/>
            <w:vAlign w:val="center"/>
          </w:tcPr>
          <w:p w14:paraId="5D8F311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6</w:t>
            </w:r>
          </w:p>
        </w:tc>
        <w:tc>
          <w:tcPr>
            <w:tcW w:w="1062" w:type="dxa"/>
            <w:vAlign w:val="center"/>
          </w:tcPr>
          <w:p w14:paraId="595AC16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TFA</w:t>
            </w:r>
          </w:p>
        </w:tc>
        <w:tc>
          <w:tcPr>
            <w:tcW w:w="1796" w:type="dxa"/>
            <w:vAlign w:val="center"/>
          </w:tcPr>
          <w:p w14:paraId="09B97C6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796" w:type="dxa"/>
            <w:vAlign w:val="center"/>
          </w:tcPr>
          <w:p w14:paraId="2BE6774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Na</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SO</w:t>
            </w:r>
            <w:r w:rsidRPr="007B7129">
              <w:rPr>
                <w:rFonts w:cs="Times New Roman"/>
                <w:bCs/>
                <w:color w:val="000000"/>
                <w:szCs w:val="24"/>
                <w:shd w:val="clear" w:color="auto" w:fill="FFFFFF"/>
                <w:vertAlign w:val="subscript"/>
              </w:rPr>
              <w:t>4</w:t>
            </w:r>
          </w:p>
        </w:tc>
        <w:tc>
          <w:tcPr>
            <w:tcW w:w="1079" w:type="dxa"/>
            <w:vAlign w:val="center"/>
          </w:tcPr>
          <w:p w14:paraId="437A9BE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C</w:t>
            </w:r>
          </w:p>
        </w:tc>
        <w:tc>
          <w:tcPr>
            <w:tcW w:w="1615" w:type="dxa"/>
            <w:vAlign w:val="center"/>
          </w:tcPr>
          <w:p w14:paraId="51BD020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 – 23</w:t>
            </w:r>
          </w:p>
        </w:tc>
        <w:tc>
          <w:tcPr>
            <w:tcW w:w="1262" w:type="dxa"/>
            <w:vAlign w:val="center"/>
          </w:tcPr>
          <w:p w14:paraId="5B04B1F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65</w:t>
            </w:r>
          </w:p>
        </w:tc>
      </w:tr>
      <w:tr w:rsidR="007B7129" w:rsidRPr="007B7129" w14:paraId="2D890041" w14:textId="77777777" w:rsidTr="00562397">
        <w:trPr>
          <w:trHeight w:val="266"/>
          <w:jc w:val="center"/>
        </w:trPr>
        <w:tc>
          <w:tcPr>
            <w:tcW w:w="750" w:type="dxa"/>
            <w:vAlign w:val="center"/>
          </w:tcPr>
          <w:p w14:paraId="426C02A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7</w:t>
            </w:r>
          </w:p>
        </w:tc>
        <w:tc>
          <w:tcPr>
            <w:tcW w:w="1062" w:type="dxa"/>
            <w:vAlign w:val="center"/>
          </w:tcPr>
          <w:p w14:paraId="44ADC1D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TFA</w:t>
            </w:r>
          </w:p>
        </w:tc>
        <w:tc>
          <w:tcPr>
            <w:tcW w:w="1796" w:type="dxa"/>
            <w:vAlign w:val="center"/>
          </w:tcPr>
          <w:p w14:paraId="58F134E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Et</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O</w:t>
            </w:r>
          </w:p>
        </w:tc>
        <w:tc>
          <w:tcPr>
            <w:tcW w:w="1796" w:type="dxa"/>
            <w:vAlign w:val="center"/>
          </w:tcPr>
          <w:p w14:paraId="38879B2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Na</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SO</w:t>
            </w:r>
            <w:r w:rsidRPr="007B7129">
              <w:rPr>
                <w:rFonts w:cs="Times New Roman"/>
                <w:bCs/>
                <w:color w:val="000000"/>
                <w:szCs w:val="24"/>
                <w:shd w:val="clear" w:color="auto" w:fill="FFFFFF"/>
                <w:vertAlign w:val="subscript"/>
              </w:rPr>
              <w:t xml:space="preserve">4 </w:t>
            </w:r>
            <w:r w:rsidRPr="007B7129">
              <w:rPr>
                <w:rFonts w:cs="Times New Roman"/>
                <w:bCs/>
                <w:color w:val="000000"/>
                <w:szCs w:val="24"/>
                <w:shd w:val="clear" w:color="auto" w:fill="FFFFFF"/>
              </w:rPr>
              <w:t>or MS</w:t>
            </w:r>
          </w:p>
        </w:tc>
        <w:tc>
          <w:tcPr>
            <w:tcW w:w="1079" w:type="dxa"/>
            <w:vAlign w:val="center"/>
          </w:tcPr>
          <w:p w14:paraId="4557C5B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C</w:t>
            </w:r>
          </w:p>
        </w:tc>
        <w:tc>
          <w:tcPr>
            <w:tcW w:w="1615" w:type="dxa"/>
            <w:vAlign w:val="center"/>
          </w:tcPr>
          <w:p w14:paraId="5349C1B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1262" w:type="dxa"/>
            <w:vAlign w:val="center"/>
          </w:tcPr>
          <w:p w14:paraId="4F98A1E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18</w:t>
            </w:r>
          </w:p>
        </w:tc>
      </w:tr>
      <w:tr w:rsidR="007B7129" w:rsidRPr="007B7129" w14:paraId="64643F96" w14:textId="77777777" w:rsidTr="00562397">
        <w:trPr>
          <w:trHeight w:val="278"/>
          <w:jc w:val="center"/>
        </w:trPr>
        <w:tc>
          <w:tcPr>
            <w:tcW w:w="750" w:type="dxa"/>
            <w:vAlign w:val="center"/>
          </w:tcPr>
          <w:p w14:paraId="7BDB7A7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8</w:t>
            </w:r>
          </w:p>
        </w:tc>
        <w:tc>
          <w:tcPr>
            <w:tcW w:w="1062" w:type="dxa"/>
            <w:vAlign w:val="center"/>
          </w:tcPr>
          <w:p w14:paraId="2DF5A0D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TFA</w:t>
            </w:r>
          </w:p>
        </w:tc>
        <w:tc>
          <w:tcPr>
            <w:tcW w:w="1796" w:type="dxa"/>
            <w:vAlign w:val="center"/>
          </w:tcPr>
          <w:p w14:paraId="4329075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Et</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O</w:t>
            </w:r>
          </w:p>
        </w:tc>
        <w:tc>
          <w:tcPr>
            <w:tcW w:w="1796" w:type="dxa"/>
            <w:vAlign w:val="center"/>
          </w:tcPr>
          <w:p w14:paraId="180B724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MS</w:t>
            </w:r>
          </w:p>
        </w:tc>
        <w:tc>
          <w:tcPr>
            <w:tcW w:w="1079" w:type="dxa"/>
            <w:vAlign w:val="center"/>
          </w:tcPr>
          <w:p w14:paraId="0A2B767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C</w:t>
            </w:r>
          </w:p>
        </w:tc>
        <w:tc>
          <w:tcPr>
            <w:tcW w:w="1615" w:type="dxa"/>
            <w:vAlign w:val="center"/>
          </w:tcPr>
          <w:p w14:paraId="406D86C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 – 23</w:t>
            </w:r>
          </w:p>
        </w:tc>
        <w:tc>
          <w:tcPr>
            <w:tcW w:w="1262" w:type="dxa"/>
            <w:vAlign w:val="center"/>
          </w:tcPr>
          <w:p w14:paraId="44D96E2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87</w:t>
            </w:r>
          </w:p>
        </w:tc>
      </w:tr>
    </w:tbl>
    <w:p w14:paraId="74E840C5" w14:textId="77777777" w:rsidR="007B7129" w:rsidRPr="007B7129" w:rsidRDefault="007B7129" w:rsidP="007B7129">
      <w:pPr>
        <w:spacing w:line="240" w:lineRule="auto"/>
        <w:rPr>
          <w:rFonts w:cs="Times New Roman"/>
          <w:szCs w:val="24"/>
        </w:rPr>
      </w:pPr>
      <w:r w:rsidRPr="007B7129">
        <w:rPr>
          <w:rFonts w:cs="Times New Roman"/>
          <w:szCs w:val="24"/>
        </w:rPr>
        <w:t xml:space="preserve">MS = molecular sieves. Method varies by acid addition: (A) Acid added dropwise. (B) Acid added dropwise slowly over the course of 10 minutes. (C) Acid added dropwise slowly over the course of 1 hour. </w:t>
      </w:r>
    </w:p>
    <w:p w14:paraId="0D09B942" w14:textId="77777777" w:rsidR="007B7129" w:rsidRPr="007B7129" w:rsidRDefault="007B7129" w:rsidP="007B7129">
      <w:pPr>
        <w:spacing w:after="0"/>
        <w:ind w:firstLine="360"/>
        <w:rPr>
          <w:rFonts w:eastAsia="Times New Roman" w:cs="Times New Roman"/>
          <w:szCs w:val="20"/>
        </w:rPr>
      </w:pPr>
    </w:p>
    <w:p w14:paraId="4914DDD6" w14:textId="52BF2B02" w:rsidR="007B7129" w:rsidRPr="007B7129" w:rsidRDefault="007B7129" w:rsidP="000624E1">
      <w:pPr>
        <w:spacing w:after="0"/>
        <w:ind w:firstLine="360"/>
        <w:rPr>
          <w:rFonts w:eastAsia="Times New Roman" w:cs="Times New Roman"/>
          <w:szCs w:val="20"/>
        </w:rPr>
      </w:pPr>
      <w:r w:rsidRPr="007B7129">
        <w:rPr>
          <w:rFonts w:eastAsia="Times New Roman" w:cs="Times New Roman"/>
          <w:szCs w:val="20"/>
        </w:rPr>
        <w:t xml:space="preserve">Since polymerization was believed to be the issue, focus shifted towards altering conditions to prevent the formation of polymerization side-products. The most obvious approach for circumventing polymerization is to decrease the reaction concentration. As such, the solvent volume was doubled for the remaining trials. Notably, the water formed as a by-product during this PSR can hinder reaction progress, since aldehyde </w:t>
      </w:r>
      <w:r w:rsidRPr="007B7129">
        <w:rPr>
          <w:rFonts w:eastAsia="Times New Roman" w:cs="Times New Roman"/>
          <w:b/>
          <w:bCs/>
          <w:szCs w:val="20"/>
        </w:rPr>
        <w:t>3.33</w:t>
      </w:r>
      <w:r w:rsidRPr="007B7129">
        <w:rPr>
          <w:rFonts w:eastAsia="Times New Roman" w:cs="Times New Roman"/>
          <w:szCs w:val="20"/>
        </w:rPr>
        <w:t xml:space="preserve"> polymerizes in the presence of water. Therefore, water adsorption additives were used in attempts to prevent unwanted side reactions. Sodium sulfate was adequate as a desiccant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_Ref86431591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Table 3.2</w:t>
      </w:r>
      <w:r w:rsidRPr="007B7129">
        <w:rPr>
          <w:rFonts w:eastAsia="Times New Roman" w:cs="Times New Roman"/>
          <w:b/>
          <w:bCs/>
          <w:szCs w:val="20"/>
        </w:rPr>
        <w:fldChar w:fldCharType="end"/>
      </w:r>
      <w:r w:rsidRPr="007B7129">
        <w:rPr>
          <w:rFonts w:eastAsia="Times New Roman" w:cs="Times New Roman"/>
          <w:szCs w:val="20"/>
        </w:rPr>
        <w:t>, entries 4 – 6), but molecular sieves</w:t>
      </w:r>
      <w:r w:rsidRPr="007B7129">
        <w:rPr>
          <w:sz w:val="16"/>
          <w:szCs w:val="16"/>
        </w:rPr>
        <w:t xml:space="preserve"> </w:t>
      </w:r>
      <w:r w:rsidRPr="007B7129">
        <w:rPr>
          <w:rFonts w:eastAsia="Times New Roman" w:cs="Times New Roman"/>
          <w:szCs w:val="20"/>
        </w:rPr>
        <w:t>worked best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_Ref86431591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Table 3.2</w:t>
      </w:r>
      <w:r w:rsidRPr="007B7129">
        <w:rPr>
          <w:rFonts w:eastAsia="Times New Roman" w:cs="Times New Roman"/>
          <w:b/>
          <w:bCs/>
          <w:szCs w:val="20"/>
        </w:rPr>
        <w:fldChar w:fldCharType="end"/>
      </w:r>
      <w:r w:rsidRPr="007B7129">
        <w:rPr>
          <w:rFonts w:eastAsia="Times New Roman" w:cs="Times New Roman"/>
          <w:szCs w:val="20"/>
        </w:rPr>
        <w:t xml:space="preserve">, entry 8). While the brown resin assumed to be polymerization products can be </w:t>
      </w:r>
      <w:r w:rsidRPr="007B7129">
        <w:rPr>
          <w:rFonts w:eastAsia="Times New Roman" w:cs="Times New Roman"/>
          <w:szCs w:val="20"/>
        </w:rPr>
        <w:lastRenderedPageBreak/>
        <w:t>seen accumulating around the solid desiccants, yields improved. Next, lower temperatures were investigated. As mentioned previously, high temperatures are typically necessary for the PSR cyclization to occur, but high temperatures also promote polymerization.</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{"citationID":"FgN51Qof","properties":{"formattedCitation":"\\super 44\\nosupersub{}","plainCitation":"44","noteIndex":0},"citationItems":[{"id":453,"uris":["http://zotero.org/users/6503767/items/BNYIZEKF"],"itemData":{"id":453,"type":"chapter","abstract":"Polymer products such as synthetic plastics, fibers, rubbers, coatings, and adhesives have been applied more and more broadly, and become an indispensable material in modern life. Basic human needs such as clothing, food, lodging, and transportation are closely related with polymer products. In this chapter, the following engineering issues of producing these products will be discussed: (1) polymerization kinetics; (2) relationship between polymerization rate and reactor and its operation mode; (3) relationship between degree of polymerization and its distribution and reactor as well as operation mode; (4) heat and mass transfer processes in polymerization; and (5) polymerization reactor design and scale-up as well as other related issues.","container-title":"Reaction Engineering","event-place":"Boston","ISBN":"978-0-12-410416-7","language":"en","note":"DOI: 10.1016/B978-0-12-410416-7.00012-4","page":"541-598","publisher":"Butterworth-Heinemann","publisher-place":"Boston","source":"ScienceDirect","title":"Chapter 12 - Fundamentals of Polymerization Reaction Engineering","URL":"https://www.sciencedirect.com/science/article/pii/B9780124104167000124","author":[{"family":"Li","given":"Shaofen"}],"editor":[{"family":"Li","given":"Shaofen"}],"accessed":{"date-parts":[["2022",2,17]]},"issued":{"date-parts":[["2017",1,1]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44</w:t>
      </w:r>
      <w:r w:rsidRPr="007B7129">
        <w:rPr>
          <w:rFonts w:eastAsia="Times New Roman" w:cs="Times New Roman"/>
          <w:szCs w:val="20"/>
        </w:rPr>
        <w:fldChar w:fldCharType="end"/>
      </w:r>
      <w:r w:rsidRPr="007B7129">
        <w:rPr>
          <w:rFonts w:eastAsia="Times New Roman" w:cs="Times New Roman"/>
          <w:szCs w:val="20"/>
        </w:rPr>
        <w:t xml:space="preserve"> It was found that starting the reaction over an ice bath and gradually warming to room temperature provided more reliable product formation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_Ref86431591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Table 3.2</w:t>
      </w:r>
      <w:r w:rsidRPr="007B7129">
        <w:rPr>
          <w:rFonts w:eastAsia="Times New Roman" w:cs="Times New Roman"/>
          <w:b/>
          <w:bCs/>
          <w:szCs w:val="20"/>
        </w:rPr>
        <w:fldChar w:fldCharType="end"/>
      </w:r>
      <w:r w:rsidRPr="007B7129">
        <w:rPr>
          <w:rFonts w:eastAsia="Times New Roman" w:cs="Times New Roman"/>
          <w:szCs w:val="20"/>
        </w:rPr>
        <w:t xml:space="preserve">, entries 6 and 8). </w:t>
      </w:r>
    </w:p>
    <w:p w14:paraId="408F31CF" w14:textId="77777777" w:rsidR="007B7129" w:rsidRPr="007B7129" w:rsidRDefault="007B7129" w:rsidP="007B7129">
      <w:pPr>
        <w:spacing w:after="0"/>
        <w:rPr>
          <w:rFonts w:eastAsia="Times New Roman" w:cs="Times New Roman"/>
          <w:szCs w:val="20"/>
        </w:rPr>
      </w:pPr>
      <w:r w:rsidRPr="007B7129">
        <w:rPr>
          <w:rFonts w:eastAsia="Times New Roman" w:cs="Times New Roman"/>
          <w:noProof/>
          <w:szCs w:val="20"/>
        </w:rPr>
        <mc:AlternateContent>
          <mc:Choice Requires="wps">
            <w:drawing>
              <wp:inline distT="0" distB="0" distL="0" distR="0" wp14:anchorId="5EC9BD68" wp14:editId="7C7418EB">
                <wp:extent cx="5943600" cy="1868556"/>
                <wp:effectExtent l="0" t="0" r="19050" b="17780"/>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68556"/>
                        </a:xfrm>
                        <a:prstGeom prst="rect">
                          <a:avLst/>
                        </a:prstGeom>
                        <a:solidFill>
                          <a:srgbClr val="FFFFFF"/>
                        </a:solidFill>
                        <a:ln w="9525">
                          <a:solidFill>
                            <a:srgbClr val="000000"/>
                          </a:solidFill>
                          <a:miter lim="800000"/>
                          <a:headEnd/>
                          <a:tailEnd/>
                        </a:ln>
                      </wps:spPr>
                      <wps:txbx>
                        <w:txbxContent>
                          <w:p w14:paraId="0E5F1990" w14:textId="77777777" w:rsidR="007B7129" w:rsidRDefault="007B7129" w:rsidP="007B7129">
                            <w:pPr>
                              <w:keepNext/>
                              <w:spacing w:line="240" w:lineRule="auto"/>
                              <w:jc w:val="center"/>
                            </w:pPr>
                            <w:r>
                              <w:object w:dxaOrig="6000" w:dyaOrig="1579" w14:anchorId="4F1FB492">
                                <v:shape id="_x0000_i1092" type="#_x0000_t75" style="width:302.95pt;height:79pt">
                                  <v:imagedata r:id="rId264" o:title=""/>
                                </v:shape>
                                <o:OLEObject Type="Embed" ProgID="ChemDraw.Document.6.0" ShapeID="_x0000_i1092" DrawAspect="Content" ObjectID="_1713353501" r:id="rId265"/>
                              </w:object>
                            </w:r>
                          </w:p>
                          <w:p w14:paraId="71645897" w14:textId="4325815D" w:rsidR="007B7129" w:rsidRDefault="007B7129" w:rsidP="00DF51F5">
                            <w:pPr>
                              <w:pStyle w:val="Caption"/>
                            </w:pPr>
                            <w:bookmarkStart w:id="291" w:name="_Ref86431511"/>
                            <w:r>
                              <w:t>Scheme 3.</w:t>
                            </w:r>
                            <w:bookmarkEnd w:id="291"/>
                            <w:r w:rsidR="009A5AC9">
                              <w:t>8</w:t>
                            </w:r>
                            <w:r>
                              <w:t>. First Pictet-Spengler cyclization for the formation of THBC 3.</w:t>
                            </w:r>
                            <w:r>
                              <w:rPr>
                                <w:bCs/>
                              </w:rPr>
                              <w:t>34 (Step 1)</w:t>
                            </w:r>
                            <w:r>
                              <w:t xml:space="preserve">. </w:t>
                            </w:r>
                          </w:p>
                          <w:p w14:paraId="31A78A4C" w14:textId="77777777" w:rsidR="007B7129" w:rsidRPr="008629F4" w:rsidRDefault="007B7129" w:rsidP="007B7129">
                            <w:pPr>
                              <w:spacing w:line="240" w:lineRule="auto"/>
                            </w:pPr>
                            <w:r>
                              <w:t>Reagents and conditions: (a) NaIO</w:t>
                            </w:r>
                            <w:r w:rsidRPr="007D260F">
                              <w:rPr>
                                <w:vertAlign w:val="subscript"/>
                              </w:rPr>
                              <w:t>4</w:t>
                            </w:r>
                            <w:r>
                              <w:t>, Et</w:t>
                            </w:r>
                            <w:r w:rsidRPr="007D260F">
                              <w:rPr>
                                <w:vertAlign w:val="subscript"/>
                              </w:rPr>
                              <w:t>2</w:t>
                            </w:r>
                            <w:r>
                              <w:t xml:space="preserve">O, 1 h, (b) 20% aq. KOH, 1 h, (c) </w:t>
                            </w:r>
                            <w:r w:rsidRPr="00A47204">
                              <w:rPr>
                                <w:b/>
                                <w:bCs/>
                              </w:rPr>
                              <w:t>3.32</w:t>
                            </w:r>
                            <w:r w:rsidRPr="00A47204">
                              <w:t>,</w:t>
                            </w:r>
                            <w:r>
                              <w:t xml:space="preserve"> TFA, Et</w:t>
                            </w:r>
                            <w:r w:rsidRPr="007D260F">
                              <w:rPr>
                                <w:vertAlign w:val="subscript"/>
                              </w:rPr>
                              <w:t>2</w:t>
                            </w:r>
                            <w:r>
                              <w:t xml:space="preserve">O, 0 – 23 </w:t>
                            </w:r>
                            <w:r>
                              <w:rPr>
                                <w:rFonts w:cs="Times New Roman"/>
                              </w:rPr>
                              <w:t>̊</w:t>
                            </w:r>
                            <w:r>
                              <w:t xml:space="preserve">C. </w:t>
                            </w:r>
                          </w:p>
                        </w:txbxContent>
                      </wps:txbx>
                      <wps:bodyPr rot="0" vert="horz" wrap="square" lIns="91440" tIns="45720" rIns="91440" bIns="45720" anchor="t" anchorCtr="0">
                        <a:noAutofit/>
                      </wps:bodyPr>
                    </wps:wsp>
                  </a:graphicData>
                </a:graphic>
              </wp:inline>
            </w:drawing>
          </mc:Choice>
          <mc:Fallback>
            <w:pict>
              <v:shape w14:anchorId="5EC9BD68" id="_x0000_s1087" type="#_x0000_t202" style="width:468pt;height:14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">
                <v:textbox>
                  <w:txbxContent>
                    <w:p w14:paraId="0E5F1990" w14:textId="77777777" w:rsidR="007B7129" w:rsidRDefault="007B7129" w:rsidP="007B7129">
                      <w:pPr>
                        <w:keepNext/>
                        <w:spacing w:line="240" w:lineRule="auto"/>
                        <w:jc w:val="center"/>
                      </w:pPr>
                      <w:r>
                        <w:object w:dxaOrig="6000" w:dyaOrig="1579" w14:anchorId="4F1FB492">
                          <v:shape id="_x0000_i1092" type="#_x0000_t75" style="width:302.95pt;height:79pt">
                            <v:imagedata r:id="rId264" o:title=""/>
                          </v:shape>
                          <o:OLEObject Type="Embed" ProgID="ChemDraw.Document.6.0" ShapeID="_x0000_i1092" DrawAspect="Content" ObjectID="_1713353501" r:id="rId266"/>
                        </w:object>
                      </w:r>
                    </w:p>
                    <w:p w14:paraId="71645897" w14:textId="4325815D" w:rsidR="007B7129" w:rsidRDefault="007B7129" w:rsidP="00DF51F5">
                      <w:pPr>
                        <w:pStyle w:val="Caption"/>
                      </w:pPr>
                      <w:bookmarkStart w:id="292" w:name="_Ref86431511"/>
                      <w:r>
                        <w:t>Scheme 3.</w:t>
                      </w:r>
                      <w:bookmarkEnd w:id="292"/>
                      <w:r w:rsidR="009A5AC9">
                        <w:t>8</w:t>
                      </w:r>
                      <w:r>
                        <w:t>. First Pictet-Spengler cyclization for the formation of THBC 3.</w:t>
                      </w:r>
                      <w:r>
                        <w:rPr>
                          <w:bCs/>
                        </w:rPr>
                        <w:t>34 (Step 1)</w:t>
                      </w:r>
                      <w:r>
                        <w:t xml:space="preserve">. </w:t>
                      </w:r>
                    </w:p>
                    <w:p w14:paraId="31A78A4C" w14:textId="77777777" w:rsidR="007B7129" w:rsidRPr="008629F4" w:rsidRDefault="007B7129" w:rsidP="007B7129">
                      <w:pPr>
                        <w:spacing w:line="240" w:lineRule="auto"/>
                      </w:pPr>
                      <w:r>
                        <w:t>Reagents and conditions: (a) NaIO</w:t>
                      </w:r>
                      <w:r w:rsidRPr="007D260F">
                        <w:rPr>
                          <w:vertAlign w:val="subscript"/>
                        </w:rPr>
                        <w:t>4</w:t>
                      </w:r>
                      <w:r>
                        <w:t>, Et</w:t>
                      </w:r>
                      <w:r w:rsidRPr="007D260F">
                        <w:rPr>
                          <w:vertAlign w:val="subscript"/>
                        </w:rPr>
                        <w:t>2</w:t>
                      </w:r>
                      <w:r>
                        <w:t xml:space="preserve">O, 1 h, (b) 20% aq. KOH, 1 h, (c) </w:t>
                      </w:r>
                      <w:r w:rsidRPr="00A47204">
                        <w:rPr>
                          <w:b/>
                          <w:bCs/>
                        </w:rPr>
                        <w:t>3.32</w:t>
                      </w:r>
                      <w:r w:rsidRPr="00A47204">
                        <w:t>,</w:t>
                      </w:r>
                      <w:r>
                        <w:t xml:space="preserve"> TFA, Et</w:t>
                      </w:r>
                      <w:r w:rsidRPr="007D260F">
                        <w:rPr>
                          <w:vertAlign w:val="subscript"/>
                        </w:rPr>
                        <w:t>2</w:t>
                      </w:r>
                      <w:r>
                        <w:t xml:space="preserve">O, 0 – 23 </w:t>
                      </w:r>
                      <w:r>
                        <w:rPr>
                          <w:rFonts w:cs="Times New Roman"/>
                        </w:rPr>
                        <w:t>̊</w:t>
                      </w:r>
                      <w:r>
                        <w:t xml:space="preserve">C. </w:t>
                      </w:r>
                    </w:p>
                  </w:txbxContent>
                </v:textbox>
                <w10:anchorlock/>
              </v:shape>
            </w:pict>
          </mc:Fallback>
        </mc:AlternateContent>
      </w:r>
    </w:p>
    <w:p w14:paraId="5076AE96" w14:textId="0014AA3A" w:rsidR="007B7129" w:rsidRPr="007B7129" w:rsidRDefault="007B7129" w:rsidP="005C5841">
      <w:pPr>
        <w:spacing w:after="0"/>
        <w:ind w:firstLine="360"/>
        <w:rPr>
          <w:rFonts w:eastAsia="Times New Roman" w:cs="Times New Roman"/>
          <w:szCs w:val="20"/>
        </w:rPr>
      </w:pPr>
      <w:r w:rsidRPr="007B7129">
        <w:rPr>
          <w:rFonts w:eastAsia="Times New Roman" w:cs="Times New Roman"/>
          <w:szCs w:val="20"/>
        </w:rPr>
        <w:t>This gradual temperature increase improved the yield significantly, more than double compared to the room temperature reaction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_Ref86431591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3.2</w:t>
      </w:r>
      <w:r w:rsidRPr="007B7129">
        <w:rPr>
          <w:rFonts w:eastAsia="Times New Roman" w:cs="Times New Roman"/>
          <w:b/>
          <w:bCs/>
          <w:szCs w:val="20"/>
        </w:rPr>
        <w:fldChar w:fldCharType="end"/>
      </w:r>
      <w:r w:rsidRPr="007B7129">
        <w:rPr>
          <w:rFonts w:eastAsia="Times New Roman" w:cs="Times New Roman"/>
          <w:szCs w:val="20"/>
        </w:rPr>
        <w:t>, entry 4). Upon this discovery, I then tried slowing the addition of the acid, adding the TFA dropwise over the course of 0, 10, or 60 minutes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_Ref86431591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3.2</w:t>
      </w:r>
      <w:r w:rsidRPr="007B7129">
        <w:rPr>
          <w:rFonts w:eastAsia="Times New Roman" w:cs="Times New Roman"/>
          <w:b/>
          <w:bCs/>
          <w:szCs w:val="20"/>
        </w:rPr>
        <w:fldChar w:fldCharType="end"/>
      </w:r>
      <w:r w:rsidRPr="007B7129">
        <w:rPr>
          <w:rFonts w:eastAsia="Times New Roman" w:cs="Times New Roman"/>
          <w:szCs w:val="20"/>
        </w:rPr>
        <w:t>, entries 4 – 6), resulting in a significant yield increase to 65%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_Ref86431591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3.2</w:t>
      </w:r>
      <w:r w:rsidRPr="007B7129">
        <w:rPr>
          <w:rFonts w:eastAsia="Times New Roman" w:cs="Times New Roman"/>
          <w:b/>
          <w:bCs/>
          <w:szCs w:val="20"/>
        </w:rPr>
        <w:fldChar w:fldCharType="end"/>
      </w:r>
      <w:r w:rsidRPr="007B7129">
        <w:rPr>
          <w:rFonts w:eastAsia="Times New Roman" w:cs="Times New Roman"/>
          <w:szCs w:val="20"/>
        </w:rPr>
        <w:t>, entry 6), a ~3-fold improvement from the initial conditions. These newfound reaction conditions were standard for most of the total synthesis process: two equivalents of TFA added dropwise over one hour in DCM at 0 ̊C. Yields remained modest (55 – 65%), however, and it was not until a serendipitous change of solvent to diethyl ether when yields improved significantly to &gt;85%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_Ref86431591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3.2</w:t>
      </w:r>
      <w:r w:rsidRPr="007B7129">
        <w:rPr>
          <w:rFonts w:eastAsia="Times New Roman" w:cs="Times New Roman"/>
          <w:b/>
          <w:bCs/>
          <w:szCs w:val="20"/>
        </w:rPr>
        <w:fldChar w:fldCharType="end"/>
      </w:r>
      <w:r w:rsidRPr="007B7129">
        <w:rPr>
          <w:rFonts w:eastAsia="Times New Roman" w:cs="Times New Roman"/>
          <w:szCs w:val="20"/>
        </w:rPr>
        <w:t xml:space="preserve">, entry 8). I chose to try ether as an alternative solvent simply because the previous reaction to form aldehyde </w:t>
      </w:r>
      <w:r w:rsidRPr="007B7129">
        <w:rPr>
          <w:rFonts w:eastAsia="Times New Roman" w:cs="Times New Roman"/>
          <w:b/>
          <w:bCs/>
          <w:szCs w:val="20"/>
        </w:rPr>
        <w:t>3.33</w:t>
      </w:r>
      <w:r w:rsidRPr="007B7129">
        <w:rPr>
          <w:rFonts w:eastAsia="Times New Roman" w:cs="Times New Roman"/>
          <w:szCs w:val="20"/>
        </w:rPr>
        <w:t xml:space="preserve"> was unintentionally diluted with twice the amount of ether than usual and adding DCM would have necessitated a larger reaction vessel. Thusly, the optimized reaction conditions for the first step of this total synthesis were identified as requiring slow addition of TFA into a mixture of compound </w:t>
      </w:r>
      <w:r w:rsidRPr="007B7129">
        <w:rPr>
          <w:rFonts w:eastAsia="Times New Roman" w:cs="Times New Roman"/>
          <w:b/>
          <w:bCs/>
          <w:szCs w:val="20"/>
        </w:rPr>
        <w:t>3.33</w:t>
      </w:r>
      <w:r w:rsidRPr="007B7129">
        <w:rPr>
          <w:rFonts w:eastAsia="Times New Roman" w:cs="Times New Roman"/>
          <w:szCs w:val="20"/>
        </w:rPr>
        <w:t xml:space="preserve"> and tryptamine </w:t>
      </w:r>
      <w:r w:rsidRPr="007B7129">
        <w:rPr>
          <w:rFonts w:eastAsia="Times New Roman" w:cs="Times New Roman"/>
          <w:b/>
          <w:bCs/>
          <w:szCs w:val="20"/>
        </w:rPr>
        <w:t>3.32</w:t>
      </w:r>
      <w:r w:rsidRPr="007B7129">
        <w:rPr>
          <w:rFonts w:eastAsia="Times New Roman" w:cs="Times New Roman"/>
          <w:szCs w:val="20"/>
        </w:rPr>
        <w:t xml:space="preserve"> in ether at 0 ̊C, followed by gradual </w:t>
      </w:r>
      <w:r w:rsidRPr="007B7129">
        <w:rPr>
          <w:rFonts w:eastAsia="Times New Roman" w:cs="Times New Roman"/>
          <w:szCs w:val="20"/>
        </w:rPr>
        <w:lastRenderedPageBreak/>
        <w:t>warming to ambient temperature until full conversion of the tryptamine starting material was observed by TLC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_Ref86431511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Pr="007B7129">
        <w:rPr>
          <w:rFonts w:eastAsia="Times New Roman" w:cs="Times New Roman"/>
          <w:szCs w:val="20"/>
        </w:rPr>
        <w:t>).</w:t>
      </w:r>
    </w:p>
    <w:p w14:paraId="741488E8" w14:textId="1E67BE01" w:rsidR="007B7129" w:rsidRPr="007B7129" w:rsidRDefault="007B7129" w:rsidP="00EC026C">
      <w:pPr>
        <w:pStyle w:val="Subsection"/>
      </w:pPr>
      <w:bookmarkStart w:id="293" w:name="_Toc97337855"/>
      <w:bookmarkStart w:id="294" w:name="_Toc100241910"/>
      <w:bookmarkStart w:id="295" w:name="_Toc102586274"/>
      <w:r w:rsidRPr="007B7129">
        <w:t>3.3.2 Step 2: Oxidative aromatization of THBC 3.</w:t>
      </w:r>
      <w:r w:rsidRPr="007B7129">
        <w:rPr>
          <w:bCs/>
        </w:rPr>
        <w:t>34</w:t>
      </w:r>
      <w:bookmarkEnd w:id="293"/>
      <w:bookmarkEnd w:id="294"/>
      <w:r w:rsidR="00EC026C">
        <w:rPr>
          <w:bCs/>
        </w:rPr>
        <w:t>.</w:t>
      </w:r>
      <w:bookmarkEnd w:id="295"/>
    </w:p>
    <w:p w14:paraId="52D51302" w14:textId="6A49AAA2" w:rsidR="007B7129" w:rsidRPr="007B7129" w:rsidRDefault="007B7129" w:rsidP="000624E1">
      <w:pPr>
        <w:spacing w:after="0"/>
        <w:ind w:firstLine="720"/>
        <w:rPr>
          <w:rFonts w:eastAsia="Times New Roman" w:cs="Times New Roman"/>
          <w:noProof/>
          <w:szCs w:val="20"/>
        </w:rPr>
      </w:pPr>
      <w:r w:rsidRPr="007B7129">
        <w:rPr>
          <w:rFonts w:eastAsia="Times New Roman" w:cs="Times New Roman"/>
          <w:szCs w:val="20"/>
        </w:rPr>
        <w:t xml:space="preserve">While </w:t>
      </w:r>
      <w:r w:rsidRPr="007B7129">
        <w:rPr>
          <w:rFonts w:eastAsia="Times New Roman" w:cs="Times New Roman"/>
          <w:b/>
          <w:bCs/>
          <w:szCs w:val="20"/>
        </w:rPr>
        <w:t>Step 1</w:t>
      </w:r>
      <w:r w:rsidRPr="007B7129">
        <w:rPr>
          <w:rFonts w:eastAsia="Times New Roman" w:cs="Times New Roman"/>
          <w:szCs w:val="20"/>
        </w:rPr>
        <w:t xml:space="preserve"> provided the THBC skeleton for β-carboline </w:t>
      </w:r>
      <w:r w:rsidRPr="007B7129">
        <w:rPr>
          <w:rFonts w:eastAsia="Times New Roman" w:cs="Times New Roman"/>
          <w:b/>
          <w:bCs/>
          <w:szCs w:val="20"/>
        </w:rPr>
        <w:t>A</w:t>
      </w:r>
      <w:r w:rsidRPr="007B7129">
        <w:rPr>
          <w:rFonts w:eastAsia="Times New Roman" w:cs="Times New Roman"/>
          <w:szCs w:val="20"/>
        </w:rPr>
        <w:t xml:space="preserve">, it was speculated that aromatization must be completed before the envisioned upcoming oxidative cleavage of the olefin, because the free secondary amine present in THBC </w:t>
      </w:r>
      <w:r w:rsidRPr="007B7129">
        <w:rPr>
          <w:rFonts w:eastAsia="Times New Roman" w:cs="Times New Roman"/>
          <w:b/>
          <w:bCs/>
          <w:szCs w:val="20"/>
        </w:rPr>
        <w:t>3.34</w:t>
      </w:r>
      <w:r w:rsidRPr="007B7129">
        <w:rPr>
          <w:rFonts w:eastAsia="Times New Roman" w:cs="Times New Roman"/>
          <w:szCs w:val="20"/>
        </w:rPr>
        <w:t xml:space="preserve"> might provide problematic side products. The aromatization reaction for the formation of β-carboline </w:t>
      </w:r>
      <w:r w:rsidRPr="007B7129">
        <w:rPr>
          <w:rFonts w:eastAsia="Times New Roman" w:cs="Times New Roman"/>
          <w:b/>
          <w:bCs/>
          <w:szCs w:val="20"/>
        </w:rPr>
        <w:t xml:space="preserve">3.36 </w:t>
      </w:r>
      <w:r w:rsidRPr="007B7129">
        <w:rPr>
          <w:rFonts w:eastAsia="Times New Roman" w:cs="Times New Roman"/>
          <w:szCs w:val="20"/>
        </w:rPr>
        <w:t xml:space="preserve">will be referred to as </w:t>
      </w:r>
      <w:r w:rsidRPr="007B7129">
        <w:rPr>
          <w:rFonts w:eastAsia="Times New Roman" w:cs="Times New Roman"/>
          <w:b/>
          <w:bCs/>
          <w:szCs w:val="20"/>
        </w:rPr>
        <w:t>Step 2</w:t>
      </w:r>
      <w:r w:rsidRPr="007B7129">
        <w:rPr>
          <w:rFonts w:eastAsia="Times New Roman" w:cs="Times New Roman"/>
          <w:szCs w:val="20"/>
        </w:rPr>
        <w:t xml:space="preserve"> hereafter (</w:t>
      </w:r>
      <w:r w:rsidR="000D043E" w:rsidRPr="000D043E">
        <w:rPr>
          <w:rFonts w:eastAsia="Times New Roman" w:cs="Times New Roman"/>
          <w:b/>
          <w:bCs/>
          <w:szCs w:val="20"/>
        </w:rPr>
        <w:fldChar w:fldCharType="begin"/>
      </w:r>
      <w:r w:rsidR="000D043E" w:rsidRPr="000D043E">
        <w:rPr>
          <w:rFonts w:eastAsia="Times New Roman" w:cs="Times New Roman"/>
          <w:b/>
          <w:bCs/>
          <w:szCs w:val="20"/>
        </w:rPr>
        <w:instrText xml:space="preserve"> REF _Ref102583071 \h </w:instrText>
      </w:r>
      <w:r w:rsidR="000D043E">
        <w:rPr>
          <w:rFonts w:eastAsia="Times New Roman" w:cs="Times New Roman"/>
          <w:b/>
          <w:bCs/>
          <w:szCs w:val="20"/>
        </w:rPr>
        <w:instrText xml:space="preserve"> \* MERGEFORMAT </w:instrText>
      </w:r>
      <w:r w:rsidR="000D043E" w:rsidRPr="000D043E">
        <w:rPr>
          <w:rFonts w:eastAsia="Times New Roman" w:cs="Times New Roman"/>
          <w:b/>
          <w:bCs/>
          <w:szCs w:val="20"/>
        </w:rPr>
      </w:r>
      <w:r w:rsidR="000D043E" w:rsidRPr="000D043E">
        <w:rPr>
          <w:rFonts w:eastAsia="Times New Roman" w:cs="Times New Roman"/>
          <w:b/>
          <w:bCs/>
          <w:szCs w:val="20"/>
        </w:rPr>
        <w:fldChar w:fldCharType="separate"/>
      </w:r>
      <w:r w:rsidR="00AA5AAC" w:rsidRPr="00AA5AAC">
        <w:rPr>
          <w:b/>
          <w:bCs/>
        </w:rPr>
        <w:t>Figure 3.6</w:t>
      </w:r>
      <w:r w:rsidR="000D043E" w:rsidRPr="000D043E">
        <w:rPr>
          <w:rFonts w:eastAsia="Times New Roman" w:cs="Times New Roman"/>
          <w:b/>
          <w:bCs/>
          <w:szCs w:val="20"/>
        </w:rPr>
        <w:fldChar w:fldCharType="end"/>
      </w:r>
      <w:r w:rsidRPr="007B7129">
        <w:rPr>
          <w:rFonts w:eastAsia="Times New Roman" w:cs="Times New Roman"/>
          <w:szCs w:val="20"/>
        </w:rPr>
        <w:t xml:space="preserve">). Despite the extensive amount of oxidative or dehydrogenative conditions available and attempted for this aromatization reaction, the best obtainable yields for </w:t>
      </w:r>
      <w:r w:rsidRPr="007B7129">
        <w:rPr>
          <w:rFonts w:eastAsia="Times New Roman" w:cs="Times New Roman"/>
          <w:b/>
          <w:bCs/>
          <w:szCs w:val="20"/>
        </w:rPr>
        <w:t xml:space="preserve">Step 2 </w:t>
      </w:r>
      <w:r w:rsidRPr="007B7129">
        <w:rPr>
          <w:rFonts w:eastAsia="Times New Roman" w:cs="Times New Roman"/>
          <w:szCs w:val="20"/>
        </w:rPr>
        <w:t>were found to be rather humbling. Therefore, the success of this reaction was measured not only based on reproducible yields but also for the ability to recover the THBC starting material, especially when the THBC emerged from expensive or difficult to obtain tryptamines.</w:t>
      </w:r>
      <w:r w:rsidRPr="007B7129">
        <w:rPr>
          <w:rFonts w:eastAsia="Times New Roman" w:cs="Times New Roman"/>
          <w:noProof/>
          <w:szCs w:val="20"/>
        </w:rPr>
        <w:t xml:space="preserve"> </w:t>
      </w:r>
    </w:p>
    <w:p w14:paraId="53470EC3" w14:textId="77777777" w:rsidR="007B7129" w:rsidRPr="007B7129" w:rsidRDefault="007B7129" w:rsidP="007B7129">
      <w:pPr>
        <w:spacing w:after="0"/>
        <w:ind w:left="720" w:firstLine="720"/>
        <w:rPr>
          <w:rFonts w:eastAsia="Times New Roman" w:cs="Times New Roman"/>
          <w:szCs w:val="20"/>
        </w:rPr>
      </w:pPr>
      <w:r w:rsidRPr="007B7129">
        <w:rPr>
          <w:rFonts w:eastAsia="Times New Roman" w:cs="Times New Roman"/>
          <w:noProof/>
          <w:szCs w:val="20"/>
        </w:rPr>
        <mc:AlternateContent>
          <mc:Choice Requires="wps">
            <w:drawing>
              <wp:inline distT="0" distB="0" distL="0" distR="0" wp14:anchorId="0CECDCEB" wp14:editId="75E3EC6C">
                <wp:extent cx="4197985" cy="1415332"/>
                <wp:effectExtent l="0" t="0" r="12065" b="13970"/>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985" cy="1415332"/>
                        </a:xfrm>
                        <a:prstGeom prst="rect">
                          <a:avLst/>
                        </a:prstGeom>
                        <a:solidFill>
                          <a:srgbClr val="FFFFFF"/>
                        </a:solidFill>
                        <a:ln w="9525">
                          <a:solidFill>
                            <a:srgbClr val="000000"/>
                          </a:solidFill>
                          <a:miter lim="800000"/>
                          <a:headEnd/>
                          <a:tailEnd/>
                        </a:ln>
                      </wps:spPr>
                      <wps:txbx>
                        <w:txbxContent>
                          <w:p w14:paraId="4D5A72FD" w14:textId="77777777" w:rsidR="00183BAD" w:rsidRDefault="007B7129" w:rsidP="00183BAD">
                            <w:pPr>
                              <w:keepNext/>
                              <w:spacing w:after="0"/>
                              <w:jc w:val="center"/>
                            </w:pPr>
                            <w:r>
                              <w:object w:dxaOrig="6154" w:dyaOrig="1485" w14:anchorId="2F730FEF">
                                <v:shape id="_x0000_i1093" type="#_x0000_t75" style="width:308.1pt;height:74.35pt">
                                  <v:imagedata r:id="rId267" o:title=""/>
                                </v:shape>
                                <o:OLEObject Type="Embed" ProgID="ChemDraw.Document.6.0" ShapeID="_x0000_i1093" DrawAspect="Content" ObjectID="_1713353502" r:id="rId268"/>
                              </w:object>
                            </w:r>
                          </w:p>
                          <w:p w14:paraId="16F031A9" w14:textId="2BC5E884" w:rsidR="007B7129" w:rsidRDefault="00183BAD" w:rsidP="00DF51F5">
                            <w:pPr>
                              <w:pStyle w:val="Caption"/>
                            </w:pPr>
                            <w:bookmarkStart w:id="296" w:name="_Ref102583071"/>
                            <w:bookmarkStart w:id="297" w:name="_Toc100748313"/>
                            <w:r>
                              <w:t>Figure 3.</w:t>
                            </w:r>
                            <w:fldSimple w:instr=" SEQ Figure \* ARABIC ">
                              <w:r w:rsidR="00AA5AAC">
                                <w:rPr>
                                  <w:noProof/>
                                </w:rPr>
                                <w:t>6</w:t>
                              </w:r>
                            </w:fldSimple>
                            <w:bookmarkEnd w:id="296"/>
                            <w:r>
                              <w:t>.</w:t>
                            </w:r>
                            <w:bookmarkStart w:id="298" w:name="_Toc100243259"/>
                            <w:r w:rsidR="007B7129">
                              <w:t xml:space="preserve"> Generalized reaction for Step 2.</w:t>
                            </w:r>
                            <w:bookmarkEnd w:id="297"/>
                            <w:bookmarkEnd w:id="298"/>
                          </w:p>
                        </w:txbxContent>
                      </wps:txbx>
                      <wps:bodyPr rot="0" vert="horz" wrap="square" lIns="91440" tIns="45720" rIns="91440" bIns="45720" anchor="t" anchorCtr="0">
                        <a:noAutofit/>
                      </wps:bodyPr>
                    </wps:wsp>
                  </a:graphicData>
                </a:graphic>
              </wp:inline>
            </w:drawing>
          </mc:Choice>
          <mc:Fallback>
            <w:pict>
              <v:shape w14:anchorId="0CECDCEB" id="_x0000_s1088" type="#_x0000_t202" style="width:330.55pt;height:11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">
                <v:textbox>
                  <w:txbxContent>
                    <w:p w14:paraId="4D5A72FD" w14:textId="77777777" w:rsidR="00183BAD" w:rsidRDefault="007B7129" w:rsidP="00183BAD">
                      <w:pPr>
                        <w:keepNext/>
                        <w:spacing w:after="0"/>
                        <w:jc w:val="center"/>
                      </w:pPr>
                      <w:r>
                        <w:object w:dxaOrig="6154" w:dyaOrig="1485" w14:anchorId="2F730FEF">
                          <v:shape id="_x0000_i1093" type="#_x0000_t75" style="width:308.1pt;height:74.35pt">
                            <v:imagedata r:id="rId267" o:title=""/>
                          </v:shape>
                          <o:OLEObject Type="Embed" ProgID="ChemDraw.Document.6.0" ShapeID="_x0000_i1093" DrawAspect="Content" ObjectID="_1713353502" r:id="rId269"/>
                        </w:object>
                      </w:r>
                    </w:p>
                    <w:p w14:paraId="16F031A9" w14:textId="2BC5E884" w:rsidR="007B7129" w:rsidRDefault="00183BAD" w:rsidP="00DF51F5">
                      <w:pPr>
                        <w:pStyle w:val="Caption"/>
                      </w:pPr>
                      <w:bookmarkStart w:id="299" w:name="_Ref102583071"/>
                      <w:bookmarkStart w:id="300" w:name="_Toc100748313"/>
                      <w:r>
                        <w:t>Figure 3.</w:t>
                      </w:r>
                      <w:fldSimple w:instr=" SEQ Figure \* ARABIC ">
                        <w:r w:rsidR="00AA5AAC">
                          <w:rPr>
                            <w:noProof/>
                          </w:rPr>
                          <w:t>6</w:t>
                        </w:r>
                      </w:fldSimple>
                      <w:bookmarkEnd w:id="299"/>
                      <w:r>
                        <w:t>.</w:t>
                      </w:r>
                      <w:bookmarkStart w:id="301" w:name="_Toc100243259"/>
                      <w:r w:rsidR="007B7129">
                        <w:t xml:space="preserve"> Generalized reaction for Step 2.</w:t>
                      </w:r>
                      <w:bookmarkEnd w:id="300"/>
                      <w:bookmarkEnd w:id="301"/>
                    </w:p>
                  </w:txbxContent>
                </v:textbox>
                <w10:anchorlock/>
              </v:shape>
            </w:pict>
          </mc:Fallback>
        </mc:AlternateContent>
      </w:r>
    </w:p>
    <w:p w14:paraId="680E4347" w14:textId="0A71C20B"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Dehydrogenative aromatization reactions of THBCs are generally mediated by stoichiometric oxidants such as sulfur,</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{"citationID":"lF9UfJGy","properties":{"formattedCitation":"\\super 45\\nosupersub{}","plainCitation":"45","noteIndex":0},"citationItems":[{"id":292,"uris":["http://zotero.org/users/6503767/items/H9GSTWRW"],"itemData":{"id":292,"type":"article-journal","container-title":"ChemMedChem","DOI":"10.1002/cmdc.201300406","ISSN":"18607179","issue":"9","journalAbbreviation":"Chem. Med. Chem.","language":"en","page":"2084-2098","source":"DOI.org (Crossref)","title":"Design and Synthesis of C3-Pyrazole/Chalcone-Linked Beta-Carboline Hybrids: Antitopoisomerase I, DNA-Interactive, and Apoptosis-Inducing Anticancer Agents","title-short":"Design and Synthesis of C3-Pyrazole/Chalcone-Linked Beta-Carboline Hybrids","volume":"9","author":[{"family":"Kamal","given":"Ahmed"},{"family":"Srinivasulu","given":"Vunnam"},{"family":"Nayak","given":"V. Lakshma"},{"family":"Sathish","given":"Manda"},{"family":"Shankaraiah","given":"Nagula"},{"family":"Bagul","given":"Chandrakant"},{"family":"Reddy","given":"N. V. Subba"},{"family":"Rangaraj","given":"Nandini"},{"family":"Nagesh","given":"Narayana"}],"issued":{"date-parts":[["2014",9]]}}}],"schema":"https://github.com/citation-style-language/schema/raw/master/csl-citation.json"}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45</w:t>
      </w:r>
      <w:r w:rsidRPr="007B7129">
        <w:rPr>
          <w:rFonts w:eastAsia="Times New Roman" w:cs="Times New Roman"/>
          <w:szCs w:val="20"/>
        </w:rPr>
        <w:fldChar w:fldCharType="end"/>
      </w:r>
      <w:r w:rsidRPr="007B7129">
        <w:rPr>
          <w:rFonts w:eastAsia="Times New Roman" w:cs="Times New Roman"/>
          <w:szCs w:val="20"/>
        </w:rPr>
        <w:t xml:space="preserve"> potassium permanganate (KMnO</w:t>
      </w:r>
      <w:r w:rsidRPr="007B7129">
        <w:rPr>
          <w:rFonts w:eastAsia="Times New Roman" w:cs="Times New Roman"/>
          <w:szCs w:val="20"/>
          <w:vertAlign w:val="subscript"/>
        </w:rPr>
        <w:t>4</w:t>
      </w:r>
      <w:r w:rsidRPr="007B7129">
        <w:rPr>
          <w:rFonts w:eastAsia="Times New Roman" w:cs="Times New Roman"/>
          <w:szCs w:val="20"/>
        </w:rPr>
        <w:t>), manganese dioxide (MnO</w:t>
      </w:r>
      <w:r w:rsidRPr="007B7129">
        <w:rPr>
          <w:rFonts w:eastAsia="Times New Roman" w:cs="Times New Roman"/>
          <w:szCs w:val="20"/>
          <w:vertAlign w:val="subscript"/>
        </w:rPr>
        <w:t>2</w:t>
      </w:r>
      <w:r w:rsidRPr="007B7129">
        <w:rPr>
          <w:rFonts w:eastAsia="Times New Roman" w:cs="Times New Roman"/>
          <w:szCs w:val="20"/>
        </w:rPr>
        <w:t>), selenium dioxide (SeO</w:t>
      </w:r>
      <w:r w:rsidRPr="007B7129">
        <w:rPr>
          <w:rFonts w:eastAsia="Times New Roman" w:cs="Times New Roman"/>
          <w:szCs w:val="20"/>
          <w:vertAlign w:val="subscript"/>
        </w:rPr>
        <w:t>2</w:t>
      </w:r>
      <w:r w:rsidRPr="007B7129">
        <w:rPr>
          <w:rFonts w:eastAsia="Times New Roman" w:cs="Times New Roman"/>
          <w:szCs w:val="20"/>
        </w:rPr>
        <w:t>),</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{"citationID":"tE70OD6F","properties":{"formattedCitation":"\\super 46\\nosupersub{}","plainCitation":"46","noteIndex":0},"citationItems":[{"id":304,"uris":["http://zotero.org/users/6503767/items/2KXAHAAF"],"itemData":{"id":304,"type":"article-journal","abstract":"A number of different piperidoindole systems have been subjected to oxidation with selenium dioxide. The bonding between the indole and piperidine unit has been varied to provide different systems, the oxidation of which has led to formation of either 2-acyl- or 3-acylindoles or fully aromatic /3-carbolines, depending on the substrate chosen. The pattern of reactivity observed was in complete agreement with the ene mechanism proposed for selenium dioxide oxidations, and this can be employed to predict the regiochemistry of the oxidation. Use of this technology has resulted in a two-step synthesis of the indole alkaloid canthin-6-one (30a).","language":"en","page":"7","source":"Zotero","title":"Selenium Dioxide Oxidations in the Indole Area. Synthesis of /3-Carboline Alkaloids","author":[{"family":"Cain","given":"M"},{"family":"Campos","given":"O"},{"family":"Guzman","given":"F"},{"family":"Cook","given":"J M"}]}}],"schema":"https://github.com/citation-style-language/schema/raw/master/csl-citation.json"}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46</w:t>
      </w:r>
      <w:r w:rsidRPr="007B7129">
        <w:rPr>
          <w:rFonts w:eastAsia="Times New Roman" w:cs="Times New Roman"/>
          <w:szCs w:val="20"/>
        </w:rPr>
        <w:fldChar w:fldCharType="end"/>
      </w:r>
      <w:r w:rsidRPr="007B7129">
        <w:rPr>
          <w:rFonts w:eastAsia="Times New Roman" w:cs="Times New Roman"/>
          <w:szCs w:val="20"/>
        </w:rPr>
        <w:t xml:space="preserve"> hydrogen peroxide (H</w:t>
      </w:r>
      <w:r w:rsidRPr="007B7129">
        <w:rPr>
          <w:rFonts w:eastAsia="Times New Roman" w:cs="Times New Roman"/>
          <w:szCs w:val="20"/>
          <w:vertAlign w:val="subscript"/>
        </w:rPr>
        <w:t>2</w:t>
      </w:r>
      <w:r w:rsidRPr="007B7129">
        <w:rPr>
          <w:rFonts w:eastAsia="Times New Roman" w:cs="Times New Roman"/>
          <w:szCs w:val="20"/>
        </w:rPr>
        <w:t>O</w:t>
      </w:r>
      <w:r w:rsidRPr="007B7129">
        <w:rPr>
          <w:rFonts w:eastAsia="Times New Roman" w:cs="Times New Roman"/>
          <w:szCs w:val="20"/>
          <w:vertAlign w:val="subscript"/>
        </w:rPr>
        <w:t>2</w:t>
      </w:r>
      <w:r w:rsidRPr="007B7129">
        <w:rPr>
          <w:rFonts w:eastAsia="Times New Roman" w:cs="Times New Roman"/>
          <w:szCs w:val="20"/>
        </w:rPr>
        <w:t>),</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{"citationID":"7lCWZXo0","properties":{"formattedCitation":"\\super 47\\nosupersub{}","plainCitation":"47","noteIndex":0},"citationItems":[{"id":298,"uris":["http://zotero.org/users/6503767/items/WGCI7D92"],"itemData":{"id":298,"type":"article-journal","abstract":"Temperature controlled chemoselective dehydrogenation and aromatization of tetrahydro-b-carbolines, using molecular I2 and H2O2, in DMSO solvent affords a practical access to a series of corresponding 3,4dihydro-b-carbolines and b-carbolines respectively. This method has been successfully employed in the short synthesis of Kumujian-C, Eudistomin-U, Norharmane Harmane Harmalan and Isoeudistomin-M.","container-title":"Tetrahedron Letters","DOI":"10.1016/j.tetlet.2018.04.043","ISSN":"00404039","issue":"25","journalAbbreviation":"Tetrahedron Letters","language":"en","page":"2387-2392","source":"DOI.org (Crossref)","title":"Iodine-catalyzed chemoselective dehydrogenation and aromatization of tetrahydro-β-carbolines: A short synthesis of Kumujian-C, Eudistomin-U, Norharmane, Harmane Harmalan and Isoeudistomine-M","title-short":"Iodine-catalyzed chemoselective dehydrogenation and aromatization of tetrahydro-β-carbolines","volume":"59","author":[{"family":"Gaikwad","given":"Sunil"},{"family":"Kamble","given":"Dayanand"},{"family":"Lokhande","given":"Pradeep"}],"issued":{"date-parts":[["2018",6]]}}}],"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47</w:t>
      </w:r>
      <w:r w:rsidRPr="007B7129">
        <w:rPr>
          <w:rFonts w:eastAsia="Times New Roman" w:cs="Times New Roman"/>
          <w:szCs w:val="20"/>
        </w:rPr>
        <w:fldChar w:fldCharType="end"/>
      </w:r>
      <w:r w:rsidRPr="007B7129">
        <w:rPr>
          <w:rFonts w:eastAsia="Times New Roman" w:cs="Times New Roman"/>
          <w:szCs w:val="20"/>
        </w:rPr>
        <w:t xml:space="preserve"> hypervalent iodine species such as </w:t>
      </w:r>
      <w:proofErr w:type="spellStart"/>
      <w:r w:rsidRPr="007B7129">
        <w:rPr>
          <w:rFonts w:eastAsia="Times New Roman" w:cs="Times New Roman"/>
          <w:szCs w:val="20"/>
        </w:rPr>
        <w:t>iodosobenzene</w:t>
      </w:r>
      <w:proofErr w:type="spellEnd"/>
      <w:r w:rsidRPr="007B7129">
        <w:rPr>
          <w:rFonts w:eastAsia="Times New Roman" w:cs="Times New Roman"/>
          <w:szCs w:val="20"/>
        </w:rPr>
        <w:t xml:space="preserve"> or iodoxybenzoic acid (IBX),</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{"citationID":"YhSOMvLF","properties":{"formattedCitation":"\\super 15,16\\nosupersub{}","plainCitation":"15,16","dontUpdate":true,"noteIndex":0},"citationItems":[{"id":298,"uris":["http://zotero.org/users/6503767/items/WGCI7D92"],"itemData":{"id":298,"type":"article-journal","abstract":"Temperature controlled chemoselective dehydrogenation and aromatization of tetrahydro-b-carbolines, using molecular I2 and H2O2, in DMSO solvent affords a practical access to a series of corresponding 3,4dihydro-b-carbolines and b-carbolines respectively. This method has been successfully employed in the short synthesis of Kumujian-C, Eudistomin-U, Norharmane Harmane Harmalan and Isoeudistomin-M.","container-title":"Tetrahedron Letters","DOI":"10.1016/j.tetlet.2018.04.043","ISSN":"00404039","issue":"25","journalAbbreviation":"Tetrahedron Letters","language":"en","page":"2387-2392","source":"DOI.org (Crossref)","title":"Iodine-catalyzed chemoselective dehydrogenation and aromatization of tetrahydro-β-carbolines: A short synthesis of Kumujian-C, Eudistomin-U, Norharmane, Harmane Harmalan and Isoeudistomine-M","title-short":"Iodine-catalyzed chemoselective dehydrogenation and aromatization of tetrahydro-β-carbolines","volume":"59","author":[{"family":"Gaikwad","given":"Sunil"},{"family":"Kamble","given":"Dayanand"},{"family":"Lokhande","given":"Pradeep"}],"issued":{"date-parts":[["2018",6]]}}},{"id":302,"uris":["http://zotero.org/users/6503767/items/FSZ2YV35"],"itemData":{"id":302,"type":"article-journal","abstract":"A new strategy for synthesis of β-carbolines\n              via\n              one-pot oxidative decarboxylation at room temperature is developed for the first time.\n            \n          , \n            \n              Iodobenzene diacetate was employed as a mild and efficient reagent for one-pot oxidative decarboxylation of tetrahydro-β-carboline acids and dehydrogenation of tetrahydro-β-carbolines to access the corresponding aromatic β-carbolines. To the best of our knowledge this is the first synthesis of β-carbolines\n              via\n              a one-pot oxidative decarboxylation at ambient temperature. The utility of this protocol has been demonstrated in the synthesis of β-carboline alkaloids norharmane (\n              2o\n              ), harmane (\n              2p\n              ), eudistomin U (\n              9\n              ) and eudistomin I (\n              12\n              ).","container-title":"Organic &amp; Biomolecular Chemistry","DOI":"10.1039/C5OB00871A","ISSN":"1477-0520, 1477-0539","issue":"32","journalAbbreviation":"Org. Biomol. Chem.","language":"en","page":"8652-8662","source":"DOI.org (Crossref)","title":"PhI(OAc) &lt;sub&gt;2&lt;/sub&gt; -mediated one-pot oxidative decarboxylation and aromatization of tetrahydro-β-carbolines: synthesis of norharmane, harmane, eudistomin U and eudistomin I","title-short":"PhI(OAc) &lt;sub&gt;2&lt;/sub&gt; -mediated one-pot oxidative decarboxylation and aromatization of tetrahydro-β-carbolines","volume":"13","author":[{"family":"Kamal","given":"Ahmed"},{"family":"Tangella","given":"Yellaiah"},{"family":"Manasa","given":"Kesari Lakshmi"},{"family":"Sathish","given":"Manda"},{"family":"Srinivasulu","given":"Vunnam"},{"family":"Chetna","given":"Jadala"},{"family":"Alarifi","given":"Abdullah"}],"issued":{"date-parts":[["2015"]]}}}],"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0"/>
          <w:vertAlign w:val="superscript"/>
        </w:rPr>
        <w:t>16</w:t>
      </w:r>
      <w:r w:rsidRPr="007B7129">
        <w:rPr>
          <w:rFonts w:eastAsia="Times New Roman" w:cs="Times New Roman"/>
          <w:szCs w:val="20"/>
        </w:rPr>
        <w:fldChar w:fldCharType="end"/>
      </w:r>
      <w:r w:rsidRPr="007B7129">
        <w:rPr>
          <w:rFonts w:eastAsia="Times New Roman" w:cs="Times New Roman"/>
          <w:szCs w:val="20"/>
        </w:rPr>
        <w:t xml:space="preserve"> N-</w:t>
      </w:r>
      <w:proofErr w:type="spellStart"/>
      <w:r w:rsidRPr="007B7129">
        <w:rPr>
          <w:rFonts w:eastAsia="Times New Roman" w:cs="Times New Roman"/>
          <w:szCs w:val="20"/>
        </w:rPr>
        <w:t>bromosuccinimide</w:t>
      </w:r>
      <w:proofErr w:type="spellEnd"/>
      <w:r w:rsidRPr="007B7129">
        <w:rPr>
          <w:rFonts w:eastAsia="Times New Roman" w:cs="Times New Roman"/>
          <w:szCs w:val="20"/>
        </w:rPr>
        <w:t xml:space="preserve"> (NBS),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{"citationID":"erMkrBeA","properties":{"formattedCitation":"\\super 49\\nosupersub{}","plainCitation":"49","noteIndex":0},"citationItems":[{"id":291,"uris":["http://zotero.org/users/6503767/items/AKQX6XQY"],"itemData":{"id":291,"type":"article-journal","abstract":"Herein, we report a facile synthesis of 3,4-dihydro-b-carbolines and aromatic b-carbolines from tetrahydro-b-carbolines, mediated by N-bromosuccinimide in toluene at 0 °C to room temperature (rt), in good to moderate yields.","container-title":"Tetrahedron Letters","DOI":"10.1016/j.tetlet.2016.01.081","ISSN":"00404039","issue":"9","journalAbbreviation":"Tetrahedron Letters","language":"en","page":"1040-1043","source":"DOI.org (Crossref)","title":"N-Bromo-succinimide promoted synthesis of β-carbolines and 3,4-dihydro-β-carbolines from tetrahydro-β-carbolines","volume":"57","author":[{"family":"Hati","given":"Santanu"},{"family":"Sen","given":"Subhabrata"}],"issued":{"date-parts":[["2016",3]]}}}],"schema":"https://github.com/citation-style-language/schema/raw/master/csl-citation.json"}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49</w:t>
      </w:r>
      <w:r w:rsidRPr="007B7129">
        <w:rPr>
          <w:rFonts w:eastAsia="Times New Roman" w:cs="Times New Roman"/>
          <w:szCs w:val="20"/>
        </w:rPr>
        <w:fldChar w:fldCharType="end"/>
      </w:r>
      <w:r w:rsidRPr="007B7129">
        <w:rPr>
          <w:rFonts w:eastAsia="Times New Roman" w:cs="Times New Roman"/>
          <w:szCs w:val="20"/>
        </w:rPr>
        <w:t xml:space="preserve"> palladium on carbon (Pd/C),</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{"citationID":"KIMWpfBk","properties":{"formattedCitation":"\\super 50\\nosupersub{}","plainCitation":"50","noteIndex":0},"citationItems":[{"id":299,"uris":["http://zotero.org/users/6503767/items/BWHFTAUT"],"itemData":{"id":299,"type":"article-journal","container-title":"Journal of the American Chemical Society","DOI":"10.1021/ja00245a031","ISSN":"0002-7863","issue":"11","journalAbbreviation":"J. Am. Chem. Soc.","note":"publisher: American Chemical Society","page":"3378-3387","source":"ACS Publications","title":"Eudistomins A-Q, beta-carbolines from the antiviral Caribbean tunicate Eudistoma olivaceum","volume":"109","author":[{"family":"Rinehart","given":"Kenneth L."},{"family":"Kobayashi","given":"Junichi"},{"family":"Harbour","given":"Gary C."},{"family":"Gilmore","given":"Jeremy"},{"family":"Mascal","given":"Mark"},{"family":"Holt","given":"Tom G."},{"family":"Shield","given":"Lois S."},{"family":"Lafargue","given":"Francoise"}],"issued":{"date-parts":[["1987",5,1]]}}}],"schema":"https://github.com/citation-style-language/schema/raw/master/csl-citation.json"}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50</w:t>
      </w:r>
      <w:r w:rsidRPr="007B7129">
        <w:rPr>
          <w:rFonts w:eastAsia="Times New Roman" w:cs="Times New Roman"/>
          <w:szCs w:val="20"/>
        </w:rPr>
        <w:fldChar w:fldCharType="end"/>
      </w:r>
      <w:r w:rsidRPr="007B7129">
        <w:rPr>
          <w:rFonts w:eastAsia="Times New Roman" w:cs="Times New Roman"/>
          <w:szCs w:val="20"/>
        </w:rPr>
        <w:t xml:space="preserve"> or </w:t>
      </w:r>
      <w:proofErr w:type="spellStart"/>
      <w:r w:rsidRPr="007B7129">
        <w:rPr>
          <w:rFonts w:eastAsia="Times New Roman" w:cs="Times New Roman"/>
          <w:szCs w:val="20"/>
        </w:rPr>
        <w:t>dichlorodicyanobenzoquinone</w:t>
      </w:r>
      <w:proofErr w:type="spellEnd"/>
      <w:r w:rsidRPr="007B7129">
        <w:rPr>
          <w:rFonts w:eastAsia="Times New Roman" w:cs="Times New Roman"/>
          <w:szCs w:val="20"/>
        </w:rPr>
        <w:t xml:space="preserve"> (DDQ).</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{"citationID":"51EdlDMM","properties":{"formattedCitation":"\\super 51\\nosupersub{}","plainCitation":"51","noteIndex":0},"citationItems":[{"id":295,"uris":["http://zotero.org/users/6503767/items/LQSQFTYQ"],"itemData":{"id":295,"type":"article-journal","abstract":"The limited treatment options against inﬂuenza virus along with the growing public health concerns regarding the continuous emergence of drug-resistant viruses make essential the development of new anti-ﬂu agents with novel mechanisms of action. One of the most attractive targets is the interaction between two subunits of the RNA-dependent RNA polymerase, PA and PB1. Herein we report the rational design of hybrid compounds starting from a 3-cyano-4,6-diphenylpyridine scaffold recently identiﬁed as disruptor of PA-PB1 interactions. Guided by the previously reported SAR data, a library of amino acid derivatives was synthesized. The biological evaluation led to the identiﬁcation of new PA-PB1 inhibitors, that do not show appreciable toxicity. Molecular modeling shed further lights on the inhibition mechanism of these compounds.","container-title":"European Journal of Medicinal Chemistry","DOI":"10.1016/j.ejmech.2018.08.032","ISSN":"02235234","journalAbbreviation":"European Journal of Medicinal Chemistry","language":"en","page":"743-758","source":"DOI.org (Crossref)","title":"Synthesis and biological evaluation of a library of hybrid derivatives as inhibitors of influenza virus PA-PB1 interaction","volume":"157","author":[{"family":"D'Agostino","given":"Ilaria"},{"family":"Giacchello","given":"Ilaria"},{"family":"Nannetti","given":"Giulio"},{"family":"Fallacara","given":"Anna Lucia"},{"family":"Deodato","given":"Davide"},{"family":"Musumeci","given":"Francesca"},{"family":"Grossi","given":"Giancarlo"},{"family":"Palù","given":"Giorgio"},{"family":"Cau","given":"Ylenia"},{"family":"Trist","given":"Iuni Margaret"},{"family":"Loregian","given":"Arianna"},{"family":"Schenone","given":"Silvia"},{"family":"Botta","given":"Maurizio"}],"issued":{"date-parts":[["2018",9]]}}}],"schema":"https://github.com/citation-style-language/schema/raw/master/csl-citation.json"}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51</w:t>
      </w:r>
      <w:r w:rsidRPr="007B7129">
        <w:rPr>
          <w:rFonts w:eastAsia="Times New Roman" w:cs="Times New Roman"/>
          <w:szCs w:val="20"/>
        </w:rPr>
        <w:fldChar w:fldCharType="end"/>
      </w:r>
      <w:r w:rsidRPr="007B7129">
        <w:rPr>
          <w:rFonts w:eastAsia="Times New Roman" w:cs="Times New Roman"/>
          <w:szCs w:val="20"/>
        </w:rPr>
        <w:t xml:space="preserve"> For this specific THBC substrate </w:t>
      </w:r>
      <w:r w:rsidRPr="007B7129">
        <w:rPr>
          <w:rFonts w:eastAsia="Times New Roman" w:cs="Times New Roman"/>
          <w:b/>
          <w:bCs/>
          <w:szCs w:val="20"/>
        </w:rPr>
        <w:t>3.34</w:t>
      </w:r>
      <w:r w:rsidRPr="007B7129">
        <w:rPr>
          <w:rFonts w:eastAsia="Times New Roman" w:cs="Times New Roman"/>
          <w:szCs w:val="20"/>
        </w:rPr>
        <w:t xml:space="preserve">, however, most of these oxidative conditions did not provide any product and the starting material remained unchanged in the reaction vessel. Even under elevated temperatures or after </w:t>
      </w:r>
      <w:r w:rsidRPr="007B7129">
        <w:rPr>
          <w:rFonts w:eastAsia="Times New Roman" w:cs="Times New Roman"/>
          <w:szCs w:val="20"/>
        </w:rPr>
        <w:lastRenderedPageBreak/>
        <w:t>several hours of reaction time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_Ref86431719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3.3</w:t>
      </w:r>
      <w:r w:rsidRPr="007B7129">
        <w:rPr>
          <w:rFonts w:eastAsia="Times New Roman" w:cs="Times New Roman"/>
          <w:b/>
          <w:bCs/>
          <w:szCs w:val="20"/>
        </w:rPr>
        <w:fldChar w:fldCharType="end"/>
      </w:r>
      <w:r w:rsidRPr="007B7129">
        <w:rPr>
          <w:rFonts w:eastAsia="Times New Roman" w:cs="Times New Roman"/>
          <w:szCs w:val="20"/>
        </w:rPr>
        <w:t>, entries 2 – 11) these traditional methods failed to produce product in isolable quantities. Notably, reactions with DDQ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_Ref86431719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3.3</w:t>
      </w:r>
      <w:r w:rsidRPr="007B7129">
        <w:rPr>
          <w:rFonts w:eastAsia="Times New Roman" w:cs="Times New Roman"/>
          <w:b/>
          <w:bCs/>
          <w:szCs w:val="20"/>
        </w:rPr>
        <w:fldChar w:fldCharType="end"/>
      </w:r>
      <w:r w:rsidRPr="007B7129">
        <w:rPr>
          <w:rFonts w:eastAsia="Times New Roman" w:cs="Times New Roman"/>
          <w:szCs w:val="20"/>
        </w:rPr>
        <w:t>, entries 12 – 15) or Pd/C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_Ref86431719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3.3</w:t>
      </w:r>
      <w:r w:rsidRPr="007B7129">
        <w:rPr>
          <w:rFonts w:eastAsia="Times New Roman" w:cs="Times New Roman"/>
          <w:b/>
          <w:bCs/>
          <w:szCs w:val="20"/>
        </w:rPr>
        <w:fldChar w:fldCharType="end"/>
      </w:r>
      <w:r w:rsidRPr="007B7129">
        <w:rPr>
          <w:rFonts w:eastAsia="Times New Roman" w:cs="Times New Roman"/>
          <w:szCs w:val="20"/>
        </w:rPr>
        <w:t xml:space="preserve">, entries 23 – 25) did provide aromatized product </w:t>
      </w:r>
      <w:r w:rsidRPr="007B7129">
        <w:rPr>
          <w:rFonts w:eastAsia="Times New Roman" w:cs="Times New Roman"/>
          <w:b/>
          <w:bCs/>
          <w:szCs w:val="20"/>
        </w:rPr>
        <w:t>3.36</w:t>
      </w:r>
      <w:r w:rsidRPr="007B7129">
        <w:rPr>
          <w:rFonts w:eastAsia="Times New Roman" w:cs="Times New Roman"/>
          <w:szCs w:val="20"/>
        </w:rPr>
        <w:t xml:space="preserve"> at yields between 8 – 26%, although inconsistently and with unrecoverable starting material. </w:t>
      </w:r>
    </w:p>
    <w:p w14:paraId="2871CAAE" w14:textId="2AFDD9D2" w:rsidR="007B7129" w:rsidRPr="007B7129" w:rsidRDefault="007B7129" w:rsidP="005C5841">
      <w:pPr>
        <w:spacing w:after="0"/>
        <w:ind w:firstLine="720"/>
        <w:rPr>
          <w:rFonts w:eastAsia="Times New Roman" w:cs="Times New Roman"/>
          <w:szCs w:val="20"/>
        </w:rPr>
      </w:pPr>
      <w:r w:rsidRPr="007B7129">
        <w:rPr>
          <w:rFonts w:eastAsia="Times New Roman" w:cs="Times New Roman"/>
          <w:szCs w:val="20"/>
        </w:rPr>
        <w:t>Precious metal or metal oxide catalysis are often energy- and resource-intensive. This prompted the development of alternative, metal-free methods to support sustainable chemistry</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{"citationID":"BnutBOfh","properties":{"formattedCitation":"\\super 52\\nosupersub{}","plainCitation":"52","noteIndex":0},"citationItems":[{"id":469,"uris":["http://zotero.org/users/6503767/items/LS5D2FIW"],"itemData":{"id":469,"type":"article-journal","abstract":"The current established catalytic processes used in chemical industries use metals, in many cases precious metals, or metal oxides as catalysts. These are often energy-consuming and not highly selective, wasting resources and producing greenhouse gases. Metal-free heterogeneous catalysis using carbon or carbon nitride is an interesting alternative to some current industrialized chemical processes. Carbon and carbon nitride combine environmental acceptability with inexhaustible resources and allow a favorable management of energy with good thermal conductivity. Owing to lower reaction temperatures and increased selectivity, these catalysts could be candidates for green chemistry with low emission and an efficient use of the chemical feedstock. This Review highlights some recent promising activities and developments in heterogeneous catalysis using only carbon and carbon nitride as catalysts. The state-of-the-art and future challenges of metal-free heterogeneous catalysis are also discussed.","container-title":"ChemSusChem","DOI":"10.1002/cssc.200900180","ISSN":"1864-564X","issue":"2","journalAbbreviation":"ChemSusChem","language":"eng","note":"PMID: 20127789","page":"169-180","source":"PubMed","title":"Metal-free heterogeneous catalysis for sustainable chemistry","volume":"3","author":[{"family":"Su","given":"Dang Sheng"},{"family":"Zhang","given":"Jian"},{"family":"Frank","given":"Benjamin"},{"family":"Thomas","given":"Arne"},{"family":"Wang","given":"Xinchen"},{"family":"Paraknowitsch","given":"Jens"},{"family":"Schlögl","given":"Robert"}],"issued":{"date-parts":[["2010",2,22]]}}}],"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52</w:t>
      </w:r>
      <w:r w:rsidRPr="007B7129">
        <w:rPr>
          <w:rFonts w:eastAsia="Times New Roman" w:cs="Times New Roman"/>
          <w:szCs w:val="20"/>
        </w:rPr>
        <w:fldChar w:fldCharType="end"/>
      </w:r>
      <w:r w:rsidRPr="007B7129">
        <w:rPr>
          <w:rFonts w:eastAsia="Times New Roman" w:cs="Times New Roman"/>
          <w:szCs w:val="20"/>
        </w:rPr>
        <w:t xml:space="preserve"> and gave rise to base-mediated dehydrogenative aromatization methods for the synthesis of heterocycles.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{"citationID":"6G4v5xFg","properties":{"formattedCitation":"\\super 53\\uc0\\u8211{}55\\nosupersub{}","plainCitation":"53–55","noteIndex":0},"citationItems":[{"id":463,"uris":["http://zotero.org/users/6503767/items/UNB488FX"],"itemData":{"id":463,"type":"article-journal","abstract":"Nitrogen heteroarenes form an important class of compounds which can be found in natural products, synthetic drugs, building blocks etc. Among the diverse strategies that were developed for the synthesis of nitrogen heterocycles, oxidative dehydrogenation is extremely effective. This review discusses various oxidative dehydrogenation strategies of C–C and C–N bonds to generate nitrogen heteroarenes from their corresponding heterocyclic substrates. The strategies are categorized under stoichiometric and catalytic usage of reagents that facilitate such transformations. The application of these strategies in the synthesis of nitrogen heteroarene natural products and synthetic drug intermediates are also discussed. We hope this review will arouse sufficient interest among the scientific community to further advance the application of oxidative dehydrogenation in the synthesis of nitrogen heteroarenes.","container-title":"Beilstein Journal of Organic Chemistry","DOI":"10.3762/bjoc.13.162","ISSN":"1860-5397","journalAbbreviation":"Beilstein J Org Chem","note":"PMID: 28904611\nPMCID: PMC5564259","page":"1670-1692","source":"PubMed Central","title":"Oxidative dehydrogenation of C–C and C–N bonds: A convenient approach to access diverse (dihydro)heteroaromatic compounds","title-short":"Oxidative dehydrogenation of C–C and C–N bonds","volume":"13","author":[{"family":"Hati","given":"Santanu"},{"family":"Holzgrabe","given":"Ulrike"},{"family":"Sen","given":"Subhabrata"}],"issued":{"date-parts":[["2017",8,15]]}}},{"id":460,"uris":["http://zotero.org/users/6503767/items/CSUE5PAY"],"itemData":{"id":460,"type":"article-journal","abstract":"A metal-free aromative cascade has been developed for the synthesis of diverse heterocycles from readily accessible hydroxy/aminochalcones and acid/alkyl halides. The cascade being by a base-mediated intramolecular aldol cyclization/dehydration sequence to provide a triene, which sets the stage for a 6π-electrocyclization/oxidative aromatization to access diverse heterocyclic scaffolds., \n          \n        , A unique retrosynthetic disconnection to diverse heterocyclic scaffolds using 6 -electrocyclization strategy","container-title":"Organic chemistry frontiers : an international journal of organic chemistry","DOI":"10.1039/c9qo01336a","ISSN":"2052-4110","issue":"7","journalAbbreviation":"Org Chem Front","note":"PMID: 32368346\nPMCID: PMC7197863","page":"913-918","source":"PubMed Central","title":"A metal-free aromative cascade for the synthesis of diverse heterocycles","volume":"7","author":[{"family":"Schlitzer","given":"Steven C."},{"family":"Arunprasath","given":"Dhanarajan"},{"family":"Stevens","given":"Katelyn G."},{"family":"Sharma","given":"Indrajeet"}],"issued":{"date-parts":[["2020",4,7]]}}},{"id":466,"uris":["http://zotero.org/users/6503767/items/I42T2IR6"],"itemData":{"id":466,"type":"article-journal","abstract":"A facile method for the synthesis of a variety of β-carbolines and their natural products such as norharmane (2a), harmane (2b), eudistomins I, N, T, and U (6, 7, 9 and 10, respectively) has been successfully developed via a decorboxylative aromatization tool by employing N-chlorosuccinimide (NCS) as a mild and efficient reagent. Gratifyingly, this reagent system proceeds in a one-pot manner and converted all the tetrahydro-β-carboline acids into their corresponding decorboxylative aromatic products with good to excellent yields. Additionally, this system works well in the case of tetrahydro-β-carboline esters to produce their aromatic partners in high yields.","container-title":"RSC Advances","DOI":"10.1039/C5RA16221A","ISSN":"2046-2069","issue":"109","journalAbbreviation":"RSC Adv.","language":"en","note":"publisher: The Royal Society of Chemistry","page":"90121-90126","source":"pubs.rsc.org","title":"An efficient one-pot decarboxylative aromatization of tetrahydro-β-carbolines by using N-chlorosuccinimide: total synthesis of norharmane, harmane and eudistomins","title-short":"An efficient one-pot decarboxylative aromatization of tetrahydro-β-carbolines by using N-chlorosuccinimide","volume":"5","author":[{"family":"Kamal","given":"Ahmed"},{"family":"Sathish","given":"Manda"},{"family":"Prasanthi","given":"A. V. G."},{"family":"Chetna","given":"Jadala"},{"family":"Tangella","given":"Yellaiah"},{"family":"Srinivasulu","given":"Vunnam"},{"family":"Shankaraiah","given":"Nagula"},{"family":"Alarifi","given":"Abdullah"}],"issued":{"date-parts":[["2015",10,20]]}}}],"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53–55</w:t>
      </w:r>
      <w:r w:rsidRPr="007B7129">
        <w:rPr>
          <w:rFonts w:eastAsia="Times New Roman" w:cs="Times New Roman"/>
          <w:szCs w:val="20"/>
        </w:rPr>
        <w:fldChar w:fldCharType="end"/>
      </w:r>
      <w:r w:rsidRPr="007B7129">
        <w:rPr>
          <w:rFonts w:eastAsia="Times New Roman" w:cs="Times New Roman"/>
          <w:szCs w:val="20"/>
        </w:rPr>
        <w:t xml:space="preserve"> In this context, the study of organic base-promoted aromatization of THBCs into β-carbolines under air suggested a greener and more practical approach,</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{"citationID":"a4zUfmXZ","properties":{"formattedCitation":"\\super 56\\nosupersub{}","plainCitation":"56","noteIndex":0},"citationItems":[{"id":290,"uris":["http://zotero.org/users/6503767/items/5XQN9A4V"],"itemData":{"id":290,"type":"article-journal","abstract":"Organic base DBN has been identiﬁed as an efﬁcient reagent for promoting the dehydrogenative/decarboxylative aromatization of tetrahydro-b-carbolines under air atmosphere, to access the corresponding b-carbolines in moderate to good yields. The utility of this protocol for the gram-scale synthesis of b-carboline alkaloids eudistomin U (7) and harmane (10) has also been demonstrated.","container-title":"Tetrahedron Letters","DOI":"10.1016/j.tetlet.2019.02.020","ISSN":"00404039","issue":"11","journalAbbreviation":"Tetrahedron Letters","language":"en","page":"800-804","source":"DOI.org (Crossref)","title":"Organic base-promoted efficient dehydrogenative/decarboxylative aromatization of tetrahydro-β-carbolines into β-carbolines under air","volume":"60","author":[{"family":"Zhao","given":"Ziquan"},{"family":"Sun","given":"Yan"},{"family":"Wang","given":"Lilin"},{"family":"Chen","given":"Xuan"},{"family":"Sun","given":"Yanpei"},{"family":"Lin","given":"Long"},{"family":"Tang","given":"Yulin"},{"family":"Li","given":"Fei"},{"family":"Chen","given":"Dongyin"}],"issued":{"date-parts":[["2019",3]]}}}],"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56</w:t>
      </w:r>
      <w:r w:rsidRPr="007B7129">
        <w:rPr>
          <w:rFonts w:eastAsia="Times New Roman" w:cs="Times New Roman"/>
          <w:szCs w:val="20"/>
        </w:rPr>
        <w:fldChar w:fldCharType="end"/>
      </w:r>
      <w:r w:rsidRPr="007B7129">
        <w:rPr>
          <w:rFonts w:eastAsia="Times New Roman" w:cs="Times New Roman"/>
          <w:szCs w:val="20"/>
        </w:rPr>
        <w:t xml:space="preserve"> which inspired the use of 1,5-diazabicyclo[4.3.0]non-5-ene (DBN) and 1,8-diazabicyclo[5.4.0]undec-7-ene (DBU) in the aromatization trials for </w:t>
      </w:r>
      <w:r w:rsidRPr="007B7129">
        <w:rPr>
          <w:rFonts w:eastAsia="Times New Roman" w:cs="Times New Roman"/>
          <w:b/>
          <w:bCs/>
          <w:szCs w:val="20"/>
        </w:rPr>
        <w:t>Step 2</w:t>
      </w:r>
      <w:r w:rsidRPr="007B7129">
        <w:rPr>
          <w:rFonts w:eastAsia="Times New Roman" w:cs="Times New Roman"/>
          <w:szCs w:val="20"/>
        </w:rPr>
        <w:t>. Utilizing oxygen gas (O</w:t>
      </w:r>
      <w:r w:rsidRPr="007B7129">
        <w:rPr>
          <w:rFonts w:eastAsia="Times New Roman" w:cs="Times New Roman"/>
          <w:szCs w:val="20"/>
          <w:vertAlign w:val="subscript"/>
        </w:rPr>
        <w:t>2</w:t>
      </w:r>
      <w:r w:rsidRPr="007B7129">
        <w:rPr>
          <w:rFonts w:eastAsia="Times New Roman" w:cs="Times New Roman"/>
          <w:szCs w:val="20"/>
        </w:rPr>
        <w:t xml:space="preserve">) from the air as a clean oxidant is the ultimate goal of oxidation reactions, as it is readily available and environmentally friendly. Encouragingly, I found that DBN and DBU promoted the aromatization of THBC </w:t>
      </w:r>
      <w:r w:rsidRPr="007B7129">
        <w:rPr>
          <w:rFonts w:eastAsia="Times New Roman" w:cs="Times New Roman"/>
          <w:b/>
          <w:bCs/>
          <w:szCs w:val="20"/>
        </w:rPr>
        <w:t>3.34</w:t>
      </w:r>
      <w:r w:rsidRPr="007B7129">
        <w:rPr>
          <w:rFonts w:eastAsia="Times New Roman" w:cs="Times New Roman"/>
          <w:szCs w:val="20"/>
        </w:rPr>
        <w:t>,</w:t>
      </w:r>
      <w:r w:rsidRPr="007B7129">
        <w:rPr>
          <w:rFonts w:eastAsia="Times New Roman" w:cs="Times New Roman"/>
          <w:b/>
          <w:bCs/>
          <w:szCs w:val="20"/>
        </w:rPr>
        <w:t xml:space="preserve"> </w:t>
      </w:r>
      <w:r w:rsidRPr="007B7129">
        <w:rPr>
          <w:rFonts w:eastAsia="Times New Roman" w:cs="Times New Roman"/>
          <w:szCs w:val="20"/>
        </w:rPr>
        <w:t xml:space="preserve">providing the desired product </w:t>
      </w:r>
      <w:r w:rsidRPr="007B7129">
        <w:rPr>
          <w:rFonts w:eastAsia="Times New Roman" w:cs="Times New Roman"/>
          <w:b/>
          <w:bCs/>
          <w:szCs w:val="20"/>
        </w:rPr>
        <w:t>3.36</w:t>
      </w:r>
      <w:r w:rsidRPr="007B7129">
        <w:rPr>
          <w:rFonts w:eastAsia="Times New Roman" w:cs="Times New Roman"/>
          <w:szCs w:val="20"/>
        </w:rPr>
        <w:t>, albeit in low yields (≤10%). Specifically, use of DBN in super-stoichiometric amounts or as the solvent at high temperatures using air as the oxidant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_Ref86431719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3.3</w:t>
      </w:r>
      <w:r w:rsidRPr="007B7129">
        <w:rPr>
          <w:rFonts w:eastAsia="Times New Roman" w:cs="Times New Roman"/>
          <w:b/>
          <w:bCs/>
          <w:szCs w:val="20"/>
        </w:rPr>
        <w:fldChar w:fldCharType="end"/>
      </w:r>
      <w:r w:rsidRPr="007B7129">
        <w:rPr>
          <w:rFonts w:eastAsia="Times New Roman" w:cs="Times New Roman"/>
          <w:szCs w:val="20"/>
        </w:rPr>
        <w:t>, entry 16) proved to be reproducible. These DBN and DBU reactions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_Ref86431719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3.3</w:t>
      </w:r>
      <w:r w:rsidRPr="007B7129">
        <w:rPr>
          <w:rFonts w:eastAsia="Times New Roman" w:cs="Times New Roman"/>
          <w:b/>
          <w:bCs/>
          <w:szCs w:val="20"/>
        </w:rPr>
        <w:fldChar w:fldCharType="end"/>
      </w:r>
      <w:r w:rsidRPr="007B7129">
        <w:rPr>
          <w:rFonts w:eastAsia="Times New Roman" w:cs="Times New Roman"/>
          <w:szCs w:val="20"/>
        </w:rPr>
        <w:t xml:space="preserve">, entries 15, 16, and 19) were notable because the unreacted starting material remained intact and recoverable via column chromatography, which was especially helpful in maximizing the use of </w:t>
      </w:r>
      <w:r w:rsidRPr="007B7129">
        <w:rPr>
          <w:rFonts w:eastAsia="Times New Roman" w:cs="Times New Roman"/>
          <w:b/>
          <w:bCs/>
          <w:szCs w:val="20"/>
        </w:rPr>
        <w:t>3.34</w:t>
      </w:r>
      <w:r w:rsidRPr="007B7129">
        <w:rPr>
          <w:rFonts w:eastAsia="Times New Roman" w:cs="Times New Roman"/>
          <w:szCs w:val="20"/>
        </w:rPr>
        <w:t>. This was followed by the exploration of copper salt additives in attempts to increase reaction yield, as copper is a cost-effective transition metal with low toxicity that is compatible with air.</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{"citationID":"pjKzcQpD","properties":{"formattedCitation":"\\super 57\\nosupersub{}","plainCitation":"57","noteIndex":0},"citationItems":[{"id":455,"uris":["http://zotero.org/users/6503767/items/GS6RW5DP"],"itemData":{"id":455,"type":"article-journal","abstract":"A green chemical method for mild oxidation of 1,2,3,4-tetrahydroisoquinolines (THIQs) and 3,4-dihydroisoquinolines (DHIQs) has been developed using air (O2) as a clean oxidant. DHIQs and THIQs could be efficiently oxidized to isoquinolines in dimethyl sulfoxide at 25 °C under an open air atmosphere with CuBr2 (20 mol %) as the catalyst; different bases [NaOEt and/or 1,8-diazabicyclo[5,4,0]undec-7-ene] were used for the reaction according to the patterns of substituents (R1, R2).","container-title":"ACS Omega","DOI":"10.1021/acsomega.8b00855","issue":"7","note":"publisher: American Chemical Society","page":"8243-8252","source":"ACS Publications","title":"Copper-Catalyzed Benign and Efficient Oxidation of Tetrahydroisoquinolines and Dihydroisoquinolines Using Air as a Clean Oxidant","volume":"3","author":[{"family":"Zheng","given":"Bo"},{"family":"Trieu","given":"Tien Ha"},{"family":"Li","given":"Feng-Lei"},{"family":"Zhu","given":"Xing-Liang"},{"family":"He","given":"Yun-Gang"},{"family":"Fan","given":"Qi-Qi"},{"family":"Shi","given":"Xiao-Xin"}],"issued":{"date-parts":[["2018",7,31]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57</w:t>
      </w:r>
      <w:r w:rsidRPr="007B7129">
        <w:rPr>
          <w:rFonts w:eastAsia="Times New Roman" w:cs="Times New Roman"/>
          <w:szCs w:val="20"/>
        </w:rPr>
        <w:fldChar w:fldCharType="end"/>
      </w:r>
      <w:r w:rsidRPr="007B7129">
        <w:rPr>
          <w:rFonts w:eastAsia="Times New Roman" w:cs="Times New Roman"/>
          <w:szCs w:val="20"/>
        </w:rPr>
        <w:t xml:space="preserve"> While adding CuCl</w:t>
      </w:r>
      <w:r w:rsidRPr="007B7129">
        <w:rPr>
          <w:rFonts w:eastAsia="Times New Roman" w:cs="Times New Roman"/>
          <w:szCs w:val="20"/>
          <w:vertAlign w:val="subscript"/>
        </w:rPr>
        <w:t>2</w:t>
      </w:r>
      <w:r w:rsidRPr="007B7129">
        <w:rPr>
          <w:rFonts w:eastAsia="Times New Roman" w:cs="Times New Roman"/>
          <w:szCs w:val="20"/>
        </w:rPr>
        <w:t xml:space="preserve"> seemed to double the yield of the DBN and DBU reactions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_Ref86431719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3.3</w:t>
      </w:r>
      <w:r w:rsidRPr="007B7129">
        <w:rPr>
          <w:rFonts w:eastAsia="Times New Roman" w:cs="Times New Roman"/>
          <w:b/>
          <w:bCs/>
          <w:szCs w:val="20"/>
        </w:rPr>
        <w:fldChar w:fldCharType="end"/>
      </w:r>
      <w:r w:rsidRPr="007B7129">
        <w:rPr>
          <w:rFonts w:eastAsia="Times New Roman" w:cs="Times New Roman"/>
          <w:szCs w:val="20"/>
        </w:rPr>
        <w:t xml:space="preserve">, entries 17 and 21), it also rendered the unreacted starting material unrecoverable, presumably because of the ability </w:t>
      </w:r>
      <w:r w:rsidRPr="007B7129">
        <w:rPr>
          <w:rFonts w:eastAsia="Times New Roman" w:cs="Times New Roman"/>
          <w:szCs w:val="20"/>
        </w:rPr>
        <w:lastRenderedPageBreak/>
        <w:t>of nitrogen heterocycles to create aggregates with Cu</w:t>
      </w:r>
      <w:r w:rsidRPr="007B7129">
        <w:rPr>
          <w:rFonts w:eastAsia="Times New Roman" w:cs="Times New Roman"/>
          <w:szCs w:val="20"/>
          <w:vertAlign w:val="superscript"/>
        </w:rPr>
        <w:t>2+</w:t>
      </w:r>
      <w:r w:rsidRPr="007B7129">
        <w:rPr>
          <w:rFonts w:eastAsia="Times New Roman" w:cs="Times New Roman"/>
          <w:szCs w:val="20"/>
        </w:rPr>
        <w:t xml:space="preserve"> ions.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{"citationID":"s6qV8BhT","properties":{"formattedCitation":"\\super 58\\nosupersub{}","plainCitation":"58","noteIndex":0},"citationItems":[{"id":475,"uris":["http://zotero.org/users/6503767/items/VVDIC8FC"],"itemData":{"id":475,"type":"article-journal","abstract":"Nitrogen-containing heterocycles are important scaffolds for a large number of compounds with biological, pharmaceutical, industrial and optoelectronic applications. A wide range of different methodologies for the preparation of N-heterocycles are based on metal-catalyzed cyclization of suitable substrates. Due to the growing interest in Green Chemistry criteria over the past two decades, the use of supported metal catalysts in the preparation of N-heterocycles has become a central topic in Organic Chemistry. Here we will give a critical overview of all the solid supported metal catalysts applied in the synthesis of N-heterocycles, following a systematic approach as a function of the type of support: (i) metal catalysts supported on inorganic matrices; (ii) metal catalysts supported on organic matrices; (iii) metal catalysts supported on hybrid inorganic-organic matrices. In particular, we will try to emphasize the effective heterogeneity and recyclability of the described metal catalysts, specifying which studies were carried out in order to evaluate these aspects.","container-title":"Catalysts","DOI":"10.3390/catal12010068","ISSN":"2073-4344","issue":"1","journalAbbreviation":"Catalysts","language":"en","page":"68","source":"DOI.org (Crossref)","title":"Supported Metal Catalysts for the Synthesis of N-Heterocycles","volume":"12","author":[{"family":"Aronica","given":"Laura Antonella"},{"family":"Albano","given":"Gianluigi"}],"issued":{"date-parts":[["2022",1,9]]}}}],"schema":"https://github.com/citation-style-language/schema/raw/master/csl-citation.json"}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58</w:t>
      </w:r>
      <w:r w:rsidRPr="007B7129">
        <w:rPr>
          <w:rFonts w:eastAsia="Times New Roman" w:cs="Times New Roman"/>
          <w:szCs w:val="20"/>
        </w:rPr>
        <w:fldChar w:fldCharType="end"/>
      </w:r>
      <w:r w:rsidRPr="007B7129">
        <w:rPr>
          <w:rFonts w:eastAsia="Times New Roman" w:cs="Times New Roman"/>
          <w:szCs w:val="20"/>
        </w:rPr>
        <w:t xml:space="preserve"> Therefore, further investigation into other aromatization conditions was necessary. </w:t>
      </w:r>
    </w:p>
    <w:p w14:paraId="30792EFB" w14:textId="3F4EA76B" w:rsidR="007B7129" w:rsidRPr="007B7129" w:rsidRDefault="007B7129" w:rsidP="000624E1">
      <w:pPr>
        <w:spacing w:after="0" w:line="240" w:lineRule="auto"/>
        <w:rPr>
          <w:b/>
          <w:szCs w:val="18"/>
        </w:rPr>
      </w:pPr>
      <w:bookmarkStart w:id="302" w:name="_Ref86431719"/>
      <w:r w:rsidRPr="007B7129">
        <w:rPr>
          <w:b/>
          <w:szCs w:val="18"/>
        </w:rPr>
        <w:t>Table 3.</w:t>
      </w:r>
      <w:r w:rsidRPr="007B7129">
        <w:rPr>
          <w:b/>
          <w:szCs w:val="18"/>
        </w:rPr>
        <w:fldChar w:fldCharType="begin"/>
      </w:r>
      <w:r w:rsidRPr="007B7129">
        <w:rPr>
          <w:b/>
          <w:szCs w:val="18"/>
        </w:rPr>
        <w:instrText xml:space="preserve"> SEQ Table \* ARABIC </w:instrText>
      </w:r>
      <w:r w:rsidRPr="007B7129">
        <w:rPr>
          <w:b/>
          <w:szCs w:val="18"/>
        </w:rPr>
        <w:fldChar w:fldCharType="separate"/>
      </w:r>
      <w:r w:rsidR="00AA5AAC">
        <w:rPr>
          <w:b/>
          <w:noProof/>
          <w:szCs w:val="18"/>
        </w:rPr>
        <w:t>3</w:t>
      </w:r>
      <w:r w:rsidRPr="007B7129">
        <w:rPr>
          <w:b/>
          <w:noProof/>
          <w:szCs w:val="18"/>
        </w:rPr>
        <w:fldChar w:fldCharType="end"/>
      </w:r>
      <w:bookmarkEnd w:id="302"/>
      <w:r w:rsidRPr="007B7129">
        <w:rPr>
          <w:b/>
          <w:szCs w:val="18"/>
        </w:rPr>
        <w:t xml:space="preserve">. Conditions screen and optimization table for oxidative aromatization of 3.34. </w:t>
      </w:r>
    </w:p>
    <w:tbl>
      <w:tblPr>
        <w:tblStyle w:val="TableGrid"/>
        <w:tblW w:w="9355" w:type="dxa"/>
        <w:tblLayout w:type="fixed"/>
        <w:tblLook w:val="04A0" w:firstRow="1" w:lastRow="0" w:firstColumn="1" w:lastColumn="0" w:noHBand="0" w:noVBand="1"/>
      </w:tblPr>
      <w:tblGrid>
        <w:gridCol w:w="805"/>
        <w:gridCol w:w="2430"/>
        <w:gridCol w:w="1260"/>
        <w:gridCol w:w="810"/>
        <w:gridCol w:w="810"/>
        <w:gridCol w:w="1350"/>
        <w:gridCol w:w="1080"/>
        <w:gridCol w:w="810"/>
      </w:tblGrid>
      <w:tr w:rsidR="007B7129" w:rsidRPr="007B7129" w14:paraId="526A2DE0" w14:textId="77777777" w:rsidTr="00D86FFB">
        <w:trPr>
          <w:trHeight w:val="1448"/>
        </w:trPr>
        <w:tc>
          <w:tcPr>
            <w:tcW w:w="9355" w:type="dxa"/>
            <w:gridSpan w:val="8"/>
            <w:shd w:val="clear" w:color="auto" w:fill="auto"/>
            <w:vAlign w:val="center"/>
          </w:tcPr>
          <w:p w14:paraId="340C2EBF" w14:textId="77777777" w:rsidR="007B7129" w:rsidRPr="007B7129" w:rsidRDefault="007B7129" w:rsidP="007B7129">
            <w:pPr>
              <w:spacing w:line="240" w:lineRule="auto"/>
              <w:contextualSpacing/>
              <w:jc w:val="center"/>
              <w:rPr>
                <w:rFonts w:cs="Times New Roman"/>
                <w:b/>
                <w:color w:val="000000"/>
                <w:szCs w:val="24"/>
                <w:shd w:val="clear" w:color="auto" w:fill="FFFFFF"/>
              </w:rPr>
            </w:pPr>
            <w:r w:rsidRPr="007B7129">
              <w:rPr>
                <w:rFonts w:cs="Times New Roman"/>
                <w:b/>
                <w:color w:val="000000"/>
                <w:szCs w:val="24"/>
                <w:shd w:val="clear" w:color="auto" w:fill="FFFFFF"/>
              </w:rPr>
              <w:object w:dxaOrig="6154" w:dyaOrig="1486" w14:anchorId="22A324D1">
                <v:shape id="_x0000_i1094" type="#_x0000_t75" style="width:308.55pt;height:73.4pt" o:ole="">
                  <v:imagedata r:id="rId270" o:title=""/>
                </v:shape>
                <o:OLEObject Type="Embed" ProgID="ChemDraw.Document.6.0" ShapeID="_x0000_i1094" DrawAspect="Content" ObjectID="_1713353457" r:id="rId271"/>
              </w:object>
            </w:r>
          </w:p>
        </w:tc>
      </w:tr>
      <w:tr w:rsidR="007B7129" w:rsidRPr="007B7129" w14:paraId="4F8B7370" w14:textId="77777777" w:rsidTr="00562397">
        <w:tc>
          <w:tcPr>
            <w:tcW w:w="805" w:type="dxa"/>
            <w:shd w:val="clear" w:color="auto" w:fill="E7E6E6" w:themeFill="background2"/>
            <w:vAlign w:val="center"/>
          </w:tcPr>
          <w:p w14:paraId="4E6ED81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Entry</w:t>
            </w:r>
          </w:p>
        </w:tc>
        <w:tc>
          <w:tcPr>
            <w:tcW w:w="2430" w:type="dxa"/>
            <w:shd w:val="clear" w:color="auto" w:fill="E7E6E6" w:themeFill="background2"/>
            <w:vAlign w:val="center"/>
          </w:tcPr>
          <w:p w14:paraId="0D64016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Reagent(s)</w:t>
            </w:r>
          </w:p>
        </w:tc>
        <w:tc>
          <w:tcPr>
            <w:tcW w:w="1260" w:type="dxa"/>
            <w:shd w:val="clear" w:color="auto" w:fill="E7E6E6" w:themeFill="background2"/>
            <w:vAlign w:val="center"/>
          </w:tcPr>
          <w:p w14:paraId="5095D41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Solvent</w:t>
            </w:r>
          </w:p>
        </w:tc>
        <w:tc>
          <w:tcPr>
            <w:tcW w:w="810" w:type="dxa"/>
            <w:shd w:val="clear" w:color="auto" w:fill="E7E6E6" w:themeFill="background2"/>
            <w:vAlign w:val="center"/>
          </w:tcPr>
          <w:p w14:paraId="1EF60E6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Temp (°C)</w:t>
            </w:r>
          </w:p>
        </w:tc>
        <w:tc>
          <w:tcPr>
            <w:tcW w:w="810" w:type="dxa"/>
            <w:shd w:val="clear" w:color="auto" w:fill="E7E6E6" w:themeFill="background2"/>
            <w:vAlign w:val="center"/>
          </w:tcPr>
          <w:p w14:paraId="6093916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Time (h)</w:t>
            </w:r>
          </w:p>
        </w:tc>
        <w:tc>
          <w:tcPr>
            <w:tcW w:w="1350" w:type="dxa"/>
            <w:shd w:val="clear" w:color="auto" w:fill="E7E6E6" w:themeFill="background2"/>
          </w:tcPr>
          <w:p w14:paraId="183D422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 xml:space="preserve">3.34 </w:t>
            </w:r>
            <w:proofErr w:type="spellStart"/>
            <w:r w:rsidRPr="007B7129">
              <w:rPr>
                <w:rFonts w:cs="Times New Roman"/>
                <w:bCs/>
                <w:color w:val="000000"/>
                <w:szCs w:val="24"/>
                <w:shd w:val="clear" w:color="auto" w:fill="FFFFFF"/>
              </w:rPr>
              <w:t>Consumed</w:t>
            </w:r>
            <w:r w:rsidRPr="007B7129">
              <w:rPr>
                <w:rFonts w:cs="Times New Roman"/>
                <w:bCs/>
                <w:color w:val="000000"/>
                <w:szCs w:val="24"/>
                <w:shd w:val="clear" w:color="auto" w:fill="FFFFFF"/>
                <w:vertAlign w:val="superscript"/>
              </w:rPr>
              <w:t>a</w:t>
            </w:r>
            <w:proofErr w:type="spellEnd"/>
          </w:p>
        </w:tc>
        <w:tc>
          <w:tcPr>
            <w:tcW w:w="1080" w:type="dxa"/>
            <w:shd w:val="clear" w:color="auto" w:fill="E7E6E6" w:themeFill="background2"/>
            <w:vAlign w:val="center"/>
          </w:tcPr>
          <w:p w14:paraId="011ECA8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 xml:space="preserve">3.36 </w:t>
            </w:r>
            <w:proofErr w:type="spellStart"/>
            <w:r w:rsidRPr="007B7129">
              <w:rPr>
                <w:rFonts w:cs="Times New Roman"/>
                <w:bCs/>
                <w:color w:val="000000"/>
                <w:szCs w:val="24"/>
                <w:shd w:val="clear" w:color="auto" w:fill="FFFFFF"/>
              </w:rPr>
              <w:t>Formed</w:t>
            </w:r>
            <w:r w:rsidRPr="007B7129">
              <w:rPr>
                <w:rFonts w:cs="Times New Roman"/>
                <w:bCs/>
                <w:color w:val="000000"/>
                <w:szCs w:val="24"/>
                <w:shd w:val="clear" w:color="auto" w:fill="FFFFFF"/>
                <w:vertAlign w:val="superscript"/>
              </w:rPr>
              <w:t>a</w:t>
            </w:r>
            <w:proofErr w:type="spellEnd"/>
          </w:p>
        </w:tc>
        <w:tc>
          <w:tcPr>
            <w:tcW w:w="810" w:type="dxa"/>
            <w:shd w:val="clear" w:color="auto" w:fill="E7E6E6" w:themeFill="background2"/>
            <w:vAlign w:val="center"/>
          </w:tcPr>
          <w:p w14:paraId="154D3F8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Yield (</w:t>
            </w:r>
            <w:proofErr w:type="gramStart"/>
            <w:r w:rsidRPr="007B7129">
              <w:rPr>
                <w:rFonts w:cs="Times New Roman"/>
                <w:bCs/>
                <w:color w:val="000000"/>
                <w:szCs w:val="24"/>
                <w:shd w:val="clear" w:color="auto" w:fill="FFFFFF"/>
              </w:rPr>
              <w:t>%)</w:t>
            </w:r>
            <w:r w:rsidRPr="007B7129">
              <w:rPr>
                <w:rFonts w:cs="Times New Roman"/>
                <w:bCs/>
                <w:color w:val="000000"/>
                <w:szCs w:val="24"/>
                <w:shd w:val="clear" w:color="auto" w:fill="FFFFFF"/>
                <w:vertAlign w:val="superscript"/>
              </w:rPr>
              <w:t>b</w:t>
            </w:r>
            <w:proofErr w:type="gramEnd"/>
          </w:p>
        </w:tc>
      </w:tr>
      <w:tr w:rsidR="007B7129" w:rsidRPr="007B7129" w14:paraId="69DBC2B4" w14:textId="77777777" w:rsidTr="00562397">
        <w:tc>
          <w:tcPr>
            <w:tcW w:w="805" w:type="dxa"/>
          </w:tcPr>
          <w:p w14:paraId="33D8810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w:t>
            </w:r>
          </w:p>
        </w:tc>
        <w:tc>
          <w:tcPr>
            <w:tcW w:w="2430" w:type="dxa"/>
          </w:tcPr>
          <w:p w14:paraId="13DA593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c>
          <w:tcPr>
            <w:tcW w:w="1260" w:type="dxa"/>
          </w:tcPr>
          <w:p w14:paraId="3A9D2F8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MeOH</w:t>
            </w:r>
          </w:p>
        </w:tc>
        <w:tc>
          <w:tcPr>
            <w:tcW w:w="810" w:type="dxa"/>
          </w:tcPr>
          <w:p w14:paraId="3B352FC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810" w:type="dxa"/>
          </w:tcPr>
          <w:p w14:paraId="0275AD3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48</w:t>
            </w:r>
          </w:p>
        </w:tc>
        <w:tc>
          <w:tcPr>
            <w:tcW w:w="1350" w:type="dxa"/>
          </w:tcPr>
          <w:p w14:paraId="778225D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56F2784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2EFE38F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2867FB12" w14:textId="77777777" w:rsidTr="00562397">
        <w:tc>
          <w:tcPr>
            <w:tcW w:w="805" w:type="dxa"/>
          </w:tcPr>
          <w:p w14:paraId="2EC959F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w:t>
            </w:r>
          </w:p>
        </w:tc>
        <w:tc>
          <w:tcPr>
            <w:tcW w:w="2430" w:type="dxa"/>
          </w:tcPr>
          <w:p w14:paraId="7D8D4C1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activated charcoal</w:t>
            </w:r>
          </w:p>
        </w:tc>
        <w:tc>
          <w:tcPr>
            <w:tcW w:w="1260" w:type="dxa"/>
          </w:tcPr>
          <w:p w14:paraId="30AE109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neat</w:t>
            </w:r>
          </w:p>
        </w:tc>
        <w:tc>
          <w:tcPr>
            <w:tcW w:w="810" w:type="dxa"/>
          </w:tcPr>
          <w:p w14:paraId="20C0184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0470FD7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48</w:t>
            </w:r>
          </w:p>
        </w:tc>
        <w:tc>
          <w:tcPr>
            <w:tcW w:w="1350" w:type="dxa"/>
          </w:tcPr>
          <w:p w14:paraId="7DB8A09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2EF66D7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3ED2648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ND</w:t>
            </w:r>
          </w:p>
        </w:tc>
      </w:tr>
      <w:tr w:rsidR="007B7129" w:rsidRPr="007B7129" w14:paraId="6332F1DD" w14:textId="77777777" w:rsidTr="00562397">
        <w:tc>
          <w:tcPr>
            <w:tcW w:w="805" w:type="dxa"/>
          </w:tcPr>
          <w:p w14:paraId="38179B7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w:t>
            </w:r>
          </w:p>
        </w:tc>
        <w:tc>
          <w:tcPr>
            <w:tcW w:w="2430" w:type="dxa"/>
          </w:tcPr>
          <w:p w14:paraId="7CB3C100"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proofErr w:type="gramStart"/>
            <w:r w:rsidRPr="007B7129">
              <w:rPr>
                <w:rFonts w:cs="Times New Roman"/>
                <w:bCs/>
                <w:color w:val="000000"/>
                <w:szCs w:val="24"/>
                <w:shd w:val="clear" w:color="auto" w:fill="FFFFFF"/>
              </w:rPr>
              <w:t>PhI</w:t>
            </w:r>
            <w:proofErr w:type="spellEnd"/>
            <w:r w:rsidRPr="007B7129">
              <w:rPr>
                <w:rFonts w:cs="Times New Roman"/>
                <w:bCs/>
                <w:color w:val="000000"/>
                <w:szCs w:val="24"/>
                <w:shd w:val="clear" w:color="auto" w:fill="FFFFFF"/>
              </w:rPr>
              <w:t>(</w:t>
            </w:r>
            <w:proofErr w:type="spellStart"/>
            <w:proofErr w:type="gramEnd"/>
            <w:r w:rsidRPr="007B7129">
              <w:rPr>
                <w:rFonts w:cs="Times New Roman"/>
                <w:bCs/>
                <w:color w:val="000000"/>
                <w:szCs w:val="24"/>
                <w:shd w:val="clear" w:color="auto" w:fill="FFFFFF"/>
              </w:rPr>
              <w:t>OAc</w:t>
            </w:r>
            <w:proofErr w:type="spellEnd"/>
            <w:r w:rsidRPr="007B7129">
              <w:rPr>
                <w:rFonts w:cs="Times New Roman"/>
                <w:bCs/>
                <w:color w:val="000000"/>
                <w:szCs w:val="24"/>
                <w:shd w:val="clear" w:color="auto" w:fill="FFFFFF"/>
              </w:rPr>
              <w:t>)</w:t>
            </w:r>
            <w:r w:rsidRPr="007B7129">
              <w:rPr>
                <w:rFonts w:cs="Times New Roman"/>
                <w:bCs/>
                <w:color w:val="000000"/>
                <w:szCs w:val="24"/>
                <w:shd w:val="clear" w:color="auto" w:fill="FFFFFF"/>
                <w:vertAlign w:val="subscript"/>
              </w:rPr>
              <w:t>2</w:t>
            </w:r>
          </w:p>
        </w:tc>
        <w:tc>
          <w:tcPr>
            <w:tcW w:w="1260" w:type="dxa"/>
          </w:tcPr>
          <w:p w14:paraId="1700139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DMF</w:t>
            </w:r>
          </w:p>
        </w:tc>
        <w:tc>
          <w:tcPr>
            <w:tcW w:w="810" w:type="dxa"/>
          </w:tcPr>
          <w:p w14:paraId="78FD363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810" w:type="dxa"/>
          </w:tcPr>
          <w:p w14:paraId="2514CC9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w:t>
            </w:r>
          </w:p>
        </w:tc>
        <w:tc>
          <w:tcPr>
            <w:tcW w:w="1350" w:type="dxa"/>
          </w:tcPr>
          <w:p w14:paraId="29F8BDB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469272D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7B4D654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ND</w:t>
            </w:r>
          </w:p>
        </w:tc>
      </w:tr>
      <w:tr w:rsidR="007B7129" w:rsidRPr="007B7129" w14:paraId="74F18437" w14:textId="77777777" w:rsidTr="00562397">
        <w:tc>
          <w:tcPr>
            <w:tcW w:w="805" w:type="dxa"/>
          </w:tcPr>
          <w:p w14:paraId="3475976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w:t>
            </w:r>
          </w:p>
        </w:tc>
        <w:tc>
          <w:tcPr>
            <w:tcW w:w="2430" w:type="dxa"/>
          </w:tcPr>
          <w:p w14:paraId="1E3E4EB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S</w:t>
            </w:r>
          </w:p>
        </w:tc>
        <w:tc>
          <w:tcPr>
            <w:tcW w:w="1260" w:type="dxa"/>
          </w:tcPr>
          <w:p w14:paraId="575FA05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xylenes</w:t>
            </w:r>
          </w:p>
        </w:tc>
        <w:tc>
          <w:tcPr>
            <w:tcW w:w="810" w:type="dxa"/>
          </w:tcPr>
          <w:p w14:paraId="0A9646B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120</w:t>
            </w:r>
          </w:p>
        </w:tc>
        <w:tc>
          <w:tcPr>
            <w:tcW w:w="810" w:type="dxa"/>
          </w:tcPr>
          <w:p w14:paraId="422323D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c>
          <w:tcPr>
            <w:tcW w:w="1350" w:type="dxa"/>
          </w:tcPr>
          <w:p w14:paraId="592378C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40DE2E0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2699CA4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7A305CC6" w14:textId="77777777" w:rsidTr="00562397">
        <w:tc>
          <w:tcPr>
            <w:tcW w:w="805" w:type="dxa"/>
          </w:tcPr>
          <w:p w14:paraId="706A394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5</w:t>
            </w:r>
          </w:p>
        </w:tc>
        <w:tc>
          <w:tcPr>
            <w:tcW w:w="2430" w:type="dxa"/>
          </w:tcPr>
          <w:p w14:paraId="36251A9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I</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 H</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O</w:t>
            </w:r>
            <w:r w:rsidRPr="007B7129">
              <w:rPr>
                <w:rFonts w:cs="Times New Roman"/>
                <w:bCs/>
                <w:color w:val="000000"/>
                <w:szCs w:val="24"/>
                <w:shd w:val="clear" w:color="auto" w:fill="FFFFFF"/>
                <w:vertAlign w:val="subscript"/>
              </w:rPr>
              <w:t>2</w:t>
            </w:r>
          </w:p>
        </w:tc>
        <w:tc>
          <w:tcPr>
            <w:tcW w:w="1260" w:type="dxa"/>
          </w:tcPr>
          <w:p w14:paraId="487AB23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DMSO</w:t>
            </w:r>
          </w:p>
        </w:tc>
        <w:tc>
          <w:tcPr>
            <w:tcW w:w="810" w:type="dxa"/>
          </w:tcPr>
          <w:p w14:paraId="2613656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60</w:t>
            </w:r>
          </w:p>
        </w:tc>
        <w:tc>
          <w:tcPr>
            <w:tcW w:w="810" w:type="dxa"/>
          </w:tcPr>
          <w:p w14:paraId="5127266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8</w:t>
            </w:r>
          </w:p>
        </w:tc>
        <w:tc>
          <w:tcPr>
            <w:tcW w:w="1350" w:type="dxa"/>
          </w:tcPr>
          <w:p w14:paraId="65F9C19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3983CAB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1003BB2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432EC208" w14:textId="77777777" w:rsidTr="00562397">
        <w:tc>
          <w:tcPr>
            <w:tcW w:w="805" w:type="dxa"/>
          </w:tcPr>
          <w:p w14:paraId="2C64174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6</w:t>
            </w:r>
          </w:p>
        </w:tc>
        <w:tc>
          <w:tcPr>
            <w:tcW w:w="2430" w:type="dxa"/>
          </w:tcPr>
          <w:p w14:paraId="16DF037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MnO</w:t>
            </w:r>
            <w:r w:rsidRPr="007B7129">
              <w:rPr>
                <w:rFonts w:cs="Times New Roman"/>
                <w:bCs/>
                <w:color w:val="000000"/>
                <w:szCs w:val="24"/>
                <w:shd w:val="clear" w:color="auto" w:fill="FFFFFF"/>
                <w:vertAlign w:val="subscript"/>
              </w:rPr>
              <w:t>2</w:t>
            </w:r>
          </w:p>
        </w:tc>
        <w:tc>
          <w:tcPr>
            <w:tcW w:w="1260" w:type="dxa"/>
          </w:tcPr>
          <w:p w14:paraId="04940CC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p-xylene</w:t>
            </w:r>
          </w:p>
        </w:tc>
        <w:tc>
          <w:tcPr>
            <w:tcW w:w="810" w:type="dxa"/>
          </w:tcPr>
          <w:p w14:paraId="3EBAD20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20186F6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c>
          <w:tcPr>
            <w:tcW w:w="1350" w:type="dxa"/>
          </w:tcPr>
          <w:p w14:paraId="6476648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2CFAC1D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2AEC380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596888DF" w14:textId="77777777" w:rsidTr="00562397">
        <w:tc>
          <w:tcPr>
            <w:tcW w:w="805" w:type="dxa"/>
          </w:tcPr>
          <w:p w14:paraId="73D6840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7</w:t>
            </w:r>
          </w:p>
        </w:tc>
        <w:tc>
          <w:tcPr>
            <w:tcW w:w="2430" w:type="dxa"/>
          </w:tcPr>
          <w:p w14:paraId="0794A3B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IBX</w:t>
            </w:r>
          </w:p>
        </w:tc>
        <w:tc>
          <w:tcPr>
            <w:tcW w:w="1260" w:type="dxa"/>
          </w:tcPr>
          <w:p w14:paraId="6C5977E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DMSO</w:t>
            </w:r>
          </w:p>
        </w:tc>
        <w:tc>
          <w:tcPr>
            <w:tcW w:w="810" w:type="dxa"/>
          </w:tcPr>
          <w:p w14:paraId="3F5A8DC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0FFDB44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c>
          <w:tcPr>
            <w:tcW w:w="1350" w:type="dxa"/>
          </w:tcPr>
          <w:p w14:paraId="12F9EF5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195FDDD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0DCF011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66967CDB" w14:textId="77777777" w:rsidTr="00562397">
        <w:tc>
          <w:tcPr>
            <w:tcW w:w="805" w:type="dxa"/>
          </w:tcPr>
          <w:p w14:paraId="1A57A67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8</w:t>
            </w:r>
          </w:p>
        </w:tc>
        <w:tc>
          <w:tcPr>
            <w:tcW w:w="2430" w:type="dxa"/>
          </w:tcPr>
          <w:p w14:paraId="2F9AA3D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I</w:t>
            </w:r>
            <w:r w:rsidRPr="007B7129">
              <w:rPr>
                <w:rFonts w:cs="Times New Roman"/>
                <w:bCs/>
                <w:color w:val="000000"/>
                <w:szCs w:val="24"/>
                <w:shd w:val="clear" w:color="auto" w:fill="FFFFFF"/>
                <w:vertAlign w:val="subscript"/>
              </w:rPr>
              <w:t>2</w:t>
            </w:r>
          </w:p>
        </w:tc>
        <w:tc>
          <w:tcPr>
            <w:tcW w:w="1260" w:type="dxa"/>
          </w:tcPr>
          <w:p w14:paraId="5A8D0D5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DMSO</w:t>
            </w:r>
          </w:p>
        </w:tc>
        <w:tc>
          <w:tcPr>
            <w:tcW w:w="810" w:type="dxa"/>
          </w:tcPr>
          <w:p w14:paraId="70454A9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2D4CA05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c>
          <w:tcPr>
            <w:tcW w:w="1350" w:type="dxa"/>
          </w:tcPr>
          <w:p w14:paraId="6FAEDBE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2237FC2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58D10AC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394EB2C5" w14:textId="77777777" w:rsidTr="00562397">
        <w:tc>
          <w:tcPr>
            <w:tcW w:w="805" w:type="dxa"/>
          </w:tcPr>
          <w:p w14:paraId="3640C93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9</w:t>
            </w:r>
          </w:p>
        </w:tc>
        <w:tc>
          <w:tcPr>
            <w:tcW w:w="2430" w:type="dxa"/>
          </w:tcPr>
          <w:p w14:paraId="6E74B6F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SeO</w:t>
            </w:r>
            <w:r w:rsidRPr="007B7129">
              <w:rPr>
                <w:rFonts w:cs="Times New Roman"/>
                <w:bCs/>
                <w:color w:val="000000"/>
                <w:szCs w:val="24"/>
                <w:shd w:val="clear" w:color="auto" w:fill="FFFFFF"/>
                <w:vertAlign w:val="subscript"/>
              </w:rPr>
              <w:t>2</w:t>
            </w:r>
          </w:p>
        </w:tc>
        <w:tc>
          <w:tcPr>
            <w:tcW w:w="1260" w:type="dxa"/>
          </w:tcPr>
          <w:p w14:paraId="0E9B4BF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dioxane</w:t>
            </w:r>
          </w:p>
        </w:tc>
        <w:tc>
          <w:tcPr>
            <w:tcW w:w="810" w:type="dxa"/>
          </w:tcPr>
          <w:p w14:paraId="76BD10E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98</w:t>
            </w:r>
          </w:p>
        </w:tc>
        <w:tc>
          <w:tcPr>
            <w:tcW w:w="810" w:type="dxa"/>
          </w:tcPr>
          <w:p w14:paraId="4E3F2CA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14</w:t>
            </w:r>
          </w:p>
        </w:tc>
        <w:tc>
          <w:tcPr>
            <w:tcW w:w="1350" w:type="dxa"/>
          </w:tcPr>
          <w:p w14:paraId="68A1443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0DC285E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7A98219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38D931A3" w14:textId="77777777" w:rsidTr="00562397">
        <w:tc>
          <w:tcPr>
            <w:tcW w:w="805" w:type="dxa"/>
          </w:tcPr>
          <w:p w14:paraId="1B2CF98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10</w:t>
            </w:r>
          </w:p>
        </w:tc>
        <w:tc>
          <w:tcPr>
            <w:tcW w:w="2430" w:type="dxa"/>
          </w:tcPr>
          <w:p w14:paraId="276D47D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SeO</w:t>
            </w:r>
            <w:r w:rsidRPr="007B7129">
              <w:rPr>
                <w:rFonts w:cs="Times New Roman"/>
                <w:bCs/>
                <w:color w:val="000000"/>
                <w:szCs w:val="24"/>
                <w:shd w:val="clear" w:color="auto" w:fill="FFFFFF"/>
                <w:vertAlign w:val="subscript"/>
              </w:rPr>
              <w:t>2</w:t>
            </w:r>
          </w:p>
        </w:tc>
        <w:tc>
          <w:tcPr>
            <w:tcW w:w="1260" w:type="dxa"/>
          </w:tcPr>
          <w:p w14:paraId="266B06B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p-xylene</w:t>
            </w:r>
          </w:p>
        </w:tc>
        <w:tc>
          <w:tcPr>
            <w:tcW w:w="810" w:type="dxa"/>
          </w:tcPr>
          <w:p w14:paraId="72ED3FA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12AF7A6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c>
          <w:tcPr>
            <w:tcW w:w="1350" w:type="dxa"/>
          </w:tcPr>
          <w:p w14:paraId="70F6A23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40B9328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1BD4414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08FCBBBB" w14:textId="77777777" w:rsidTr="00562397">
        <w:tc>
          <w:tcPr>
            <w:tcW w:w="805" w:type="dxa"/>
          </w:tcPr>
          <w:p w14:paraId="7F5202D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11</w:t>
            </w:r>
          </w:p>
        </w:tc>
        <w:tc>
          <w:tcPr>
            <w:tcW w:w="2430" w:type="dxa"/>
          </w:tcPr>
          <w:p w14:paraId="08430C8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NBS</w:t>
            </w:r>
          </w:p>
        </w:tc>
        <w:tc>
          <w:tcPr>
            <w:tcW w:w="1260" w:type="dxa"/>
          </w:tcPr>
          <w:p w14:paraId="0F437F0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toluene</w:t>
            </w:r>
          </w:p>
        </w:tc>
        <w:tc>
          <w:tcPr>
            <w:tcW w:w="810" w:type="dxa"/>
          </w:tcPr>
          <w:p w14:paraId="2B6C813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810" w:type="dxa"/>
          </w:tcPr>
          <w:p w14:paraId="7CA6D14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c>
          <w:tcPr>
            <w:tcW w:w="1350" w:type="dxa"/>
          </w:tcPr>
          <w:p w14:paraId="26B6B17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49C3BA1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74C6C83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ND</w:t>
            </w:r>
          </w:p>
        </w:tc>
      </w:tr>
      <w:tr w:rsidR="007B7129" w:rsidRPr="007B7129" w14:paraId="6D65EA57" w14:textId="77777777" w:rsidTr="00562397">
        <w:tc>
          <w:tcPr>
            <w:tcW w:w="805" w:type="dxa"/>
          </w:tcPr>
          <w:p w14:paraId="62BABA3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c>
          <w:tcPr>
            <w:tcW w:w="2430" w:type="dxa"/>
          </w:tcPr>
          <w:p w14:paraId="3087B70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DDQ</w:t>
            </w:r>
          </w:p>
        </w:tc>
        <w:tc>
          <w:tcPr>
            <w:tcW w:w="1260" w:type="dxa"/>
          </w:tcPr>
          <w:p w14:paraId="6185BE4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810" w:type="dxa"/>
          </w:tcPr>
          <w:p w14:paraId="62E21DE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810" w:type="dxa"/>
          </w:tcPr>
          <w:p w14:paraId="17A2453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c>
          <w:tcPr>
            <w:tcW w:w="1350" w:type="dxa"/>
          </w:tcPr>
          <w:p w14:paraId="47472DF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1080" w:type="dxa"/>
          </w:tcPr>
          <w:p w14:paraId="10BA6F4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5B4B28B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20</w:t>
            </w:r>
          </w:p>
        </w:tc>
      </w:tr>
      <w:tr w:rsidR="007B7129" w:rsidRPr="007B7129" w14:paraId="468F1C8B" w14:textId="77777777" w:rsidTr="00562397">
        <w:tc>
          <w:tcPr>
            <w:tcW w:w="805" w:type="dxa"/>
          </w:tcPr>
          <w:p w14:paraId="79DC011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13</w:t>
            </w:r>
          </w:p>
        </w:tc>
        <w:tc>
          <w:tcPr>
            <w:tcW w:w="2430" w:type="dxa"/>
          </w:tcPr>
          <w:p w14:paraId="0822C85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DDQ, MS</w:t>
            </w:r>
          </w:p>
        </w:tc>
        <w:tc>
          <w:tcPr>
            <w:tcW w:w="1260" w:type="dxa"/>
          </w:tcPr>
          <w:p w14:paraId="396D7F1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810" w:type="dxa"/>
          </w:tcPr>
          <w:p w14:paraId="38B2418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810" w:type="dxa"/>
          </w:tcPr>
          <w:p w14:paraId="298857D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48</w:t>
            </w:r>
          </w:p>
        </w:tc>
        <w:tc>
          <w:tcPr>
            <w:tcW w:w="1350" w:type="dxa"/>
          </w:tcPr>
          <w:p w14:paraId="6E9DD83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1080" w:type="dxa"/>
          </w:tcPr>
          <w:p w14:paraId="387CE0B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29C6B15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19.5</w:t>
            </w:r>
          </w:p>
        </w:tc>
      </w:tr>
      <w:tr w:rsidR="007B7129" w:rsidRPr="007B7129" w14:paraId="3C6BCA90" w14:textId="77777777" w:rsidTr="00562397">
        <w:tc>
          <w:tcPr>
            <w:tcW w:w="805" w:type="dxa"/>
          </w:tcPr>
          <w:p w14:paraId="7B46DF9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14</w:t>
            </w:r>
          </w:p>
        </w:tc>
        <w:tc>
          <w:tcPr>
            <w:tcW w:w="2430" w:type="dxa"/>
          </w:tcPr>
          <w:p w14:paraId="68FC1DD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DDQ, MnO</w:t>
            </w:r>
            <w:r w:rsidRPr="007B7129">
              <w:rPr>
                <w:rFonts w:cs="Times New Roman"/>
                <w:bCs/>
                <w:color w:val="000000"/>
                <w:szCs w:val="24"/>
                <w:shd w:val="clear" w:color="auto" w:fill="FFFFFF"/>
                <w:vertAlign w:val="subscript"/>
              </w:rPr>
              <w:t>2</w:t>
            </w:r>
          </w:p>
        </w:tc>
        <w:tc>
          <w:tcPr>
            <w:tcW w:w="1260" w:type="dxa"/>
          </w:tcPr>
          <w:p w14:paraId="2B126CBF"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MeCN</w:t>
            </w:r>
            <w:proofErr w:type="spellEnd"/>
          </w:p>
        </w:tc>
        <w:tc>
          <w:tcPr>
            <w:tcW w:w="810" w:type="dxa"/>
          </w:tcPr>
          <w:p w14:paraId="7CE29D7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810" w:type="dxa"/>
          </w:tcPr>
          <w:p w14:paraId="1CC00CB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48</w:t>
            </w:r>
          </w:p>
        </w:tc>
        <w:tc>
          <w:tcPr>
            <w:tcW w:w="1350" w:type="dxa"/>
          </w:tcPr>
          <w:p w14:paraId="0EB58A2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1080" w:type="dxa"/>
          </w:tcPr>
          <w:p w14:paraId="6581A55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39B052F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8.6</w:t>
            </w:r>
          </w:p>
        </w:tc>
      </w:tr>
      <w:tr w:rsidR="007B7129" w:rsidRPr="007B7129" w14:paraId="66ECB8DA" w14:textId="77777777" w:rsidTr="00562397">
        <w:tc>
          <w:tcPr>
            <w:tcW w:w="805" w:type="dxa"/>
          </w:tcPr>
          <w:p w14:paraId="0E46C15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w:t>
            </w:r>
          </w:p>
        </w:tc>
        <w:tc>
          <w:tcPr>
            <w:tcW w:w="2430" w:type="dxa"/>
          </w:tcPr>
          <w:p w14:paraId="4B73137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DDQ, mol. sieves</w:t>
            </w:r>
          </w:p>
        </w:tc>
        <w:tc>
          <w:tcPr>
            <w:tcW w:w="1260" w:type="dxa"/>
          </w:tcPr>
          <w:p w14:paraId="18BDE02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810" w:type="dxa"/>
          </w:tcPr>
          <w:p w14:paraId="474CBC3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45</w:t>
            </w:r>
          </w:p>
        </w:tc>
        <w:tc>
          <w:tcPr>
            <w:tcW w:w="810" w:type="dxa"/>
          </w:tcPr>
          <w:p w14:paraId="65DD5C7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w:t>
            </w:r>
          </w:p>
        </w:tc>
        <w:tc>
          <w:tcPr>
            <w:tcW w:w="1350" w:type="dxa"/>
          </w:tcPr>
          <w:p w14:paraId="78318DA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20136D7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245B8AE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2B19F1A5" w14:textId="77777777" w:rsidTr="00562397">
        <w:tc>
          <w:tcPr>
            <w:tcW w:w="805" w:type="dxa"/>
          </w:tcPr>
          <w:p w14:paraId="227C637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16</w:t>
            </w:r>
          </w:p>
        </w:tc>
        <w:tc>
          <w:tcPr>
            <w:tcW w:w="2430" w:type="dxa"/>
          </w:tcPr>
          <w:p w14:paraId="190128D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DBN</w:t>
            </w:r>
          </w:p>
        </w:tc>
        <w:tc>
          <w:tcPr>
            <w:tcW w:w="1260" w:type="dxa"/>
          </w:tcPr>
          <w:p w14:paraId="5C87D08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neat</w:t>
            </w:r>
          </w:p>
        </w:tc>
        <w:tc>
          <w:tcPr>
            <w:tcW w:w="810" w:type="dxa"/>
          </w:tcPr>
          <w:p w14:paraId="6158063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110</w:t>
            </w:r>
          </w:p>
        </w:tc>
        <w:tc>
          <w:tcPr>
            <w:tcW w:w="810" w:type="dxa"/>
          </w:tcPr>
          <w:p w14:paraId="08F33BC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48</w:t>
            </w:r>
          </w:p>
        </w:tc>
        <w:tc>
          <w:tcPr>
            <w:tcW w:w="1350" w:type="dxa"/>
          </w:tcPr>
          <w:p w14:paraId="76492C4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7034FB6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3B9DAD9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10</w:t>
            </w:r>
          </w:p>
        </w:tc>
      </w:tr>
      <w:tr w:rsidR="007B7129" w:rsidRPr="007B7129" w14:paraId="0FDC7421" w14:textId="77777777" w:rsidTr="00562397">
        <w:tc>
          <w:tcPr>
            <w:tcW w:w="805" w:type="dxa"/>
          </w:tcPr>
          <w:p w14:paraId="1D5814B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17</w:t>
            </w:r>
          </w:p>
        </w:tc>
        <w:tc>
          <w:tcPr>
            <w:tcW w:w="2430" w:type="dxa"/>
          </w:tcPr>
          <w:p w14:paraId="571F9F2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DBN</w:t>
            </w:r>
          </w:p>
        </w:tc>
        <w:tc>
          <w:tcPr>
            <w:tcW w:w="1260" w:type="dxa"/>
          </w:tcPr>
          <w:p w14:paraId="7329598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toluene</w:t>
            </w:r>
          </w:p>
        </w:tc>
        <w:tc>
          <w:tcPr>
            <w:tcW w:w="810" w:type="dxa"/>
          </w:tcPr>
          <w:p w14:paraId="145BAED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1C5017A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36</w:t>
            </w:r>
          </w:p>
        </w:tc>
        <w:tc>
          <w:tcPr>
            <w:tcW w:w="1350" w:type="dxa"/>
          </w:tcPr>
          <w:p w14:paraId="47A7FA1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12324CC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2EB9256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9</w:t>
            </w:r>
          </w:p>
        </w:tc>
      </w:tr>
      <w:tr w:rsidR="007B7129" w:rsidRPr="007B7129" w14:paraId="442ED9EB" w14:textId="77777777" w:rsidTr="00562397">
        <w:tc>
          <w:tcPr>
            <w:tcW w:w="805" w:type="dxa"/>
          </w:tcPr>
          <w:p w14:paraId="175FC0B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18</w:t>
            </w:r>
          </w:p>
        </w:tc>
        <w:tc>
          <w:tcPr>
            <w:tcW w:w="2430" w:type="dxa"/>
          </w:tcPr>
          <w:p w14:paraId="4F705B0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DBN, CuCl</w:t>
            </w:r>
            <w:r w:rsidRPr="007B7129">
              <w:rPr>
                <w:rFonts w:cs="Times New Roman"/>
                <w:bCs/>
                <w:color w:val="000000"/>
                <w:szCs w:val="24"/>
                <w:shd w:val="clear" w:color="auto" w:fill="FFFFFF"/>
                <w:vertAlign w:val="subscript"/>
              </w:rPr>
              <w:t>2</w:t>
            </w:r>
          </w:p>
        </w:tc>
        <w:tc>
          <w:tcPr>
            <w:tcW w:w="1260" w:type="dxa"/>
          </w:tcPr>
          <w:p w14:paraId="2461311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toluene</w:t>
            </w:r>
          </w:p>
        </w:tc>
        <w:tc>
          <w:tcPr>
            <w:tcW w:w="810" w:type="dxa"/>
          </w:tcPr>
          <w:p w14:paraId="3FA57B3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120</w:t>
            </w:r>
          </w:p>
        </w:tc>
        <w:tc>
          <w:tcPr>
            <w:tcW w:w="810" w:type="dxa"/>
          </w:tcPr>
          <w:p w14:paraId="4A743BA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48</w:t>
            </w:r>
          </w:p>
        </w:tc>
        <w:tc>
          <w:tcPr>
            <w:tcW w:w="1350" w:type="dxa"/>
          </w:tcPr>
          <w:p w14:paraId="6822481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063592C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504D652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17</w:t>
            </w:r>
          </w:p>
        </w:tc>
      </w:tr>
      <w:tr w:rsidR="007B7129" w:rsidRPr="007B7129" w14:paraId="43B87321" w14:textId="77777777" w:rsidTr="00562397">
        <w:tc>
          <w:tcPr>
            <w:tcW w:w="805" w:type="dxa"/>
          </w:tcPr>
          <w:p w14:paraId="546AE82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19</w:t>
            </w:r>
          </w:p>
        </w:tc>
        <w:tc>
          <w:tcPr>
            <w:tcW w:w="2430" w:type="dxa"/>
          </w:tcPr>
          <w:p w14:paraId="245933E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DBN, CuCl</w:t>
            </w:r>
            <w:r w:rsidRPr="007B7129">
              <w:rPr>
                <w:rFonts w:cs="Times New Roman"/>
                <w:bCs/>
                <w:color w:val="000000"/>
                <w:szCs w:val="24"/>
                <w:shd w:val="clear" w:color="auto" w:fill="FFFFFF"/>
                <w:vertAlign w:val="subscript"/>
              </w:rPr>
              <w:t>2</w:t>
            </w:r>
          </w:p>
        </w:tc>
        <w:tc>
          <w:tcPr>
            <w:tcW w:w="1260" w:type="dxa"/>
          </w:tcPr>
          <w:p w14:paraId="0D29EC6F"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MeCN</w:t>
            </w:r>
            <w:proofErr w:type="spellEnd"/>
          </w:p>
        </w:tc>
        <w:tc>
          <w:tcPr>
            <w:tcW w:w="810" w:type="dxa"/>
          </w:tcPr>
          <w:p w14:paraId="1C600FE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810" w:type="dxa"/>
          </w:tcPr>
          <w:p w14:paraId="2C4FDA6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24</w:t>
            </w:r>
          </w:p>
        </w:tc>
        <w:tc>
          <w:tcPr>
            <w:tcW w:w="1350" w:type="dxa"/>
          </w:tcPr>
          <w:p w14:paraId="0E79889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6778E78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245749D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ND</w:t>
            </w:r>
          </w:p>
        </w:tc>
      </w:tr>
      <w:tr w:rsidR="007B7129" w:rsidRPr="007B7129" w14:paraId="7EFEC4F6" w14:textId="77777777" w:rsidTr="00562397">
        <w:tc>
          <w:tcPr>
            <w:tcW w:w="805" w:type="dxa"/>
          </w:tcPr>
          <w:p w14:paraId="1625916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20</w:t>
            </w:r>
          </w:p>
        </w:tc>
        <w:tc>
          <w:tcPr>
            <w:tcW w:w="2430" w:type="dxa"/>
          </w:tcPr>
          <w:p w14:paraId="3A48032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DBU</w:t>
            </w:r>
          </w:p>
        </w:tc>
        <w:tc>
          <w:tcPr>
            <w:tcW w:w="1260" w:type="dxa"/>
          </w:tcPr>
          <w:p w14:paraId="77AD7D6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neat</w:t>
            </w:r>
          </w:p>
        </w:tc>
        <w:tc>
          <w:tcPr>
            <w:tcW w:w="810" w:type="dxa"/>
          </w:tcPr>
          <w:p w14:paraId="55B0C5E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110</w:t>
            </w:r>
          </w:p>
        </w:tc>
        <w:tc>
          <w:tcPr>
            <w:tcW w:w="810" w:type="dxa"/>
          </w:tcPr>
          <w:p w14:paraId="79A47DD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24</w:t>
            </w:r>
          </w:p>
        </w:tc>
        <w:tc>
          <w:tcPr>
            <w:tcW w:w="1350" w:type="dxa"/>
          </w:tcPr>
          <w:p w14:paraId="367C7BE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60AAC5E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12771F7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5</w:t>
            </w:r>
          </w:p>
        </w:tc>
      </w:tr>
      <w:tr w:rsidR="007B7129" w:rsidRPr="007B7129" w14:paraId="372ED991" w14:textId="77777777" w:rsidTr="00562397">
        <w:tc>
          <w:tcPr>
            <w:tcW w:w="805" w:type="dxa"/>
          </w:tcPr>
          <w:p w14:paraId="0ED6FC1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21</w:t>
            </w:r>
          </w:p>
        </w:tc>
        <w:tc>
          <w:tcPr>
            <w:tcW w:w="2430" w:type="dxa"/>
          </w:tcPr>
          <w:p w14:paraId="6890E4D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DBU, CuCl</w:t>
            </w:r>
            <w:r w:rsidRPr="007B7129">
              <w:rPr>
                <w:rFonts w:cs="Times New Roman"/>
                <w:bCs/>
                <w:color w:val="000000"/>
                <w:szCs w:val="24"/>
                <w:shd w:val="clear" w:color="auto" w:fill="FFFFFF"/>
                <w:vertAlign w:val="subscript"/>
              </w:rPr>
              <w:t>2</w:t>
            </w:r>
          </w:p>
        </w:tc>
        <w:tc>
          <w:tcPr>
            <w:tcW w:w="1260" w:type="dxa"/>
          </w:tcPr>
          <w:p w14:paraId="19A76BE4"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MeCN</w:t>
            </w:r>
            <w:proofErr w:type="spellEnd"/>
          </w:p>
        </w:tc>
        <w:tc>
          <w:tcPr>
            <w:tcW w:w="810" w:type="dxa"/>
          </w:tcPr>
          <w:p w14:paraId="46E2B94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810" w:type="dxa"/>
          </w:tcPr>
          <w:p w14:paraId="02E9F1F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48</w:t>
            </w:r>
          </w:p>
        </w:tc>
        <w:tc>
          <w:tcPr>
            <w:tcW w:w="1350" w:type="dxa"/>
          </w:tcPr>
          <w:p w14:paraId="63F56F0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59B0F32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746DE67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19.5</w:t>
            </w:r>
          </w:p>
        </w:tc>
      </w:tr>
      <w:tr w:rsidR="007B7129" w:rsidRPr="007B7129" w14:paraId="2FE004EB" w14:textId="77777777" w:rsidTr="00562397">
        <w:tc>
          <w:tcPr>
            <w:tcW w:w="805" w:type="dxa"/>
          </w:tcPr>
          <w:p w14:paraId="1B5D590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22</w:t>
            </w:r>
          </w:p>
        </w:tc>
        <w:tc>
          <w:tcPr>
            <w:tcW w:w="2430" w:type="dxa"/>
          </w:tcPr>
          <w:p w14:paraId="672D5B1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DBU, CuCl</w:t>
            </w:r>
            <w:r w:rsidRPr="007B7129">
              <w:rPr>
                <w:rFonts w:cs="Times New Roman"/>
                <w:bCs/>
                <w:color w:val="000000"/>
                <w:szCs w:val="24"/>
                <w:shd w:val="clear" w:color="auto" w:fill="FFFFFF"/>
                <w:vertAlign w:val="subscript"/>
              </w:rPr>
              <w:t>2</w:t>
            </w:r>
          </w:p>
        </w:tc>
        <w:tc>
          <w:tcPr>
            <w:tcW w:w="1260" w:type="dxa"/>
          </w:tcPr>
          <w:p w14:paraId="520BD991"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MeCN</w:t>
            </w:r>
            <w:proofErr w:type="spellEnd"/>
          </w:p>
        </w:tc>
        <w:tc>
          <w:tcPr>
            <w:tcW w:w="810" w:type="dxa"/>
          </w:tcPr>
          <w:p w14:paraId="2BA67E9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90</w:t>
            </w:r>
          </w:p>
        </w:tc>
        <w:tc>
          <w:tcPr>
            <w:tcW w:w="810" w:type="dxa"/>
          </w:tcPr>
          <w:p w14:paraId="2D527A4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48</w:t>
            </w:r>
          </w:p>
        </w:tc>
        <w:tc>
          <w:tcPr>
            <w:tcW w:w="1350" w:type="dxa"/>
          </w:tcPr>
          <w:p w14:paraId="502A14C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796C742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50B0F62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1.6</w:t>
            </w:r>
          </w:p>
        </w:tc>
      </w:tr>
      <w:tr w:rsidR="007B7129" w:rsidRPr="007B7129" w14:paraId="008B1F4C" w14:textId="77777777" w:rsidTr="00562397">
        <w:tc>
          <w:tcPr>
            <w:tcW w:w="805" w:type="dxa"/>
          </w:tcPr>
          <w:p w14:paraId="4029818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2430" w:type="dxa"/>
          </w:tcPr>
          <w:p w14:paraId="135B60A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Pd/C</w:t>
            </w:r>
          </w:p>
        </w:tc>
        <w:tc>
          <w:tcPr>
            <w:tcW w:w="1260" w:type="dxa"/>
          </w:tcPr>
          <w:p w14:paraId="3396BDA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neat</w:t>
            </w:r>
          </w:p>
        </w:tc>
        <w:tc>
          <w:tcPr>
            <w:tcW w:w="810" w:type="dxa"/>
          </w:tcPr>
          <w:p w14:paraId="38F5ABB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43C990B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18</w:t>
            </w:r>
          </w:p>
        </w:tc>
        <w:tc>
          <w:tcPr>
            <w:tcW w:w="1350" w:type="dxa"/>
          </w:tcPr>
          <w:p w14:paraId="26C1219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5A3222F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5073AB9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26.5</w:t>
            </w:r>
          </w:p>
        </w:tc>
      </w:tr>
      <w:tr w:rsidR="007B7129" w:rsidRPr="007B7129" w14:paraId="098BCC09" w14:textId="77777777" w:rsidTr="00562397">
        <w:tc>
          <w:tcPr>
            <w:tcW w:w="805" w:type="dxa"/>
          </w:tcPr>
          <w:p w14:paraId="743C4CB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24</w:t>
            </w:r>
          </w:p>
        </w:tc>
        <w:tc>
          <w:tcPr>
            <w:tcW w:w="2430" w:type="dxa"/>
          </w:tcPr>
          <w:p w14:paraId="485926A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Pd/C</w:t>
            </w:r>
          </w:p>
        </w:tc>
        <w:tc>
          <w:tcPr>
            <w:tcW w:w="1260" w:type="dxa"/>
          </w:tcPr>
          <w:p w14:paraId="1F2DF12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xylenes</w:t>
            </w:r>
          </w:p>
        </w:tc>
        <w:tc>
          <w:tcPr>
            <w:tcW w:w="810" w:type="dxa"/>
          </w:tcPr>
          <w:p w14:paraId="4089160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145</w:t>
            </w:r>
          </w:p>
        </w:tc>
        <w:tc>
          <w:tcPr>
            <w:tcW w:w="810" w:type="dxa"/>
          </w:tcPr>
          <w:p w14:paraId="661EA82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24</w:t>
            </w:r>
          </w:p>
        </w:tc>
        <w:tc>
          <w:tcPr>
            <w:tcW w:w="1350" w:type="dxa"/>
          </w:tcPr>
          <w:p w14:paraId="41253D4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4CABA7B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704E5E7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4B5CD61F" w14:textId="77777777" w:rsidTr="00562397">
        <w:tc>
          <w:tcPr>
            <w:tcW w:w="805" w:type="dxa"/>
          </w:tcPr>
          <w:p w14:paraId="531F3B0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25</w:t>
            </w:r>
          </w:p>
        </w:tc>
        <w:tc>
          <w:tcPr>
            <w:tcW w:w="2430" w:type="dxa"/>
          </w:tcPr>
          <w:p w14:paraId="7028598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Pd/C</w:t>
            </w:r>
          </w:p>
        </w:tc>
        <w:tc>
          <w:tcPr>
            <w:tcW w:w="1260" w:type="dxa"/>
          </w:tcPr>
          <w:p w14:paraId="56FE7B29"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tol</w:t>
            </w:r>
            <w:proofErr w:type="spellEnd"/>
            <w:r w:rsidRPr="007B7129">
              <w:rPr>
                <w:rFonts w:cs="Times New Roman"/>
                <w:bCs/>
                <w:color w:val="000000"/>
                <w:szCs w:val="24"/>
                <w:shd w:val="clear" w:color="auto" w:fill="FFFFFF"/>
              </w:rPr>
              <w:t>/</w:t>
            </w:r>
            <w:proofErr w:type="spellStart"/>
            <w:r w:rsidRPr="007B7129">
              <w:rPr>
                <w:rFonts w:cs="Times New Roman"/>
                <w:bCs/>
                <w:color w:val="000000"/>
                <w:szCs w:val="24"/>
                <w:shd w:val="clear" w:color="auto" w:fill="FFFFFF"/>
              </w:rPr>
              <w:t>BuOH</w:t>
            </w:r>
            <w:proofErr w:type="spellEnd"/>
          </w:p>
        </w:tc>
        <w:tc>
          <w:tcPr>
            <w:tcW w:w="810" w:type="dxa"/>
          </w:tcPr>
          <w:p w14:paraId="7BC7B0E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36D9918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w:t>
            </w:r>
          </w:p>
        </w:tc>
        <w:tc>
          <w:tcPr>
            <w:tcW w:w="1350" w:type="dxa"/>
          </w:tcPr>
          <w:p w14:paraId="53B120E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4D47A8C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51231EA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r>
      <w:tr w:rsidR="007B7129" w:rsidRPr="007B7129" w14:paraId="1643D985" w14:textId="77777777" w:rsidTr="00562397">
        <w:tc>
          <w:tcPr>
            <w:tcW w:w="805" w:type="dxa"/>
          </w:tcPr>
          <w:p w14:paraId="438F4618" w14:textId="77777777" w:rsidR="007B7129" w:rsidRPr="007B7129" w:rsidRDefault="007B7129" w:rsidP="007B7129">
            <w:pPr>
              <w:spacing w:line="240" w:lineRule="auto"/>
              <w:contextualSpacing/>
              <w:jc w:val="center"/>
              <w:rPr>
                <w:rFonts w:cs="Times New Roman"/>
                <w:bCs/>
                <w:color w:val="000000"/>
                <w:szCs w:val="24"/>
                <w:shd w:val="clear" w:color="auto" w:fill="FFFFFF"/>
              </w:rPr>
            </w:pPr>
            <w:bookmarkStart w:id="303" w:name="_Hlk63939440"/>
            <w:r w:rsidRPr="007B7129">
              <w:rPr>
                <w:rFonts w:cs="Times New Roman"/>
                <w:bCs/>
                <w:color w:val="000000"/>
                <w:szCs w:val="24"/>
                <w:shd w:val="clear" w:color="auto" w:fill="FFFFFF"/>
              </w:rPr>
              <w:t>26</w:t>
            </w:r>
          </w:p>
        </w:tc>
        <w:tc>
          <w:tcPr>
            <w:tcW w:w="2430" w:type="dxa"/>
          </w:tcPr>
          <w:p w14:paraId="6A80D09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Pd/C, Li</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3</w:t>
            </w:r>
          </w:p>
        </w:tc>
        <w:tc>
          <w:tcPr>
            <w:tcW w:w="1260" w:type="dxa"/>
          </w:tcPr>
          <w:p w14:paraId="6ACF5B2A"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tol</w:t>
            </w:r>
            <w:proofErr w:type="spellEnd"/>
            <w:r w:rsidRPr="007B7129">
              <w:rPr>
                <w:rFonts w:cs="Times New Roman"/>
                <w:bCs/>
                <w:color w:val="000000"/>
                <w:szCs w:val="24"/>
                <w:shd w:val="clear" w:color="auto" w:fill="FFFFFF"/>
              </w:rPr>
              <w:t>/</w:t>
            </w:r>
            <w:proofErr w:type="spellStart"/>
            <w:r w:rsidRPr="007B7129">
              <w:rPr>
                <w:rFonts w:cs="Times New Roman"/>
                <w:bCs/>
                <w:color w:val="000000"/>
                <w:szCs w:val="24"/>
                <w:shd w:val="clear" w:color="auto" w:fill="FFFFFF"/>
              </w:rPr>
              <w:t>BuOH</w:t>
            </w:r>
            <w:proofErr w:type="spellEnd"/>
          </w:p>
        </w:tc>
        <w:tc>
          <w:tcPr>
            <w:tcW w:w="810" w:type="dxa"/>
          </w:tcPr>
          <w:p w14:paraId="2FE9557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257F9B3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c>
          <w:tcPr>
            <w:tcW w:w="1350" w:type="dxa"/>
          </w:tcPr>
          <w:p w14:paraId="2B71FAD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4EB1325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7EE4454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bookmarkEnd w:id="303"/>
      <w:tr w:rsidR="007B7129" w:rsidRPr="007B7129" w14:paraId="65A842FC" w14:textId="77777777" w:rsidTr="00562397">
        <w:tc>
          <w:tcPr>
            <w:tcW w:w="805" w:type="dxa"/>
          </w:tcPr>
          <w:p w14:paraId="43FC737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27</w:t>
            </w:r>
          </w:p>
        </w:tc>
        <w:tc>
          <w:tcPr>
            <w:tcW w:w="2430" w:type="dxa"/>
          </w:tcPr>
          <w:p w14:paraId="46E7A11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Ag</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3</w:t>
            </w:r>
            <w:r w:rsidRPr="007B7129">
              <w:rPr>
                <w:rFonts w:cs="Times New Roman"/>
                <w:bCs/>
                <w:color w:val="000000"/>
                <w:szCs w:val="24"/>
                <w:shd w:val="clear" w:color="auto" w:fill="FFFFFF"/>
              </w:rPr>
              <w:t>, Li</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3</w:t>
            </w:r>
          </w:p>
        </w:tc>
        <w:tc>
          <w:tcPr>
            <w:tcW w:w="1260" w:type="dxa"/>
          </w:tcPr>
          <w:p w14:paraId="3F1C7E1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DMF</w:t>
            </w:r>
          </w:p>
        </w:tc>
        <w:tc>
          <w:tcPr>
            <w:tcW w:w="810" w:type="dxa"/>
          </w:tcPr>
          <w:p w14:paraId="431D5CA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155</w:t>
            </w:r>
          </w:p>
        </w:tc>
        <w:tc>
          <w:tcPr>
            <w:tcW w:w="810" w:type="dxa"/>
          </w:tcPr>
          <w:p w14:paraId="5877F33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48</w:t>
            </w:r>
          </w:p>
        </w:tc>
        <w:tc>
          <w:tcPr>
            <w:tcW w:w="1350" w:type="dxa"/>
          </w:tcPr>
          <w:p w14:paraId="0CB9830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1080" w:type="dxa"/>
          </w:tcPr>
          <w:p w14:paraId="43E58B4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581CD87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30</w:t>
            </w:r>
          </w:p>
        </w:tc>
      </w:tr>
    </w:tbl>
    <w:p w14:paraId="4D6D65BC" w14:textId="7538FCA4" w:rsidR="007B7129" w:rsidRPr="007B7129" w:rsidRDefault="007B7129" w:rsidP="007B7129">
      <w:pPr>
        <w:spacing w:after="0" w:line="240" w:lineRule="auto"/>
        <w:rPr>
          <w:rFonts w:cs="Times New Roman"/>
          <w:szCs w:val="24"/>
        </w:rPr>
      </w:pPr>
      <w:r w:rsidRPr="007B7129">
        <w:rPr>
          <w:rFonts w:cs="Times New Roman"/>
          <w:szCs w:val="24"/>
        </w:rPr>
        <w:t xml:space="preserve">ND = no data. </w:t>
      </w:r>
      <w:r w:rsidRPr="007B7129">
        <w:rPr>
          <w:rFonts w:cs="Times New Roman"/>
          <w:szCs w:val="24"/>
          <w:vertAlign w:val="superscript"/>
        </w:rPr>
        <w:t xml:space="preserve">a </w:t>
      </w:r>
      <w:r w:rsidRPr="007B7129">
        <w:rPr>
          <w:rFonts w:cs="Times New Roman"/>
          <w:szCs w:val="24"/>
        </w:rPr>
        <w:t>Qualitative</w:t>
      </w:r>
      <w:r w:rsidRPr="007B7129">
        <w:rPr>
          <w:rFonts w:cs="Times New Roman"/>
          <w:szCs w:val="24"/>
          <w:vertAlign w:val="superscript"/>
        </w:rPr>
        <w:t xml:space="preserve"> </w:t>
      </w:r>
      <w:r w:rsidRPr="007B7129">
        <w:rPr>
          <w:rFonts w:cs="Times New Roman"/>
          <w:szCs w:val="24"/>
        </w:rPr>
        <w:t xml:space="preserve">result based on thin layer chromatography (TLC). </w:t>
      </w:r>
      <w:r w:rsidRPr="007B7129">
        <w:rPr>
          <w:rFonts w:cs="Times New Roman"/>
          <w:szCs w:val="24"/>
          <w:vertAlign w:val="superscript"/>
        </w:rPr>
        <w:t xml:space="preserve">b </w:t>
      </w:r>
      <w:r w:rsidRPr="007B7129">
        <w:rPr>
          <w:rFonts w:cs="Times New Roman"/>
          <w:szCs w:val="24"/>
        </w:rPr>
        <w:t xml:space="preserve">Isolated yield after column chromatography. </w:t>
      </w:r>
    </w:p>
    <w:p w14:paraId="78E4AA2C" w14:textId="77777777" w:rsidR="007B7129" w:rsidRPr="007B7129" w:rsidRDefault="007B7129" w:rsidP="007B7129">
      <w:pPr>
        <w:spacing w:after="0"/>
        <w:rPr>
          <w:rFonts w:eastAsia="Times New Roman" w:cs="Times New Roman"/>
          <w:szCs w:val="20"/>
        </w:rPr>
      </w:pPr>
    </w:p>
    <w:p w14:paraId="776141C2" w14:textId="07ACEC20"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lastRenderedPageBreak/>
        <w:t>Interestingly, a recent communication in Tetrahedron Letters reported in the commentary that a researcher mistakenly selected silver carbonate (Ag</w:t>
      </w:r>
      <w:r w:rsidRPr="007B7129">
        <w:rPr>
          <w:rFonts w:eastAsia="Times New Roman" w:cs="Times New Roman"/>
          <w:szCs w:val="20"/>
          <w:vertAlign w:val="subscript"/>
        </w:rPr>
        <w:t>2</w:t>
      </w:r>
      <w:r w:rsidRPr="007B7129">
        <w:rPr>
          <w:rFonts w:eastAsia="Times New Roman" w:cs="Times New Roman"/>
          <w:szCs w:val="20"/>
        </w:rPr>
        <w:t>CO</w:t>
      </w:r>
      <w:r w:rsidRPr="007B7129">
        <w:rPr>
          <w:rFonts w:eastAsia="Times New Roman" w:cs="Times New Roman"/>
          <w:szCs w:val="20"/>
          <w:vertAlign w:val="subscript"/>
        </w:rPr>
        <w:t>3</w:t>
      </w:r>
      <w:r w:rsidRPr="007B7129">
        <w:rPr>
          <w:rFonts w:eastAsia="Times New Roman" w:cs="Times New Roman"/>
          <w:szCs w:val="20"/>
        </w:rPr>
        <w:t>) instead of a traditional hydrogenation metal while running a reaction, and serendipitously discovered a silver-mediated oxidation THBCs into their aromatic counterparts.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{"citationID":"KmN3xcPm","properties":{"formattedCitation":"\\super 59\\nosupersub{}","plainCitation":"59","noteIndex":0},"citationItems":[{"id":294,"uris":["http://zotero.org/users/6503767/items/HSEZWL7C"],"itemData":{"id":294,"type":"article-journal","abstract":"The oxidation of tetrahydro-b-carbolines to b-carbolines using silver carbonate was developed as an alternative to current methods. The oxidation is extremely mild and provides the products in modest to good yields after puriﬁcation. A number of functional groups are tolerated by this methodology, including reduction-sensitive groups which are often cleaved with other methods. Though the mechanism is not fully understood, the reaction proceeds in an open ﬂask, is not sensitive to light or moisture, and provides a viable synthetic route to compounds that are not easily prepared via other methodologies. Ó 2017 Elsevier Ltd. All rights reserved.","container-title":"Tetrahedron Letters","DOI":"10.1016/j.tetlet.2017.05.098","ISSN":"00404039","issue":"28","journalAbbreviation":"Tetrahedron Letters","language":"en","page":"2747-2750","source":"DOI.org (Crossref)","title":"Synthesis of β-carbolines via a silver-mediated oxidation of tetrahydro-β-carbolines","volume":"58","author":[{"family":"Durham","given":"Sierra D."},{"family":"Sierra","given":"Brianna"},{"family":"Gomez","given":"Maximillian J."},{"family":"Tran","given":"Jennifer K."},{"family":"Anderson","given":"Marc O."},{"family":"Whittington-Davis","given":"Nick A."},{"family":"Eagon","given":"Scott"}],"issued":{"date-parts":[["2017",7]]}}}],"schema":"https://github.com/citation-style-language/schema/raw/master/csl-citation.json"}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59</w:t>
      </w:r>
      <w:r w:rsidRPr="007B7129">
        <w:rPr>
          <w:rFonts w:eastAsia="Times New Roman" w:cs="Times New Roman"/>
          <w:szCs w:val="20"/>
        </w:rPr>
        <w:fldChar w:fldCharType="end"/>
      </w:r>
      <w:r w:rsidRPr="007B7129">
        <w:rPr>
          <w:rFonts w:eastAsia="Times New Roman" w:cs="Times New Roman"/>
          <w:szCs w:val="20"/>
        </w:rPr>
        <w:t xml:space="preserve"> This mistake was a fortunate one for me, because a mixture of Ag</w:t>
      </w:r>
      <w:r w:rsidRPr="007B7129">
        <w:rPr>
          <w:rFonts w:eastAsia="Times New Roman" w:cs="Times New Roman"/>
          <w:szCs w:val="20"/>
          <w:vertAlign w:val="subscript"/>
        </w:rPr>
        <w:t>2</w:t>
      </w:r>
      <w:r w:rsidRPr="007B7129">
        <w:rPr>
          <w:rFonts w:eastAsia="Times New Roman" w:cs="Times New Roman"/>
          <w:szCs w:val="20"/>
        </w:rPr>
        <w:t>CO</w:t>
      </w:r>
      <w:r w:rsidRPr="007B7129">
        <w:rPr>
          <w:rFonts w:eastAsia="Times New Roman" w:cs="Times New Roman"/>
          <w:szCs w:val="20"/>
          <w:vertAlign w:val="subscript"/>
        </w:rPr>
        <w:t>3</w:t>
      </w:r>
      <w:r w:rsidRPr="007B7129">
        <w:rPr>
          <w:rFonts w:eastAsia="Times New Roman" w:cs="Times New Roman"/>
          <w:szCs w:val="20"/>
        </w:rPr>
        <w:t xml:space="preserve"> and lithium carbonate (Li</w:t>
      </w:r>
      <w:r w:rsidRPr="007B7129">
        <w:rPr>
          <w:rFonts w:eastAsia="Times New Roman" w:cs="Times New Roman"/>
          <w:szCs w:val="20"/>
          <w:vertAlign w:val="subscript"/>
        </w:rPr>
        <w:t>2</w:t>
      </w:r>
      <w:r w:rsidRPr="007B7129">
        <w:rPr>
          <w:rFonts w:eastAsia="Times New Roman" w:cs="Times New Roman"/>
          <w:szCs w:val="20"/>
        </w:rPr>
        <w:t>CO</w:t>
      </w:r>
      <w:r w:rsidRPr="007B7129">
        <w:rPr>
          <w:rFonts w:eastAsia="Times New Roman" w:cs="Times New Roman"/>
          <w:szCs w:val="20"/>
          <w:vertAlign w:val="subscript"/>
        </w:rPr>
        <w:t>3</w:t>
      </w:r>
      <w:r w:rsidRPr="007B7129">
        <w:rPr>
          <w:rFonts w:eastAsia="Times New Roman" w:cs="Times New Roman"/>
          <w:szCs w:val="20"/>
        </w:rPr>
        <w:t xml:space="preserve">) in refluxing dimethylformamide (DMF) for 24 – 48 h provided the desired β-carboline </w:t>
      </w:r>
      <w:r w:rsidRPr="007B7129">
        <w:rPr>
          <w:rFonts w:eastAsia="Times New Roman" w:cs="Times New Roman"/>
          <w:b/>
          <w:bCs/>
          <w:szCs w:val="20"/>
        </w:rPr>
        <w:t xml:space="preserve">3.36 </w:t>
      </w:r>
      <w:r w:rsidRPr="007B7129">
        <w:rPr>
          <w:rFonts w:eastAsia="Times New Roman" w:cs="Times New Roman"/>
          <w:szCs w:val="20"/>
        </w:rPr>
        <w:t>at a humble yet fortuitous 30% yield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_Ref86431719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3.3</w:t>
      </w:r>
      <w:r w:rsidRPr="007B7129">
        <w:rPr>
          <w:rFonts w:eastAsia="Times New Roman" w:cs="Times New Roman"/>
          <w:b/>
          <w:bCs/>
          <w:szCs w:val="20"/>
        </w:rPr>
        <w:fldChar w:fldCharType="end"/>
      </w:r>
      <w:r w:rsidRPr="007B7129">
        <w:rPr>
          <w:rFonts w:eastAsia="Times New Roman" w:cs="Times New Roman"/>
          <w:szCs w:val="20"/>
        </w:rPr>
        <w:t xml:space="preserve">, entry 26). This reaction still has its limitations, however, as 1) the silver reagent must be used in stoichiometric or super-stoichiometric amounts, 2) it requires harsh reaction temperatures of 150 – 175 ̊C, and 3) the reaction must be exceptionally anhydrous. As such, the aromatization step to form β-carboline </w:t>
      </w:r>
      <w:r w:rsidRPr="007B7129">
        <w:rPr>
          <w:rFonts w:eastAsia="Times New Roman" w:cs="Times New Roman"/>
          <w:b/>
          <w:bCs/>
          <w:szCs w:val="20"/>
        </w:rPr>
        <w:t>3.36</w:t>
      </w:r>
      <w:r w:rsidRPr="007B7129">
        <w:rPr>
          <w:rFonts w:eastAsia="Times New Roman" w:cs="Times New Roman"/>
          <w:szCs w:val="20"/>
        </w:rPr>
        <w:t xml:space="preserve"> acts as a bottle-neck step due to low yields. Despite the less than optimal ecological and economic consequences, two equivalents of Li</w:t>
      </w:r>
      <w:r w:rsidRPr="007B7129">
        <w:rPr>
          <w:rFonts w:eastAsia="Times New Roman" w:cs="Times New Roman"/>
          <w:szCs w:val="20"/>
          <w:vertAlign w:val="subscript"/>
        </w:rPr>
        <w:t>2</w:t>
      </w:r>
      <w:r w:rsidRPr="007B7129">
        <w:rPr>
          <w:rFonts w:eastAsia="Times New Roman" w:cs="Times New Roman"/>
          <w:szCs w:val="20"/>
        </w:rPr>
        <w:t>CO</w:t>
      </w:r>
      <w:r w:rsidRPr="007B7129">
        <w:rPr>
          <w:rFonts w:eastAsia="Times New Roman" w:cs="Times New Roman"/>
          <w:szCs w:val="20"/>
          <w:vertAlign w:val="subscript"/>
        </w:rPr>
        <w:t>3</w:t>
      </w:r>
      <w:r w:rsidRPr="007B7129">
        <w:rPr>
          <w:rFonts w:eastAsia="Times New Roman" w:cs="Times New Roman"/>
          <w:szCs w:val="20"/>
        </w:rPr>
        <w:t>, one equivalent of Ag</w:t>
      </w:r>
      <w:r w:rsidRPr="007B7129">
        <w:rPr>
          <w:rFonts w:eastAsia="Times New Roman" w:cs="Times New Roman"/>
          <w:szCs w:val="20"/>
          <w:vertAlign w:val="subscript"/>
        </w:rPr>
        <w:t>2</w:t>
      </w:r>
      <w:r w:rsidRPr="007B7129">
        <w:rPr>
          <w:rFonts w:eastAsia="Times New Roman" w:cs="Times New Roman"/>
          <w:szCs w:val="20"/>
        </w:rPr>
        <w:t>CO</w:t>
      </w:r>
      <w:r w:rsidRPr="007B7129">
        <w:rPr>
          <w:rFonts w:eastAsia="Times New Roman" w:cs="Times New Roman"/>
          <w:szCs w:val="20"/>
          <w:vertAlign w:val="subscript"/>
        </w:rPr>
        <w:t>3</w:t>
      </w:r>
      <w:r w:rsidRPr="007B7129">
        <w:rPr>
          <w:rFonts w:eastAsia="Times New Roman" w:cs="Times New Roman"/>
          <w:szCs w:val="20"/>
        </w:rPr>
        <w:t xml:space="preserve"> in degassed DMF and refluxing for 2 d became the standard reaction conditions for the aromatization of THBC </w:t>
      </w:r>
      <w:r w:rsidRPr="007B7129">
        <w:rPr>
          <w:rFonts w:eastAsia="Times New Roman" w:cs="Times New Roman"/>
          <w:b/>
          <w:bCs/>
          <w:szCs w:val="20"/>
        </w:rPr>
        <w:t>3.34</w:t>
      </w:r>
      <w:r w:rsidRPr="007B7129">
        <w:rPr>
          <w:rFonts w:eastAsia="Times New Roman" w:cs="Times New Roman"/>
          <w:szCs w:val="20"/>
        </w:rPr>
        <w:t xml:space="preserve">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_Ref86436743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Pr="007B7129">
        <w:rPr>
          <w:rFonts w:eastAsia="Times New Roman" w:cs="Times New Roman"/>
          <w:szCs w:val="20"/>
        </w:rPr>
        <w:t xml:space="preserve">). </w:t>
      </w:r>
    </w:p>
    <w:p w14:paraId="69249F58" w14:textId="77777777" w:rsidR="007B7129" w:rsidRPr="007B7129" w:rsidRDefault="007B7129" w:rsidP="007B7129">
      <w:pPr>
        <w:spacing w:after="0"/>
        <w:ind w:firstLine="720"/>
        <w:rPr>
          <w:rFonts w:eastAsia="Times New Roman" w:cs="Times New Roman"/>
          <w:szCs w:val="20"/>
        </w:rPr>
      </w:pPr>
      <w:r w:rsidRPr="007B7129">
        <w:rPr>
          <w:rFonts w:eastAsia="Times New Roman" w:cs="Times New Roman"/>
          <w:noProof/>
          <w:szCs w:val="20"/>
        </w:rPr>
        <mc:AlternateContent>
          <mc:Choice Requires="wps">
            <w:drawing>
              <wp:inline distT="0" distB="0" distL="0" distR="0" wp14:anchorId="43F1EF42" wp14:editId="337492EA">
                <wp:extent cx="5029200" cy="1773141"/>
                <wp:effectExtent l="0" t="0" r="19050" b="17780"/>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773141"/>
                        </a:xfrm>
                        <a:prstGeom prst="rect">
                          <a:avLst/>
                        </a:prstGeom>
                        <a:solidFill>
                          <a:srgbClr val="FFFFFF"/>
                        </a:solidFill>
                        <a:ln w="9525">
                          <a:solidFill>
                            <a:srgbClr val="000000"/>
                          </a:solidFill>
                          <a:miter lim="800000"/>
                          <a:headEnd/>
                          <a:tailEnd/>
                        </a:ln>
                      </wps:spPr>
                      <wps:txbx>
                        <w:txbxContent>
                          <w:p w14:paraId="4684CB18" w14:textId="77777777" w:rsidR="007B7129" w:rsidRDefault="007B7129" w:rsidP="007B7129">
                            <w:pPr>
                              <w:spacing w:after="0"/>
                              <w:jc w:val="center"/>
                            </w:pPr>
                            <w:r>
                              <w:object w:dxaOrig="5278" w:dyaOrig="1605" w14:anchorId="042CD219">
                                <v:shape id="_x0000_i1095" type="#_x0000_t75" style="width:265.1pt;height:79.5pt">
                                  <v:imagedata r:id="rId272" o:title=""/>
                                </v:shape>
                                <o:OLEObject Type="Embed" ProgID="ChemDraw.Document.6.0" ShapeID="_x0000_i1095" DrawAspect="Content" ObjectID="_1713353503" r:id="rId273"/>
                              </w:object>
                            </w:r>
                          </w:p>
                          <w:p w14:paraId="6F703287" w14:textId="2C11E6E2" w:rsidR="007B7129" w:rsidRDefault="007B7129" w:rsidP="00DF51F5">
                            <w:pPr>
                              <w:pStyle w:val="Caption"/>
                            </w:pPr>
                            <w:bookmarkStart w:id="304" w:name="_Ref86436743"/>
                            <w:r>
                              <w:t>Scheme 3.</w:t>
                            </w:r>
                            <w:bookmarkEnd w:id="304"/>
                            <w:r w:rsidR="009A5AC9">
                              <w:t>9</w:t>
                            </w:r>
                            <w:r>
                              <w:t xml:space="preserve">. Oxidative aromatization of THBC </w:t>
                            </w:r>
                            <w:r>
                              <w:rPr>
                                <w:bCs/>
                              </w:rPr>
                              <w:t>3.3 (Step 2)</w:t>
                            </w:r>
                            <w:r>
                              <w:t>.</w:t>
                            </w:r>
                          </w:p>
                          <w:p w14:paraId="3E4F6AF1" w14:textId="77777777" w:rsidR="007B7129" w:rsidRPr="00631712" w:rsidRDefault="007B7129" w:rsidP="007B7129">
                            <w:r>
                              <w:t>Reagents and conditions: Ag</w:t>
                            </w:r>
                            <w:r w:rsidRPr="00631712">
                              <w:rPr>
                                <w:vertAlign w:val="subscript"/>
                              </w:rPr>
                              <w:t>2</w:t>
                            </w:r>
                            <w:r>
                              <w:t>CO</w:t>
                            </w:r>
                            <w:r w:rsidRPr="00631712">
                              <w:rPr>
                                <w:vertAlign w:val="subscript"/>
                              </w:rPr>
                              <w:t>3</w:t>
                            </w:r>
                            <w:r>
                              <w:t>, Li</w:t>
                            </w:r>
                            <w:r w:rsidRPr="00631712">
                              <w:rPr>
                                <w:vertAlign w:val="subscript"/>
                              </w:rPr>
                              <w:t>2</w:t>
                            </w:r>
                            <w:r>
                              <w:t>CO</w:t>
                            </w:r>
                            <w:r w:rsidRPr="00631712">
                              <w:rPr>
                                <w:vertAlign w:val="subscript"/>
                              </w:rPr>
                              <w:t>3</w:t>
                            </w:r>
                            <w:r>
                              <w:t xml:space="preserve">, DMF, 150 </w:t>
                            </w:r>
                            <w:r>
                              <w:rPr>
                                <w:rFonts w:cs="Times New Roman"/>
                              </w:rPr>
                              <w:t>̊</w:t>
                            </w:r>
                            <w:r>
                              <w:t>C, 24 h.</w:t>
                            </w:r>
                          </w:p>
                          <w:p w14:paraId="07C669CF" w14:textId="77777777" w:rsidR="007B7129" w:rsidRDefault="007B7129" w:rsidP="007B7129"/>
                        </w:txbxContent>
                      </wps:txbx>
                      <wps:bodyPr rot="0" vert="horz" wrap="square" lIns="91440" tIns="45720" rIns="91440" bIns="45720" anchor="t" anchorCtr="0">
                        <a:noAutofit/>
                      </wps:bodyPr>
                    </wps:wsp>
                  </a:graphicData>
                </a:graphic>
              </wp:inline>
            </w:drawing>
          </mc:Choice>
          <mc:Fallback>
            <w:pict>
              <v:shape w14:anchorId="43F1EF42" id="_x0000_s1089" type="#_x0000_t202" style="width:396pt;height:13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">
                <v:textbox>
                  <w:txbxContent>
                    <w:p w14:paraId="4684CB18" w14:textId="77777777" w:rsidR="007B7129" w:rsidRDefault="007B7129" w:rsidP="007B7129">
                      <w:pPr>
                        <w:spacing w:after="0"/>
                        <w:jc w:val="center"/>
                      </w:pPr>
                      <w:r>
                        <w:object w:dxaOrig="5278" w:dyaOrig="1605" w14:anchorId="042CD219">
                          <v:shape id="_x0000_i1095" type="#_x0000_t75" style="width:265.1pt;height:79.5pt">
                            <v:imagedata r:id="rId272" o:title=""/>
                          </v:shape>
                          <o:OLEObject Type="Embed" ProgID="ChemDraw.Document.6.0" ShapeID="_x0000_i1095" DrawAspect="Content" ObjectID="_1713353503" r:id="rId274"/>
                        </w:object>
                      </w:r>
                    </w:p>
                    <w:p w14:paraId="6F703287" w14:textId="2C11E6E2" w:rsidR="007B7129" w:rsidRDefault="007B7129" w:rsidP="00DF51F5">
                      <w:pPr>
                        <w:pStyle w:val="Caption"/>
                      </w:pPr>
                      <w:bookmarkStart w:id="305" w:name="_Ref86436743"/>
                      <w:r>
                        <w:t>Scheme 3.</w:t>
                      </w:r>
                      <w:bookmarkEnd w:id="305"/>
                      <w:r w:rsidR="009A5AC9">
                        <w:t>9</w:t>
                      </w:r>
                      <w:r>
                        <w:t xml:space="preserve">. Oxidative aromatization of THBC </w:t>
                      </w:r>
                      <w:r>
                        <w:rPr>
                          <w:bCs/>
                        </w:rPr>
                        <w:t>3.3 (Step 2)</w:t>
                      </w:r>
                      <w:r>
                        <w:t>.</w:t>
                      </w:r>
                    </w:p>
                    <w:p w14:paraId="3E4F6AF1" w14:textId="77777777" w:rsidR="007B7129" w:rsidRPr="00631712" w:rsidRDefault="007B7129" w:rsidP="007B7129">
                      <w:r>
                        <w:t>Reagents and conditions: Ag</w:t>
                      </w:r>
                      <w:r w:rsidRPr="00631712">
                        <w:rPr>
                          <w:vertAlign w:val="subscript"/>
                        </w:rPr>
                        <w:t>2</w:t>
                      </w:r>
                      <w:r>
                        <w:t>CO</w:t>
                      </w:r>
                      <w:r w:rsidRPr="00631712">
                        <w:rPr>
                          <w:vertAlign w:val="subscript"/>
                        </w:rPr>
                        <w:t>3</w:t>
                      </w:r>
                      <w:r>
                        <w:t>, Li</w:t>
                      </w:r>
                      <w:r w:rsidRPr="00631712">
                        <w:rPr>
                          <w:vertAlign w:val="subscript"/>
                        </w:rPr>
                        <w:t>2</w:t>
                      </w:r>
                      <w:r>
                        <w:t>CO</w:t>
                      </w:r>
                      <w:r w:rsidRPr="00631712">
                        <w:rPr>
                          <w:vertAlign w:val="subscript"/>
                        </w:rPr>
                        <w:t>3</w:t>
                      </w:r>
                      <w:r>
                        <w:t xml:space="preserve">, DMF, 150 </w:t>
                      </w:r>
                      <w:r>
                        <w:rPr>
                          <w:rFonts w:cs="Times New Roman"/>
                        </w:rPr>
                        <w:t>̊</w:t>
                      </w:r>
                      <w:r>
                        <w:t>C, 24 h.</w:t>
                      </w:r>
                    </w:p>
                    <w:p w14:paraId="07C669CF" w14:textId="77777777" w:rsidR="007B7129" w:rsidRDefault="007B7129" w:rsidP="007B7129"/>
                  </w:txbxContent>
                </v:textbox>
                <w10:anchorlock/>
              </v:shape>
            </w:pict>
          </mc:Fallback>
        </mc:AlternateContent>
      </w:r>
    </w:p>
    <w:p w14:paraId="3D01D427" w14:textId="41C626DB"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With the disappointing yields and burdensome reaction times of this oxidative aromatization step, attempts to optimize this reaction continued. Microwave-assisted chemical reactions, has emerged as a valuable alternative in organic synthesis and are now well-established practices in the laboratory setting.</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{"citationID":"Uu9hPsX0","properties":{"formattedCitation":"\\super 60\\nosupersub{}","plainCitation":"60","noteIndex":0},"citationItems":[{"id":305,"uris":["http://zotero.org/users/6503767/items/EGS4P5JQ"],"itemData":{"id":305,"type":"article-journal","abstract":"ConspectusThe magic of microwave (MW) heating technique, termed the Bunsen burner of the 21st century, has emerged as a valuable alternative in the synthesis of organic compounds, polymers, inorganic materials, and nanomaterials. Important innovations in MW-assisted chemistry now enable chemists to prepare catalytic materials or nanomaterials and desired organic molecules, selectively, in almost quantitative yields and with greater precision than using conventional heating. By controlling the specific MW parameters (temperature, pressure, and ramping of temperature) and choice of solvents, researchers can now move into the next generation of advanced nanomaterial design and development.Microwave-assisted chemical reactions are now well-established practices in the laboratory setting although some controversy lingers as to how MW irradiation is able to enhance or influence the outcome of chemical reactions. Much of the discussion has focused on whether the observed effects can, in all instances, be rationalized by purely thermal Arrhenius-based phenomena (thermal microwave effects), that is, the importance of the rapid heating and high bulk reaction temperatures that are achievable using MW dielectric heating in sealed reaction vessels, or whether these observations can be explained by so-called “nonthermal” or “specific microwave” effects.In recent years, innovative and significant advances have occurred in MW hardware development to help delineate MW effects, especially the use of silicon carbide (SiC) reaction vessels and the accurate measurement of temperature using fiber optic (FO) temperature probes. SiC reactors appear to be good alternatives to MW transparent borosilicate glass, because of their high microwave absorptivity, and as such they serve as valuable tools to demystify the claimed magical MW effects. This enables one to evaluate the influence of the electromagnetic field on the specific chemical reactions, under truly identical conventional heating conditions, wherein temperature is measured accurately by fiber optic (FO) probe.This Account describes the current status of MW-assisted synthesis highlighting the introduction of various prototypes of equipment, classes of organic reactions pursued using nanomaterials, and the synthesis of unique and multifunctional nanomaterials; the ensuing nanomaterials possess zero-dimensional to three-dimensional shapes, such as spherical, hexagonal, nanoprisms, star shapes, and nanorods. The synthesis of well-defined nanomaterials and nanocatalysts is an integral part of nanotechnology and catalysis science, because it is imperative to control their size, shape, and compositional engineering for unique deployment in the field of nanocatalysis and organic synthesis.MW-assisted methods have been employed for the convenient and reproducible synthesis of well-defined noble and transition core–shell metallic nanoparticles with tunable shell thicknesses. Some of the distinctive attributes of MW-selective heating in the synthesis and applications of magnetic nanocatalysts in organic synthesis under benign reaction conditions are highlighted. Sustainable nanomaterials and their applications in benign media are an ideal blend for the development of greener methodologies in organic synthesis; MW heating provides superb value to the overall sustainable process development via process intensification including the flow systems.","container-title":"Accounts of Chemical Research","DOI":"10.1021/ar400309b","ISSN":"0001-4842","issue":"4","journalAbbreviation":"Acc. Chem. Res.","note":"publisher: American Chemical Society","page":"1338-1348","source":"ACS Publications","title":"Microwave-Assisted Chemistry: Synthetic Applications for Rapid Assembly of Nanomaterials and Organics","title-short":"Microwave-Assisted Chemistry","volume":"47","author":[{"family":"Gawande","given":"Manoj B."},{"family":"Shelke","given":"Sharad N."},{"family":"Zboril","given":"Radek"},{"family":"Varma","given":"Rajender S."}],"issued":{"date-parts":[["2014",4,15]]}}}],"schema":"https://github.com/citation-style-language/schema/raw/master/csl-citation.json"}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60</w:t>
      </w:r>
      <w:r w:rsidRPr="007B7129">
        <w:rPr>
          <w:rFonts w:eastAsia="Times New Roman" w:cs="Times New Roman"/>
          <w:szCs w:val="20"/>
        </w:rPr>
        <w:fldChar w:fldCharType="end"/>
      </w:r>
      <w:r w:rsidRPr="007B7129">
        <w:rPr>
          <w:rFonts w:eastAsia="Times New Roman" w:cs="Times New Roman"/>
          <w:szCs w:val="20"/>
        </w:rPr>
        <w:t xml:space="preserve"> The microwave-mediated aromatization of THBCs had been previously reported, utilizing catalytic Pd/C in a 75:25 mixture of toluene and n-butanol.</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{"citationID":"kHKMyg0z","properties":{"formattedCitation":"\\super 61\\nosupersub{}","plainCitation":"61","noteIndex":0},"citationItems":[{"id":293,"uris":["http://zotero.org/users/6503767/items/NBAKVPYB"],"itemData":{"id":293,"type":"article-journal","container-title":"European Journal of Organic Chemistry","DOI":"10.1002/ejoc.201301580","ISSN":"1434193X","issue":"8","journalAbbreviation":"Eur. J. Org. Chem.","language":"en","page":"1653-1665","source":"DOI.org (Crossref)","title":"Microwave-Assisted Synthesis of Tetrahydro-β-carbolines and β-Carbolines: Microwave-Assisted Synthesis of β-Carbolines and Congeners","title-short":"Microwave-Assisted Synthesis of Tetrahydro-β-carbolines and β-Carbolines","volume":"2014","author":[{"family":"Eagon","given":"Scott"},{"family":"Anderson","given":"Marc O."}],"issued":{"date-parts":[["2014",3]]}}}],"schema":"https://github.com/citation-style-language/schema/raw/master/csl-citation.json"}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61</w:t>
      </w:r>
      <w:r w:rsidRPr="007B7129">
        <w:rPr>
          <w:rFonts w:eastAsia="Times New Roman" w:cs="Times New Roman"/>
          <w:szCs w:val="20"/>
        </w:rPr>
        <w:fldChar w:fldCharType="end"/>
      </w:r>
      <w:r w:rsidRPr="007B7129">
        <w:rPr>
          <w:rFonts w:eastAsia="Times New Roman" w:cs="Times New Roman"/>
          <w:szCs w:val="20"/>
        </w:rPr>
        <w:t xml:space="preserve"> This </w:t>
      </w:r>
      <w:r w:rsidRPr="007B7129">
        <w:rPr>
          <w:rFonts w:eastAsia="Times New Roman" w:cs="Times New Roman"/>
          <w:szCs w:val="20"/>
        </w:rPr>
        <w:lastRenderedPageBreak/>
        <w:t xml:space="preserve">method, however, failed to prove useful for this specific THBC substrate </w:t>
      </w:r>
      <w:r w:rsidRPr="007B7129">
        <w:rPr>
          <w:rFonts w:eastAsia="Times New Roman" w:cs="Times New Roman"/>
          <w:b/>
          <w:bCs/>
          <w:szCs w:val="20"/>
        </w:rPr>
        <w:t>3.34</w:t>
      </w:r>
      <w:r w:rsidRPr="007B7129">
        <w:rPr>
          <w:rFonts w:eastAsia="Times New Roman" w:cs="Times New Roman"/>
          <w:szCs w:val="20"/>
        </w:rPr>
        <w:t>, as no product formation was observed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_Ref86669443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3.4</w:t>
      </w:r>
      <w:r w:rsidRPr="007B7129">
        <w:rPr>
          <w:rFonts w:eastAsia="Times New Roman" w:cs="Times New Roman"/>
          <w:b/>
          <w:bCs/>
          <w:szCs w:val="20"/>
        </w:rPr>
        <w:fldChar w:fldCharType="end"/>
      </w:r>
      <w:r w:rsidRPr="007B7129">
        <w:rPr>
          <w:rFonts w:eastAsia="Times New Roman" w:cs="Times New Roman"/>
          <w:szCs w:val="20"/>
        </w:rPr>
        <w:t>, entry 1). Addition of acetic acid or Li</w:t>
      </w:r>
      <w:r w:rsidRPr="007B7129">
        <w:rPr>
          <w:rFonts w:eastAsia="Times New Roman" w:cs="Times New Roman"/>
          <w:szCs w:val="20"/>
          <w:vertAlign w:val="subscript"/>
        </w:rPr>
        <w:t>2</w:t>
      </w:r>
      <w:r w:rsidRPr="007B7129">
        <w:rPr>
          <w:rFonts w:eastAsia="Times New Roman" w:cs="Times New Roman"/>
          <w:szCs w:val="20"/>
        </w:rPr>
        <w:t>CO</w:t>
      </w:r>
      <w:r w:rsidRPr="007B7129">
        <w:rPr>
          <w:rFonts w:eastAsia="Times New Roman" w:cs="Times New Roman"/>
          <w:szCs w:val="20"/>
          <w:vertAlign w:val="subscript"/>
        </w:rPr>
        <w:t>3</w:t>
      </w:r>
      <w:r w:rsidRPr="007B7129">
        <w:rPr>
          <w:rFonts w:eastAsia="Times New Roman" w:cs="Times New Roman"/>
          <w:szCs w:val="20"/>
        </w:rPr>
        <w:t xml:space="preserve"> also resulted in no reaction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_Ref86669443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3.4</w:t>
      </w:r>
      <w:r w:rsidRPr="007B7129">
        <w:rPr>
          <w:rFonts w:eastAsia="Times New Roman" w:cs="Times New Roman"/>
          <w:b/>
          <w:bCs/>
          <w:szCs w:val="20"/>
        </w:rPr>
        <w:fldChar w:fldCharType="end"/>
      </w:r>
      <w:r w:rsidRPr="007B7129">
        <w:rPr>
          <w:rFonts w:eastAsia="Times New Roman" w:cs="Times New Roman"/>
          <w:szCs w:val="20"/>
        </w:rPr>
        <w:t>, entries 2 – 3). The silver and lithium salt mixture from the earlier optimized conditions were also tried under microwave radiation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_Ref86669443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3.4</w:t>
      </w:r>
      <w:r w:rsidRPr="007B7129">
        <w:rPr>
          <w:rFonts w:eastAsia="Times New Roman" w:cs="Times New Roman"/>
          <w:b/>
          <w:bCs/>
          <w:szCs w:val="20"/>
        </w:rPr>
        <w:fldChar w:fldCharType="end"/>
      </w:r>
      <w:r w:rsidRPr="007B7129">
        <w:rPr>
          <w:rFonts w:eastAsia="Times New Roman" w:cs="Times New Roman"/>
          <w:szCs w:val="20"/>
        </w:rPr>
        <w:t xml:space="preserve">, entries 5 – 7). Notably, while the microwave-assisted reaction under the optimized conditions did provide some usable product </w:t>
      </w:r>
      <w:r w:rsidRPr="007B7129">
        <w:rPr>
          <w:rFonts w:eastAsia="Times New Roman" w:cs="Times New Roman"/>
          <w:b/>
          <w:bCs/>
          <w:szCs w:val="20"/>
        </w:rPr>
        <w:t xml:space="preserve">3.36 </w:t>
      </w:r>
      <w:r w:rsidRPr="007B7129">
        <w:rPr>
          <w:rFonts w:eastAsia="Times New Roman" w:cs="Times New Roman"/>
          <w:szCs w:val="20"/>
        </w:rPr>
        <w:t xml:space="preserve">in only 8 h, as compared to the 24 h required for traditional heating, microwave methods failed to improve the yield. Furthermore, the specific microwave reactor available to me only operated with a maximum volume of 35 mL, limiting the scale of reaction possible. As such, the conditions in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_Ref86436743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Pr="007B7129">
        <w:rPr>
          <w:rFonts w:eastAsia="Times New Roman" w:cs="Times New Roman"/>
          <w:szCs w:val="20"/>
        </w:rPr>
        <w:t xml:space="preserve"> remained the best option for </w:t>
      </w:r>
      <w:r w:rsidRPr="007B7129">
        <w:rPr>
          <w:rFonts w:eastAsia="Times New Roman" w:cs="Times New Roman"/>
          <w:b/>
          <w:bCs/>
          <w:szCs w:val="20"/>
        </w:rPr>
        <w:t>Step 2</w:t>
      </w:r>
      <w:r w:rsidRPr="007B7129">
        <w:rPr>
          <w:rFonts w:eastAsia="Times New Roman" w:cs="Times New Roman"/>
          <w:szCs w:val="20"/>
        </w:rPr>
        <w:t xml:space="preserve"> in this total synthesis. </w:t>
      </w:r>
    </w:p>
    <w:p w14:paraId="0A34A633" w14:textId="77777777" w:rsidR="007B7129" w:rsidRPr="007B7129" w:rsidRDefault="007B7129" w:rsidP="007B7129">
      <w:pPr>
        <w:spacing w:after="0"/>
        <w:ind w:firstLine="720"/>
        <w:rPr>
          <w:rFonts w:eastAsia="Times New Roman" w:cs="Times New Roman"/>
          <w:szCs w:val="20"/>
        </w:rPr>
      </w:pPr>
    </w:p>
    <w:p w14:paraId="20D8B7B0" w14:textId="3B4538CE" w:rsidR="007B7129" w:rsidRPr="007B7129" w:rsidRDefault="007B7129" w:rsidP="000624E1">
      <w:pPr>
        <w:spacing w:after="0" w:line="240" w:lineRule="auto"/>
        <w:rPr>
          <w:b/>
          <w:szCs w:val="18"/>
        </w:rPr>
      </w:pPr>
      <w:bookmarkStart w:id="306" w:name="_Ref86669443"/>
      <w:r w:rsidRPr="007B7129">
        <w:rPr>
          <w:b/>
          <w:szCs w:val="18"/>
        </w:rPr>
        <w:t>Table 3.</w:t>
      </w:r>
      <w:r w:rsidRPr="007B7129">
        <w:rPr>
          <w:b/>
          <w:szCs w:val="18"/>
        </w:rPr>
        <w:fldChar w:fldCharType="begin"/>
      </w:r>
      <w:r w:rsidRPr="007B7129">
        <w:rPr>
          <w:b/>
          <w:szCs w:val="18"/>
        </w:rPr>
        <w:instrText xml:space="preserve"> SEQ Table \* ARABIC </w:instrText>
      </w:r>
      <w:r w:rsidRPr="007B7129">
        <w:rPr>
          <w:b/>
          <w:szCs w:val="18"/>
        </w:rPr>
        <w:fldChar w:fldCharType="separate"/>
      </w:r>
      <w:r w:rsidR="00AA5AAC">
        <w:rPr>
          <w:b/>
          <w:noProof/>
          <w:szCs w:val="18"/>
        </w:rPr>
        <w:t>4</w:t>
      </w:r>
      <w:r w:rsidRPr="007B7129">
        <w:rPr>
          <w:b/>
          <w:noProof/>
          <w:szCs w:val="18"/>
        </w:rPr>
        <w:fldChar w:fldCharType="end"/>
      </w:r>
      <w:bookmarkEnd w:id="306"/>
      <w:r w:rsidRPr="007B7129">
        <w:rPr>
          <w:b/>
          <w:szCs w:val="18"/>
        </w:rPr>
        <w:t>. Aromatization reactions inside microwave reactor</w:t>
      </w:r>
    </w:p>
    <w:tbl>
      <w:tblPr>
        <w:tblStyle w:val="TableGrid"/>
        <w:tblW w:w="9355" w:type="dxa"/>
        <w:tblLayout w:type="fixed"/>
        <w:tblLook w:val="04A0" w:firstRow="1" w:lastRow="0" w:firstColumn="1" w:lastColumn="0" w:noHBand="0" w:noVBand="1"/>
      </w:tblPr>
      <w:tblGrid>
        <w:gridCol w:w="805"/>
        <w:gridCol w:w="2430"/>
        <w:gridCol w:w="1260"/>
        <w:gridCol w:w="810"/>
        <w:gridCol w:w="810"/>
        <w:gridCol w:w="1350"/>
        <w:gridCol w:w="1080"/>
        <w:gridCol w:w="810"/>
      </w:tblGrid>
      <w:tr w:rsidR="007B7129" w:rsidRPr="007B7129" w14:paraId="1B263EDC" w14:textId="77777777" w:rsidTr="00562397">
        <w:trPr>
          <w:trHeight w:val="1223"/>
        </w:trPr>
        <w:tc>
          <w:tcPr>
            <w:tcW w:w="9355" w:type="dxa"/>
            <w:gridSpan w:val="8"/>
            <w:shd w:val="clear" w:color="auto" w:fill="auto"/>
            <w:vAlign w:val="center"/>
          </w:tcPr>
          <w:p w14:paraId="350BA784" w14:textId="77777777" w:rsidR="007B7129" w:rsidRPr="007B7129" w:rsidRDefault="007B7129" w:rsidP="007B7129">
            <w:pPr>
              <w:spacing w:line="240" w:lineRule="auto"/>
              <w:contextualSpacing/>
              <w:jc w:val="center"/>
              <w:rPr>
                <w:b/>
                <w:color w:val="000000"/>
                <w:shd w:val="clear" w:color="auto" w:fill="FFFFFF"/>
              </w:rPr>
            </w:pPr>
            <w:r w:rsidRPr="007B7129">
              <w:rPr>
                <w:rFonts w:cs="Times New Roman"/>
                <w:b/>
                <w:color w:val="000000"/>
                <w:szCs w:val="24"/>
                <w:shd w:val="clear" w:color="auto" w:fill="FFFFFF"/>
              </w:rPr>
              <w:object w:dxaOrig="6154" w:dyaOrig="1486" w14:anchorId="67C83832">
                <v:shape id="_x0000_i1096" type="#_x0000_t75" style="width:308.55pt;height:73.4pt" o:ole="">
                  <v:imagedata r:id="rId270" o:title=""/>
                </v:shape>
                <o:OLEObject Type="Embed" ProgID="ChemDraw.Document.6.0" ShapeID="_x0000_i1096" DrawAspect="Content" ObjectID="_1713353458" r:id="rId275"/>
              </w:object>
            </w:r>
          </w:p>
        </w:tc>
      </w:tr>
      <w:tr w:rsidR="007B7129" w:rsidRPr="007B7129" w14:paraId="37B0CB5F" w14:textId="77777777" w:rsidTr="00562397">
        <w:tc>
          <w:tcPr>
            <w:tcW w:w="805" w:type="dxa"/>
            <w:shd w:val="clear" w:color="auto" w:fill="E7E6E6" w:themeFill="background2"/>
            <w:vAlign w:val="center"/>
          </w:tcPr>
          <w:p w14:paraId="2546317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Entry</w:t>
            </w:r>
          </w:p>
        </w:tc>
        <w:tc>
          <w:tcPr>
            <w:tcW w:w="2430" w:type="dxa"/>
            <w:shd w:val="clear" w:color="auto" w:fill="E7E6E6" w:themeFill="background2"/>
            <w:vAlign w:val="center"/>
          </w:tcPr>
          <w:p w14:paraId="10E4C79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Reagent(s)</w:t>
            </w:r>
          </w:p>
        </w:tc>
        <w:tc>
          <w:tcPr>
            <w:tcW w:w="1260" w:type="dxa"/>
            <w:shd w:val="clear" w:color="auto" w:fill="E7E6E6" w:themeFill="background2"/>
            <w:vAlign w:val="center"/>
          </w:tcPr>
          <w:p w14:paraId="33CA0DD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Solvent</w:t>
            </w:r>
          </w:p>
        </w:tc>
        <w:tc>
          <w:tcPr>
            <w:tcW w:w="810" w:type="dxa"/>
            <w:shd w:val="clear" w:color="auto" w:fill="E7E6E6" w:themeFill="background2"/>
            <w:vAlign w:val="center"/>
          </w:tcPr>
          <w:p w14:paraId="698232C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Temp (°C)</w:t>
            </w:r>
          </w:p>
        </w:tc>
        <w:tc>
          <w:tcPr>
            <w:tcW w:w="810" w:type="dxa"/>
            <w:shd w:val="clear" w:color="auto" w:fill="E7E6E6" w:themeFill="background2"/>
            <w:vAlign w:val="center"/>
          </w:tcPr>
          <w:p w14:paraId="42E3845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Time (h)</w:t>
            </w:r>
          </w:p>
        </w:tc>
        <w:tc>
          <w:tcPr>
            <w:tcW w:w="1350" w:type="dxa"/>
            <w:shd w:val="clear" w:color="auto" w:fill="E7E6E6" w:themeFill="background2"/>
          </w:tcPr>
          <w:p w14:paraId="2D58DB5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 xml:space="preserve">3.34 </w:t>
            </w:r>
            <w:proofErr w:type="spellStart"/>
            <w:r w:rsidRPr="007B7129">
              <w:rPr>
                <w:rFonts w:cs="Times New Roman"/>
                <w:bCs/>
                <w:color w:val="000000"/>
                <w:szCs w:val="24"/>
                <w:shd w:val="clear" w:color="auto" w:fill="FFFFFF"/>
              </w:rPr>
              <w:t>Consumed</w:t>
            </w:r>
            <w:r w:rsidRPr="007B7129">
              <w:rPr>
                <w:rFonts w:cs="Times New Roman"/>
                <w:bCs/>
                <w:color w:val="000000"/>
                <w:szCs w:val="24"/>
                <w:shd w:val="clear" w:color="auto" w:fill="FFFFFF"/>
                <w:vertAlign w:val="superscript"/>
              </w:rPr>
              <w:t>a</w:t>
            </w:r>
            <w:proofErr w:type="spellEnd"/>
          </w:p>
        </w:tc>
        <w:tc>
          <w:tcPr>
            <w:tcW w:w="1080" w:type="dxa"/>
            <w:shd w:val="clear" w:color="auto" w:fill="E7E6E6" w:themeFill="background2"/>
            <w:vAlign w:val="center"/>
          </w:tcPr>
          <w:p w14:paraId="44E37B5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 xml:space="preserve">3.36 </w:t>
            </w:r>
            <w:proofErr w:type="spellStart"/>
            <w:r w:rsidRPr="007B7129">
              <w:rPr>
                <w:rFonts w:cs="Times New Roman"/>
                <w:bCs/>
                <w:color w:val="000000"/>
                <w:szCs w:val="24"/>
                <w:shd w:val="clear" w:color="auto" w:fill="FFFFFF"/>
              </w:rPr>
              <w:t>Formed</w:t>
            </w:r>
            <w:r w:rsidRPr="007B7129">
              <w:rPr>
                <w:rFonts w:cs="Times New Roman"/>
                <w:bCs/>
                <w:color w:val="000000"/>
                <w:szCs w:val="24"/>
                <w:shd w:val="clear" w:color="auto" w:fill="FFFFFF"/>
                <w:vertAlign w:val="superscript"/>
              </w:rPr>
              <w:t>a</w:t>
            </w:r>
            <w:proofErr w:type="spellEnd"/>
          </w:p>
        </w:tc>
        <w:tc>
          <w:tcPr>
            <w:tcW w:w="810" w:type="dxa"/>
            <w:shd w:val="clear" w:color="auto" w:fill="E7E6E6" w:themeFill="background2"/>
            <w:vAlign w:val="center"/>
          </w:tcPr>
          <w:p w14:paraId="660061B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Yield (</w:t>
            </w:r>
            <w:proofErr w:type="gramStart"/>
            <w:r w:rsidRPr="007B7129">
              <w:rPr>
                <w:rFonts w:cs="Times New Roman"/>
                <w:bCs/>
                <w:color w:val="000000"/>
                <w:szCs w:val="24"/>
                <w:shd w:val="clear" w:color="auto" w:fill="FFFFFF"/>
              </w:rPr>
              <w:t>%)</w:t>
            </w:r>
            <w:r w:rsidRPr="007B7129">
              <w:rPr>
                <w:rFonts w:cs="Times New Roman"/>
                <w:bCs/>
                <w:color w:val="000000"/>
                <w:szCs w:val="24"/>
                <w:shd w:val="clear" w:color="auto" w:fill="FFFFFF"/>
                <w:vertAlign w:val="superscript"/>
              </w:rPr>
              <w:t>b</w:t>
            </w:r>
            <w:proofErr w:type="gramEnd"/>
          </w:p>
        </w:tc>
      </w:tr>
      <w:tr w:rsidR="007B7129" w:rsidRPr="007B7129" w14:paraId="48F44095" w14:textId="77777777" w:rsidTr="00562397">
        <w:tc>
          <w:tcPr>
            <w:tcW w:w="805" w:type="dxa"/>
          </w:tcPr>
          <w:p w14:paraId="1476CFF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w:t>
            </w:r>
          </w:p>
        </w:tc>
        <w:tc>
          <w:tcPr>
            <w:tcW w:w="2430" w:type="dxa"/>
          </w:tcPr>
          <w:p w14:paraId="2D14B8A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Pd/C</w:t>
            </w:r>
          </w:p>
        </w:tc>
        <w:tc>
          <w:tcPr>
            <w:tcW w:w="1260" w:type="dxa"/>
          </w:tcPr>
          <w:p w14:paraId="0EFDBA6A"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tol</w:t>
            </w:r>
            <w:proofErr w:type="spellEnd"/>
            <w:r w:rsidRPr="007B7129">
              <w:rPr>
                <w:rFonts w:cs="Times New Roman"/>
                <w:bCs/>
                <w:color w:val="000000"/>
                <w:szCs w:val="24"/>
                <w:shd w:val="clear" w:color="auto" w:fill="FFFFFF"/>
              </w:rPr>
              <w:t>/</w:t>
            </w:r>
            <w:proofErr w:type="spellStart"/>
            <w:r w:rsidRPr="007B7129">
              <w:rPr>
                <w:rFonts w:cs="Times New Roman"/>
                <w:bCs/>
                <w:color w:val="000000"/>
                <w:szCs w:val="24"/>
                <w:shd w:val="clear" w:color="auto" w:fill="FFFFFF"/>
              </w:rPr>
              <w:t>BuOH</w:t>
            </w:r>
            <w:proofErr w:type="spellEnd"/>
          </w:p>
        </w:tc>
        <w:tc>
          <w:tcPr>
            <w:tcW w:w="810" w:type="dxa"/>
          </w:tcPr>
          <w:p w14:paraId="36E527C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175</w:t>
            </w:r>
          </w:p>
        </w:tc>
        <w:tc>
          <w:tcPr>
            <w:tcW w:w="810" w:type="dxa"/>
          </w:tcPr>
          <w:p w14:paraId="1033209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5</w:t>
            </w:r>
          </w:p>
        </w:tc>
        <w:tc>
          <w:tcPr>
            <w:tcW w:w="1350" w:type="dxa"/>
          </w:tcPr>
          <w:p w14:paraId="1476C01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2AB2F2E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2E1DD15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6F41631F" w14:textId="77777777" w:rsidTr="00562397">
        <w:tc>
          <w:tcPr>
            <w:tcW w:w="805" w:type="dxa"/>
          </w:tcPr>
          <w:p w14:paraId="5D5E6F6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w:t>
            </w:r>
          </w:p>
        </w:tc>
        <w:tc>
          <w:tcPr>
            <w:tcW w:w="2430" w:type="dxa"/>
          </w:tcPr>
          <w:p w14:paraId="0AE4325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 xml:space="preserve">Pd/C, </w:t>
            </w:r>
            <w:proofErr w:type="spellStart"/>
            <w:r w:rsidRPr="007B7129">
              <w:rPr>
                <w:rFonts w:cs="Times New Roman"/>
                <w:bCs/>
                <w:color w:val="000000"/>
                <w:szCs w:val="24"/>
                <w:shd w:val="clear" w:color="auto" w:fill="FFFFFF"/>
              </w:rPr>
              <w:t>AcOH</w:t>
            </w:r>
            <w:proofErr w:type="spellEnd"/>
          </w:p>
        </w:tc>
        <w:tc>
          <w:tcPr>
            <w:tcW w:w="1260" w:type="dxa"/>
          </w:tcPr>
          <w:p w14:paraId="6F6AD88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p-xylene</w:t>
            </w:r>
          </w:p>
        </w:tc>
        <w:tc>
          <w:tcPr>
            <w:tcW w:w="810" w:type="dxa"/>
          </w:tcPr>
          <w:p w14:paraId="7101154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519ADA4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c>
          <w:tcPr>
            <w:tcW w:w="1350" w:type="dxa"/>
          </w:tcPr>
          <w:p w14:paraId="3CB3BAC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5610D22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5E5B4A6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7337E700" w14:textId="77777777" w:rsidTr="00562397">
        <w:tc>
          <w:tcPr>
            <w:tcW w:w="805" w:type="dxa"/>
          </w:tcPr>
          <w:p w14:paraId="3A848E1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w:t>
            </w:r>
          </w:p>
        </w:tc>
        <w:tc>
          <w:tcPr>
            <w:tcW w:w="2430" w:type="dxa"/>
          </w:tcPr>
          <w:p w14:paraId="0A4B6BD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Pd/C, Li</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3</w:t>
            </w:r>
          </w:p>
        </w:tc>
        <w:tc>
          <w:tcPr>
            <w:tcW w:w="1260" w:type="dxa"/>
          </w:tcPr>
          <w:p w14:paraId="0A73B62D"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tol</w:t>
            </w:r>
            <w:proofErr w:type="spellEnd"/>
            <w:r w:rsidRPr="007B7129">
              <w:rPr>
                <w:rFonts w:cs="Times New Roman"/>
                <w:bCs/>
                <w:color w:val="000000"/>
                <w:szCs w:val="24"/>
                <w:shd w:val="clear" w:color="auto" w:fill="FFFFFF"/>
              </w:rPr>
              <w:t>/</w:t>
            </w:r>
            <w:proofErr w:type="spellStart"/>
            <w:r w:rsidRPr="007B7129">
              <w:rPr>
                <w:rFonts w:cs="Times New Roman"/>
                <w:bCs/>
                <w:color w:val="000000"/>
                <w:szCs w:val="24"/>
                <w:shd w:val="clear" w:color="auto" w:fill="FFFFFF"/>
              </w:rPr>
              <w:t>BuOH</w:t>
            </w:r>
            <w:proofErr w:type="spellEnd"/>
          </w:p>
        </w:tc>
        <w:tc>
          <w:tcPr>
            <w:tcW w:w="810" w:type="dxa"/>
          </w:tcPr>
          <w:p w14:paraId="142084E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3E96B63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3.5</w:t>
            </w:r>
          </w:p>
        </w:tc>
        <w:tc>
          <w:tcPr>
            <w:tcW w:w="1350" w:type="dxa"/>
          </w:tcPr>
          <w:p w14:paraId="36D8DC8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1080" w:type="dxa"/>
          </w:tcPr>
          <w:p w14:paraId="3890251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w:t>
            </w:r>
          </w:p>
        </w:tc>
        <w:tc>
          <w:tcPr>
            <w:tcW w:w="810" w:type="dxa"/>
          </w:tcPr>
          <w:p w14:paraId="0CECCB1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r>
      <w:tr w:rsidR="007B7129" w:rsidRPr="007B7129" w14:paraId="6DF0E533" w14:textId="77777777" w:rsidTr="00562397">
        <w:tc>
          <w:tcPr>
            <w:tcW w:w="805" w:type="dxa"/>
          </w:tcPr>
          <w:p w14:paraId="42A5ED4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w:t>
            </w:r>
          </w:p>
        </w:tc>
        <w:tc>
          <w:tcPr>
            <w:tcW w:w="2430" w:type="dxa"/>
          </w:tcPr>
          <w:p w14:paraId="728D780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Pd/C, Li</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 xml:space="preserve">3, </w:t>
            </w:r>
            <w:r w:rsidRPr="007B7129">
              <w:rPr>
                <w:rFonts w:cs="Times New Roman"/>
                <w:bCs/>
                <w:color w:val="000000"/>
                <w:szCs w:val="24"/>
                <w:shd w:val="clear" w:color="auto" w:fill="FFFFFF"/>
              </w:rPr>
              <w:t>Ag</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3</w:t>
            </w:r>
          </w:p>
        </w:tc>
        <w:tc>
          <w:tcPr>
            <w:tcW w:w="1260" w:type="dxa"/>
          </w:tcPr>
          <w:p w14:paraId="38421183"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tol</w:t>
            </w:r>
            <w:proofErr w:type="spellEnd"/>
            <w:r w:rsidRPr="007B7129">
              <w:rPr>
                <w:rFonts w:cs="Times New Roman"/>
                <w:bCs/>
                <w:color w:val="000000"/>
                <w:szCs w:val="24"/>
                <w:shd w:val="clear" w:color="auto" w:fill="FFFFFF"/>
              </w:rPr>
              <w:t>/</w:t>
            </w:r>
            <w:proofErr w:type="spellStart"/>
            <w:r w:rsidRPr="007B7129">
              <w:rPr>
                <w:rFonts w:cs="Times New Roman"/>
                <w:bCs/>
                <w:color w:val="000000"/>
                <w:szCs w:val="24"/>
                <w:shd w:val="clear" w:color="auto" w:fill="FFFFFF"/>
              </w:rPr>
              <w:t>BuOH</w:t>
            </w:r>
            <w:proofErr w:type="spellEnd"/>
          </w:p>
        </w:tc>
        <w:tc>
          <w:tcPr>
            <w:tcW w:w="810" w:type="dxa"/>
          </w:tcPr>
          <w:p w14:paraId="59A6A35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200</w:t>
            </w:r>
          </w:p>
        </w:tc>
        <w:tc>
          <w:tcPr>
            <w:tcW w:w="810" w:type="dxa"/>
          </w:tcPr>
          <w:p w14:paraId="68D4DE6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3.5</w:t>
            </w:r>
          </w:p>
        </w:tc>
        <w:tc>
          <w:tcPr>
            <w:tcW w:w="1350" w:type="dxa"/>
          </w:tcPr>
          <w:p w14:paraId="4965E0AD"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ND</w:t>
            </w:r>
            <w:r w:rsidRPr="007B7129">
              <w:rPr>
                <w:rFonts w:cs="Times New Roman"/>
                <w:bCs/>
                <w:color w:val="000000"/>
                <w:szCs w:val="24"/>
                <w:shd w:val="clear" w:color="auto" w:fill="FFFFFF"/>
                <w:vertAlign w:val="superscript"/>
              </w:rPr>
              <w:t>c</w:t>
            </w:r>
            <w:proofErr w:type="spellEnd"/>
          </w:p>
        </w:tc>
        <w:tc>
          <w:tcPr>
            <w:tcW w:w="1080" w:type="dxa"/>
          </w:tcPr>
          <w:p w14:paraId="646927F5"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ND</w:t>
            </w:r>
            <w:r w:rsidRPr="007B7129">
              <w:rPr>
                <w:rFonts w:cs="Times New Roman"/>
                <w:bCs/>
                <w:color w:val="000000"/>
                <w:szCs w:val="24"/>
                <w:shd w:val="clear" w:color="auto" w:fill="FFFFFF"/>
                <w:vertAlign w:val="superscript"/>
              </w:rPr>
              <w:t>c</w:t>
            </w:r>
            <w:proofErr w:type="spellEnd"/>
          </w:p>
        </w:tc>
        <w:tc>
          <w:tcPr>
            <w:tcW w:w="810" w:type="dxa"/>
          </w:tcPr>
          <w:p w14:paraId="312EDD69"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ND</w:t>
            </w:r>
            <w:r w:rsidRPr="007B7129">
              <w:rPr>
                <w:rFonts w:cs="Times New Roman"/>
                <w:bCs/>
                <w:color w:val="000000"/>
                <w:szCs w:val="24"/>
                <w:shd w:val="clear" w:color="auto" w:fill="FFFFFF"/>
                <w:vertAlign w:val="superscript"/>
              </w:rPr>
              <w:t>c</w:t>
            </w:r>
            <w:proofErr w:type="spellEnd"/>
          </w:p>
        </w:tc>
      </w:tr>
      <w:tr w:rsidR="007B7129" w:rsidRPr="007B7129" w14:paraId="3A47CE1B" w14:textId="77777777" w:rsidTr="00562397">
        <w:tc>
          <w:tcPr>
            <w:tcW w:w="805" w:type="dxa"/>
          </w:tcPr>
          <w:p w14:paraId="4D95D07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5</w:t>
            </w:r>
          </w:p>
        </w:tc>
        <w:tc>
          <w:tcPr>
            <w:tcW w:w="2430" w:type="dxa"/>
          </w:tcPr>
          <w:p w14:paraId="076C01B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Ag</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3</w:t>
            </w:r>
            <w:r w:rsidRPr="007B7129">
              <w:rPr>
                <w:rFonts w:cs="Times New Roman"/>
                <w:bCs/>
                <w:color w:val="000000"/>
                <w:szCs w:val="24"/>
                <w:shd w:val="clear" w:color="auto" w:fill="FFFFFF"/>
              </w:rPr>
              <w:t>, Li</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3</w:t>
            </w:r>
          </w:p>
        </w:tc>
        <w:tc>
          <w:tcPr>
            <w:tcW w:w="1260" w:type="dxa"/>
          </w:tcPr>
          <w:p w14:paraId="558B573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DMF</w:t>
            </w:r>
          </w:p>
        </w:tc>
        <w:tc>
          <w:tcPr>
            <w:tcW w:w="810" w:type="dxa"/>
          </w:tcPr>
          <w:p w14:paraId="5D9DFBF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10D775B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6</w:t>
            </w:r>
          </w:p>
        </w:tc>
        <w:tc>
          <w:tcPr>
            <w:tcW w:w="1350" w:type="dxa"/>
          </w:tcPr>
          <w:p w14:paraId="34CCB30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1080" w:type="dxa"/>
          </w:tcPr>
          <w:p w14:paraId="2BFD8F9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397AE24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w:t>
            </w:r>
          </w:p>
        </w:tc>
      </w:tr>
      <w:tr w:rsidR="007B7129" w:rsidRPr="007B7129" w14:paraId="49C61C45" w14:textId="77777777" w:rsidTr="00562397">
        <w:tc>
          <w:tcPr>
            <w:tcW w:w="805" w:type="dxa"/>
          </w:tcPr>
          <w:p w14:paraId="6FBAB58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6</w:t>
            </w:r>
          </w:p>
        </w:tc>
        <w:tc>
          <w:tcPr>
            <w:tcW w:w="2430" w:type="dxa"/>
          </w:tcPr>
          <w:p w14:paraId="68D1EB9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Ag</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3</w:t>
            </w:r>
            <w:r w:rsidRPr="007B7129">
              <w:rPr>
                <w:rFonts w:cs="Times New Roman"/>
                <w:bCs/>
                <w:color w:val="000000"/>
                <w:szCs w:val="24"/>
                <w:shd w:val="clear" w:color="auto" w:fill="FFFFFF"/>
              </w:rPr>
              <w:t>, Li</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3</w:t>
            </w:r>
          </w:p>
        </w:tc>
        <w:tc>
          <w:tcPr>
            <w:tcW w:w="1260" w:type="dxa"/>
          </w:tcPr>
          <w:p w14:paraId="5847852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DMF</w:t>
            </w:r>
          </w:p>
        </w:tc>
        <w:tc>
          <w:tcPr>
            <w:tcW w:w="810" w:type="dxa"/>
          </w:tcPr>
          <w:p w14:paraId="4ACCE53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150</w:t>
            </w:r>
          </w:p>
        </w:tc>
        <w:tc>
          <w:tcPr>
            <w:tcW w:w="810" w:type="dxa"/>
          </w:tcPr>
          <w:p w14:paraId="31824EF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8</w:t>
            </w:r>
          </w:p>
        </w:tc>
        <w:tc>
          <w:tcPr>
            <w:tcW w:w="1350" w:type="dxa"/>
          </w:tcPr>
          <w:p w14:paraId="6F1C275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1080" w:type="dxa"/>
          </w:tcPr>
          <w:p w14:paraId="261EAEC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0224686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27.7</w:t>
            </w:r>
          </w:p>
        </w:tc>
      </w:tr>
      <w:tr w:rsidR="007B7129" w:rsidRPr="007B7129" w14:paraId="5B3940FE" w14:textId="77777777" w:rsidTr="00562397">
        <w:tc>
          <w:tcPr>
            <w:tcW w:w="805" w:type="dxa"/>
          </w:tcPr>
          <w:p w14:paraId="50376FA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7</w:t>
            </w:r>
          </w:p>
        </w:tc>
        <w:tc>
          <w:tcPr>
            <w:tcW w:w="2430" w:type="dxa"/>
          </w:tcPr>
          <w:p w14:paraId="79C2B89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Ag</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3</w:t>
            </w:r>
            <w:r w:rsidRPr="007B7129">
              <w:rPr>
                <w:rFonts w:cs="Times New Roman"/>
                <w:bCs/>
                <w:color w:val="000000"/>
                <w:szCs w:val="24"/>
                <w:shd w:val="clear" w:color="auto" w:fill="FFFFFF"/>
              </w:rPr>
              <w:t>, Li</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CO</w:t>
            </w:r>
            <w:r w:rsidRPr="007B7129">
              <w:rPr>
                <w:rFonts w:cs="Times New Roman"/>
                <w:bCs/>
                <w:color w:val="000000"/>
                <w:szCs w:val="24"/>
                <w:shd w:val="clear" w:color="auto" w:fill="FFFFFF"/>
                <w:vertAlign w:val="subscript"/>
              </w:rPr>
              <w:t>3</w:t>
            </w:r>
          </w:p>
        </w:tc>
        <w:tc>
          <w:tcPr>
            <w:tcW w:w="1260" w:type="dxa"/>
          </w:tcPr>
          <w:p w14:paraId="3E31A7F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DMF</w:t>
            </w:r>
          </w:p>
        </w:tc>
        <w:tc>
          <w:tcPr>
            <w:tcW w:w="810" w:type="dxa"/>
          </w:tcPr>
          <w:p w14:paraId="12069B6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175</w:t>
            </w:r>
          </w:p>
        </w:tc>
        <w:tc>
          <w:tcPr>
            <w:tcW w:w="810" w:type="dxa"/>
          </w:tcPr>
          <w:p w14:paraId="2284C05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8</w:t>
            </w:r>
          </w:p>
        </w:tc>
        <w:tc>
          <w:tcPr>
            <w:tcW w:w="1350" w:type="dxa"/>
          </w:tcPr>
          <w:p w14:paraId="59D3C87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1080" w:type="dxa"/>
          </w:tcPr>
          <w:p w14:paraId="2CBE1E3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w:t>
            </w:r>
          </w:p>
        </w:tc>
        <w:tc>
          <w:tcPr>
            <w:tcW w:w="810" w:type="dxa"/>
          </w:tcPr>
          <w:p w14:paraId="1499615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9.9</w:t>
            </w:r>
          </w:p>
        </w:tc>
      </w:tr>
    </w:tbl>
    <w:p w14:paraId="3E7F350D" w14:textId="77777777" w:rsidR="007B7129" w:rsidRPr="007B7129" w:rsidRDefault="007B7129" w:rsidP="007B7129">
      <w:pPr>
        <w:spacing w:after="0" w:line="240" w:lineRule="auto"/>
        <w:rPr>
          <w:rFonts w:cs="Times New Roman"/>
          <w:szCs w:val="24"/>
        </w:rPr>
      </w:pPr>
      <w:r w:rsidRPr="007B7129">
        <w:rPr>
          <w:rFonts w:cs="Times New Roman"/>
          <w:szCs w:val="24"/>
        </w:rPr>
        <w:t xml:space="preserve">ND = no data. </w:t>
      </w:r>
    </w:p>
    <w:p w14:paraId="31231954" w14:textId="77777777" w:rsidR="007B7129" w:rsidRPr="007B7129" w:rsidRDefault="007B7129" w:rsidP="007B7129">
      <w:pPr>
        <w:spacing w:after="0" w:line="240" w:lineRule="auto"/>
        <w:rPr>
          <w:rFonts w:cs="Times New Roman"/>
          <w:szCs w:val="24"/>
        </w:rPr>
      </w:pPr>
      <w:r w:rsidRPr="007B7129">
        <w:rPr>
          <w:rFonts w:cs="Times New Roman"/>
          <w:szCs w:val="24"/>
          <w:vertAlign w:val="superscript"/>
        </w:rPr>
        <w:t xml:space="preserve">a </w:t>
      </w:r>
      <w:r w:rsidRPr="007B7129">
        <w:rPr>
          <w:rFonts w:cs="Times New Roman"/>
          <w:szCs w:val="24"/>
        </w:rPr>
        <w:t>Qualitative</w:t>
      </w:r>
      <w:r w:rsidRPr="007B7129">
        <w:rPr>
          <w:rFonts w:cs="Times New Roman"/>
          <w:szCs w:val="24"/>
          <w:vertAlign w:val="superscript"/>
        </w:rPr>
        <w:t xml:space="preserve"> </w:t>
      </w:r>
      <w:r w:rsidRPr="007B7129">
        <w:rPr>
          <w:rFonts w:cs="Times New Roman"/>
          <w:szCs w:val="24"/>
        </w:rPr>
        <w:t xml:space="preserve">result based on thin layer chromatography (TLC). </w:t>
      </w:r>
    </w:p>
    <w:p w14:paraId="2A8F6AAF" w14:textId="77777777" w:rsidR="007B7129" w:rsidRPr="007B7129" w:rsidRDefault="007B7129" w:rsidP="007B7129">
      <w:pPr>
        <w:spacing w:after="0" w:line="240" w:lineRule="auto"/>
        <w:rPr>
          <w:rFonts w:cs="Times New Roman"/>
          <w:szCs w:val="24"/>
        </w:rPr>
      </w:pPr>
      <w:r w:rsidRPr="007B7129">
        <w:rPr>
          <w:rFonts w:cs="Times New Roman"/>
          <w:szCs w:val="24"/>
          <w:vertAlign w:val="superscript"/>
        </w:rPr>
        <w:t xml:space="preserve">b </w:t>
      </w:r>
      <w:r w:rsidRPr="007B7129">
        <w:rPr>
          <w:rFonts w:cs="Times New Roman"/>
          <w:szCs w:val="24"/>
        </w:rPr>
        <w:t xml:space="preserve">Isolated yield after column chromatography. </w:t>
      </w:r>
    </w:p>
    <w:p w14:paraId="21F22F40" w14:textId="3DB2D113" w:rsidR="007B7129" w:rsidRDefault="007B7129" w:rsidP="00EC026C">
      <w:pPr>
        <w:spacing w:after="0" w:line="240" w:lineRule="auto"/>
        <w:rPr>
          <w:rFonts w:cs="Times New Roman"/>
          <w:szCs w:val="24"/>
        </w:rPr>
      </w:pPr>
      <w:r w:rsidRPr="007B7129">
        <w:rPr>
          <w:rFonts w:cs="Times New Roman"/>
          <w:szCs w:val="24"/>
          <w:vertAlign w:val="superscript"/>
        </w:rPr>
        <w:t xml:space="preserve">c </w:t>
      </w:r>
      <w:r w:rsidRPr="007B7129">
        <w:rPr>
          <w:rFonts w:cs="Times New Roman"/>
          <w:szCs w:val="24"/>
        </w:rPr>
        <w:t xml:space="preserve">Reaction vessel broke inside microwave reactor, so data was un-obtainable. </w:t>
      </w:r>
    </w:p>
    <w:p w14:paraId="100BA66A" w14:textId="77777777" w:rsidR="00183BAD" w:rsidRPr="007B7129" w:rsidRDefault="00183BAD" w:rsidP="00183BAD">
      <w:pPr>
        <w:spacing w:line="240" w:lineRule="auto"/>
        <w:rPr>
          <w:rFonts w:cs="Times New Roman"/>
          <w:szCs w:val="24"/>
        </w:rPr>
      </w:pPr>
    </w:p>
    <w:p w14:paraId="616CBB5C" w14:textId="77777777" w:rsidR="005C5841" w:rsidRDefault="005C5841">
      <w:pPr>
        <w:spacing w:line="259" w:lineRule="auto"/>
        <w:jc w:val="left"/>
        <w:rPr>
          <w:rFonts w:cs="Times New Roman"/>
          <w:b/>
          <w:color w:val="000000"/>
          <w:szCs w:val="24"/>
          <w:shd w:val="clear" w:color="auto" w:fill="FFFFFF"/>
        </w:rPr>
      </w:pPr>
      <w:bookmarkStart w:id="307" w:name="_Toc97337856"/>
      <w:bookmarkStart w:id="308" w:name="_Toc100241911"/>
      <w:r>
        <w:br w:type="page"/>
      </w:r>
    </w:p>
    <w:p w14:paraId="630B6631" w14:textId="31164981" w:rsidR="007B7129" w:rsidRPr="007B7129" w:rsidRDefault="007B7129" w:rsidP="00EC026C">
      <w:pPr>
        <w:pStyle w:val="Subsection"/>
      </w:pPr>
      <w:bookmarkStart w:id="309" w:name="_Toc102586275"/>
      <w:r w:rsidRPr="007B7129">
        <w:lastRenderedPageBreak/>
        <w:t>3.3.3 Step 3: Oxidative cleavage to construct the linker region</w:t>
      </w:r>
      <w:bookmarkEnd w:id="307"/>
      <w:bookmarkEnd w:id="308"/>
      <w:bookmarkEnd w:id="309"/>
    </w:p>
    <w:p w14:paraId="475C4BA1" w14:textId="77777777"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 xml:space="preserve">The alkene present in the β-carboline intermediate </w:t>
      </w:r>
      <w:r w:rsidRPr="007B7129">
        <w:rPr>
          <w:rFonts w:eastAsia="Times New Roman" w:cs="Times New Roman"/>
          <w:b/>
          <w:bCs/>
          <w:szCs w:val="20"/>
        </w:rPr>
        <w:t>3.36</w:t>
      </w:r>
      <w:r w:rsidRPr="007B7129">
        <w:rPr>
          <w:rFonts w:eastAsia="Times New Roman" w:cs="Times New Roman"/>
          <w:szCs w:val="20"/>
        </w:rPr>
        <w:t xml:space="preserve"> provides a </w:t>
      </w:r>
      <w:proofErr w:type="spellStart"/>
      <w:r w:rsidRPr="007B7129">
        <w:rPr>
          <w:rFonts w:eastAsia="Times New Roman" w:cs="Times New Roman"/>
          <w:szCs w:val="20"/>
        </w:rPr>
        <w:t>functionalizable</w:t>
      </w:r>
      <w:proofErr w:type="spellEnd"/>
      <w:r w:rsidRPr="007B7129">
        <w:rPr>
          <w:rFonts w:eastAsia="Times New Roman" w:cs="Times New Roman"/>
          <w:szCs w:val="20"/>
        </w:rPr>
        <w:t xml:space="preserve"> handle for the progression of this total synthesis. I had envisaged the cleaving of said olefin into a </w:t>
      </w:r>
      <w:proofErr w:type="spellStart"/>
      <w:r w:rsidRPr="007B7129">
        <w:rPr>
          <w:rFonts w:eastAsia="Times New Roman" w:cs="Times New Roman"/>
          <w:szCs w:val="20"/>
        </w:rPr>
        <w:t>dicarbonyl</w:t>
      </w:r>
      <w:proofErr w:type="spellEnd"/>
      <w:r w:rsidRPr="007B7129">
        <w:rPr>
          <w:rFonts w:eastAsia="Times New Roman" w:cs="Times New Roman"/>
          <w:szCs w:val="20"/>
        </w:rPr>
        <w:t xml:space="preserve"> compound where the aldehyde would be poised for a second Pictet-Spengler cyclization to form the second β-carboline heterocycle (β-carboline </w:t>
      </w:r>
      <w:r w:rsidRPr="007B7129">
        <w:rPr>
          <w:rFonts w:eastAsia="Times New Roman" w:cs="Times New Roman"/>
          <w:b/>
          <w:bCs/>
          <w:szCs w:val="20"/>
        </w:rPr>
        <w:t>B</w:t>
      </w:r>
      <w:r w:rsidRPr="007B7129">
        <w:rPr>
          <w:rFonts w:eastAsia="Times New Roman" w:cs="Times New Roman"/>
          <w:szCs w:val="20"/>
        </w:rPr>
        <w:t xml:space="preserve">). This oxidative cleavage step will hereby be referred to as </w:t>
      </w:r>
      <w:r w:rsidRPr="007B7129">
        <w:rPr>
          <w:rFonts w:eastAsia="Times New Roman" w:cs="Times New Roman"/>
          <w:b/>
          <w:bCs/>
          <w:szCs w:val="20"/>
        </w:rPr>
        <w:t>Step 3</w:t>
      </w:r>
      <w:r w:rsidRPr="007B7129">
        <w:rPr>
          <w:rFonts w:eastAsia="Times New Roman" w:cs="Times New Roman"/>
          <w:szCs w:val="20"/>
        </w:rPr>
        <w:t xml:space="preserve">. </w:t>
      </w:r>
    </w:p>
    <w:p w14:paraId="3ACE338F" w14:textId="77777777" w:rsidR="007B7129" w:rsidRPr="007B7129" w:rsidRDefault="007B7129" w:rsidP="007B7129">
      <w:pPr>
        <w:spacing w:after="0"/>
        <w:ind w:firstLine="720"/>
        <w:rPr>
          <w:rFonts w:eastAsia="Times New Roman" w:cs="Times New Roman"/>
          <w:szCs w:val="20"/>
        </w:rPr>
      </w:pPr>
      <w:r w:rsidRPr="007B7129">
        <w:rPr>
          <w:rFonts w:eastAsia="Times New Roman" w:cs="Times New Roman"/>
          <w:noProof/>
          <w:szCs w:val="20"/>
        </w:rPr>
        <mc:AlternateContent>
          <mc:Choice Requires="wps">
            <w:drawing>
              <wp:inline distT="0" distB="0" distL="0" distR="0" wp14:anchorId="1A34EFFB" wp14:editId="7BE722E8">
                <wp:extent cx="5146040" cy="2130425"/>
                <wp:effectExtent l="0" t="0" r="16510" b="22225"/>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6040" cy="2130425"/>
                        </a:xfrm>
                        <a:prstGeom prst="rect">
                          <a:avLst/>
                        </a:prstGeom>
                        <a:solidFill>
                          <a:srgbClr val="FFFFFF"/>
                        </a:solidFill>
                        <a:ln w="9525">
                          <a:solidFill>
                            <a:srgbClr val="000000"/>
                          </a:solidFill>
                          <a:miter lim="800000"/>
                          <a:headEnd/>
                          <a:tailEnd/>
                        </a:ln>
                      </wps:spPr>
                      <wps:txbx>
                        <w:txbxContent>
                          <w:p w14:paraId="3005A897" w14:textId="77777777" w:rsidR="007B7129" w:rsidRPr="007B70FD" w:rsidRDefault="007B7129" w:rsidP="007B7129">
                            <w:pPr>
                              <w:pBdr>
                                <w:bottom w:val="single" w:sz="12" w:space="1" w:color="auto"/>
                              </w:pBdr>
                              <w:spacing w:after="0" w:line="240" w:lineRule="auto"/>
                              <w:rPr>
                                <w:b/>
                                <w:bCs/>
                              </w:rPr>
                            </w:pPr>
                            <w:r w:rsidRPr="007B70FD">
                              <w:rPr>
                                <w:b/>
                                <w:bCs/>
                              </w:rPr>
                              <w:t>A</w:t>
                            </w:r>
                          </w:p>
                          <w:p w14:paraId="64216A0B" w14:textId="77777777" w:rsidR="007B7129" w:rsidRDefault="007B7129" w:rsidP="007B7129">
                            <w:pPr>
                              <w:pBdr>
                                <w:bottom w:val="single" w:sz="12" w:space="1" w:color="auto"/>
                              </w:pBdr>
                              <w:spacing w:line="240" w:lineRule="auto"/>
                              <w:jc w:val="center"/>
                            </w:pPr>
                            <w:r>
                              <w:rPr>
                                <w:rFonts w:asciiTheme="minorHAnsi" w:hAnsiTheme="minorHAnsi"/>
                                <w:sz w:val="22"/>
                              </w:rPr>
                              <w:object w:dxaOrig="7550" w:dyaOrig="1160" w14:anchorId="64AEA721">
                                <v:shape id="_x0000_i1097" type="#_x0000_t75" style="width:378.25pt;height:57.5pt">
                                  <v:imagedata r:id="rId276" o:title=""/>
                                </v:shape>
                                <o:OLEObject Type="Embed" ProgID="ChemDraw.Document.6.0" ShapeID="_x0000_i1097" DrawAspect="Content" ObjectID="_1713353504" r:id="rId277"/>
                              </w:object>
                            </w:r>
                          </w:p>
                          <w:p w14:paraId="70EE02E2" w14:textId="77777777" w:rsidR="007B7129" w:rsidRPr="007B70FD" w:rsidRDefault="007B7129" w:rsidP="007B7129">
                            <w:pPr>
                              <w:keepNext/>
                              <w:spacing w:after="0" w:line="240" w:lineRule="auto"/>
                              <w:rPr>
                                <w:b/>
                                <w:bCs/>
                              </w:rPr>
                            </w:pPr>
                            <w:r w:rsidRPr="007B70FD">
                              <w:rPr>
                                <w:b/>
                                <w:bCs/>
                              </w:rPr>
                              <w:t>B</w:t>
                            </w:r>
                          </w:p>
                          <w:p w14:paraId="6BF87A30" w14:textId="77777777" w:rsidR="00183BAD" w:rsidRDefault="007B7129" w:rsidP="00183BAD">
                            <w:pPr>
                              <w:keepNext/>
                              <w:spacing w:line="240" w:lineRule="auto"/>
                              <w:jc w:val="center"/>
                            </w:pPr>
                            <w:r>
                              <w:rPr>
                                <w:rFonts w:asciiTheme="minorHAnsi" w:hAnsiTheme="minorHAnsi"/>
                                <w:sz w:val="22"/>
                              </w:rPr>
                              <w:object w:dxaOrig="3482" w:dyaOrig="759" w14:anchorId="1B4E9061">
                                <v:shape id="_x0000_i1098" type="#_x0000_t75" style="width:174.4pt;height:38.8pt">
                                  <v:imagedata r:id="rId278" o:title=""/>
                                </v:shape>
                                <o:OLEObject Type="Embed" ProgID="ChemDraw.Document.6.0" ShapeID="_x0000_i1098" DrawAspect="Content" ObjectID="_1713353505" r:id="rId279"/>
                              </w:object>
                            </w:r>
                          </w:p>
                          <w:p w14:paraId="4C92C65E" w14:textId="54DBE89A" w:rsidR="007B7129" w:rsidRDefault="00183BAD" w:rsidP="00DF51F5">
                            <w:pPr>
                              <w:pStyle w:val="Caption"/>
                            </w:pPr>
                            <w:bookmarkStart w:id="310" w:name="_Ref102583099"/>
                            <w:bookmarkStart w:id="311" w:name="_Toc100748314"/>
                            <w:r>
                              <w:t>Figure 3.</w:t>
                            </w:r>
                            <w:fldSimple w:instr=" SEQ Figure \* ARABIC ">
                              <w:r w:rsidR="00AA5AAC">
                                <w:rPr>
                                  <w:noProof/>
                                </w:rPr>
                                <w:t>7</w:t>
                              </w:r>
                            </w:fldSimple>
                            <w:bookmarkStart w:id="312" w:name="_Toc100243260"/>
                            <w:bookmarkEnd w:id="310"/>
                            <w:r w:rsidR="007B7129">
                              <w:t xml:space="preserve">. </w:t>
                            </w:r>
                            <w:proofErr w:type="spellStart"/>
                            <w:r w:rsidR="007B7129">
                              <w:t>Criegee</w:t>
                            </w:r>
                            <w:proofErr w:type="spellEnd"/>
                            <w:r w:rsidR="007B7129">
                              <w:t xml:space="preserve"> mechanism of Ozonolysis.</w:t>
                            </w:r>
                            <w:bookmarkEnd w:id="311"/>
                            <w:bookmarkEnd w:id="312"/>
                          </w:p>
                          <w:p w14:paraId="35D0D7B2" w14:textId="77777777" w:rsidR="007B7129" w:rsidRDefault="007B7129" w:rsidP="007B7129">
                            <w:pPr>
                              <w:spacing w:line="240" w:lineRule="auto"/>
                              <w:jc w:val="center"/>
                            </w:pPr>
                          </w:p>
                          <w:p w14:paraId="27EF8F72" w14:textId="77777777" w:rsidR="007B7129" w:rsidRDefault="007B7129" w:rsidP="007B7129">
                            <w:pPr>
                              <w:spacing w:line="240" w:lineRule="auto"/>
                            </w:pPr>
                          </w:p>
                        </w:txbxContent>
                      </wps:txbx>
                      <wps:bodyPr rot="0" vert="horz" wrap="square" lIns="91440" tIns="45720" rIns="91440" bIns="45720" anchor="t" anchorCtr="0">
                        <a:noAutofit/>
                      </wps:bodyPr>
                    </wps:wsp>
                  </a:graphicData>
                </a:graphic>
              </wp:inline>
            </w:drawing>
          </mc:Choice>
          <mc:Fallback>
            <w:pict>
              <v:shape w14:anchorId="1A34EFFB" id="_x0000_s1090" type="#_x0000_t202" style="width:405.2pt;height:16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">
                <v:textbox>
                  <w:txbxContent>
                    <w:p w14:paraId="3005A897" w14:textId="77777777" w:rsidR="007B7129" w:rsidRPr="007B70FD" w:rsidRDefault="007B7129" w:rsidP="007B7129">
                      <w:pPr>
                        <w:pBdr>
                          <w:bottom w:val="single" w:sz="12" w:space="1" w:color="auto"/>
                        </w:pBdr>
                        <w:spacing w:after="0" w:line="240" w:lineRule="auto"/>
                        <w:rPr>
                          <w:b/>
                          <w:bCs/>
                        </w:rPr>
                      </w:pPr>
                      <w:r w:rsidRPr="007B70FD">
                        <w:rPr>
                          <w:b/>
                          <w:bCs/>
                        </w:rPr>
                        <w:t>A</w:t>
                      </w:r>
                    </w:p>
                    <w:p w14:paraId="64216A0B" w14:textId="77777777" w:rsidR="007B7129" w:rsidRDefault="007B7129" w:rsidP="007B7129">
                      <w:pPr>
                        <w:pBdr>
                          <w:bottom w:val="single" w:sz="12" w:space="1" w:color="auto"/>
                        </w:pBdr>
                        <w:spacing w:line="240" w:lineRule="auto"/>
                        <w:jc w:val="center"/>
                      </w:pPr>
                      <w:r>
                        <w:rPr>
                          <w:rFonts w:asciiTheme="minorHAnsi" w:hAnsiTheme="minorHAnsi"/>
                          <w:sz w:val="22"/>
                        </w:rPr>
                        <w:object w:dxaOrig="7550" w:dyaOrig="1160" w14:anchorId="64AEA721">
                          <v:shape id="_x0000_i1097" type="#_x0000_t75" style="width:378.25pt;height:57.5pt">
                            <v:imagedata r:id="rId276" o:title=""/>
                          </v:shape>
                          <o:OLEObject Type="Embed" ProgID="ChemDraw.Document.6.0" ShapeID="_x0000_i1097" DrawAspect="Content" ObjectID="_1713353504" r:id="rId280"/>
                        </w:object>
                      </w:r>
                    </w:p>
                    <w:p w14:paraId="70EE02E2" w14:textId="77777777" w:rsidR="007B7129" w:rsidRPr="007B70FD" w:rsidRDefault="007B7129" w:rsidP="007B7129">
                      <w:pPr>
                        <w:keepNext/>
                        <w:spacing w:after="0" w:line="240" w:lineRule="auto"/>
                        <w:rPr>
                          <w:b/>
                          <w:bCs/>
                        </w:rPr>
                      </w:pPr>
                      <w:r w:rsidRPr="007B70FD">
                        <w:rPr>
                          <w:b/>
                          <w:bCs/>
                        </w:rPr>
                        <w:t>B</w:t>
                      </w:r>
                    </w:p>
                    <w:p w14:paraId="6BF87A30" w14:textId="77777777" w:rsidR="00183BAD" w:rsidRDefault="007B7129" w:rsidP="00183BAD">
                      <w:pPr>
                        <w:keepNext/>
                        <w:spacing w:line="240" w:lineRule="auto"/>
                        <w:jc w:val="center"/>
                      </w:pPr>
                      <w:r>
                        <w:rPr>
                          <w:rFonts w:asciiTheme="minorHAnsi" w:hAnsiTheme="minorHAnsi"/>
                          <w:sz w:val="22"/>
                        </w:rPr>
                        <w:object w:dxaOrig="3482" w:dyaOrig="759" w14:anchorId="1B4E9061">
                          <v:shape id="_x0000_i1098" type="#_x0000_t75" style="width:174.4pt;height:38.8pt">
                            <v:imagedata r:id="rId278" o:title=""/>
                          </v:shape>
                          <o:OLEObject Type="Embed" ProgID="ChemDraw.Document.6.0" ShapeID="_x0000_i1098" DrawAspect="Content" ObjectID="_1713353505" r:id="rId281"/>
                        </w:object>
                      </w:r>
                    </w:p>
                    <w:p w14:paraId="4C92C65E" w14:textId="54DBE89A" w:rsidR="007B7129" w:rsidRDefault="00183BAD" w:rsidP="00DF51F5">
                      <w:pPr>
                        <w:pStyle w:val="Caption"/>
                      </w:pPr>
                      <w:bookmarkStart w:id="313" w:name="_Ref102583099"/>
                      <w:bookmarkStart w:id="314" w:name="_Toc100748314"/>
                      <w:r>
                        <w:t>Figure 3.</w:t>
                      </w:r>
                      <w:fldSimple w:instr=" SEQ Figure \* ARABIC ">
                        <w:r w:rsidR="00AA5AAC">
                          <w:rPr>
                            <w:noProof/>
                          </w:rPr>
                          <w:t>7</w:t>
                        </w:r>
                      </w:fldSimple>
                      <w:bookmarkStart w:id="315" w:name="_Toc100243260"/>
                      <w:bookmarkEnd w:id="313"/>
                      <w:r w:rsidR="007B7129">
                        <w:t xml:space="preserve">. </w:t>
                      </w:r>
                      <w:proofErr w:type="spellStart"/>
                      <w:r w:rsidR="007B7129">
                        <w:t>Criegee</w:t>
                      </w:r>
                      <w:proofErr w:type="spellEnd"/>
                      <w:r w:rsidR="007B7129">
                        <w:t xml:space="preserve"> mechanism of Ozonolysis.</w:t>
                      </w:r>
                      <w:bookmarkEnd w:id="314"/>
                      <w:bookmarkEnd w:id="315"/>
                    </w:p>
                    <w:p w14:paraId="35D0D7B2" w14:textId="77777777" w:rsidR="007B7129" w:rsidRDefault="007B7129" w:rsidP="007B7129">
                      <w:pPr>
                        <w:spacing w:line="240" w:lineRule="auto"/>
                        <w:jc w:val="center"/>
                      </w:pPr>
                    </w:p>
                    <w:p w14:paraId="27EF8F72" w14:textId="77777777" w:rsidR="007B7129" w:rsidRDefault="007B7129" w:rsidP="007B7129">
                      <w:pPr>
                        <w:spacing w:line="240" w:lineRule="auto"/>
                      </w:pPr>
                    </w:p>
                  </w:txbxContent>
                </v:textbox>
                <w10:anchorlock/>
              </v:shape>
            </w:pict>
          </mc:Fallback>
        </mc:AlternateContent>
      </w:r>
    </w:p>
    <w:p w14:paraId="139CC726" w14:textId="7248EE15"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 xml:space="preserve">Cleavage of carbon-carbon double bonds to obtain </w:t>
      </w:r>
      <w:proofErr w:type="spellStart"/>
      <w:r w:rsidRPr="007B7129">
        <w:rPr>
          <w:rFonts w:eastAsia="Times New Roman" w:cs="Times New Roman"/>
          <w:szCs w:val="20"/>
        </w:rPr>
        <w:t>dicarbonyl</w:t>
      </w:r>
      <w:proofErr w:type="spellEnd"/>
      <w:r w:rsidRPr="007B7129">
        <w:rPr>
          <w:rFonts w:eastAsia="Times New Roman" w:cs="Times New Roman"/>
          <w:szCs w:val="20"/>
        </w:rPr>
        <w:t xml:space="preserve"> compounds (ketones and/or aldehydes) is a key reaction in synthetic organic chemistry</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{"citationID":"39FWdpQ1","properties":{"formattedCitation":"\\super 62\\nosupersub{}","plainCitation":"62","noteIndex":0},"citationItems":[{"id":316,"uris":["http://zotero.org/users/6503767/items/5HGPRP74"],"itemData":{"id":316,"type":"article-journal","container-title":"Chemical Reviews","DOI":"10.1021/cr040682z","ISSN":"0009-2665","issue":"7","journalAbbreviation":"Chem. Rev.","note":"publisher: American Chemical Society","page":"2990-3001","source":"ACS Publications","title":"Ozonolysis Applications in Drug Synthesis","volume":"106","author":[{"family":"Van Ornum","given":"Scott G."},{"family":"Champeau","given":"Robin M."},{"family":"Pariza","given":"Richard"}],"issued":{"date-parts":[["2006",7,1]]}}}],"schema":"https://github.com/citation-style-language/schema/raw/master/csl-citation.json"}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62</w:t>
      </w:r>
      <w:r w:rsidRPr="007B7129">
        <w:rPr>
          <w:rFonts w:eastAsia="Times New Roman" w:cs="Times New Roman"/>
          <w:szCs w:val="20"/>
        </w:rPr>
        <w:fldChar w:fldCharType="end"/>
      </w:r>
      <w:r w:rsidRPr="007B7129">
        <w:rPr>
          <w:rFonts w:eastAsia="Times New Roman" w:cs="Times New Roman"/>
          <w:szCs w:val="20"/>
        </w:rPr>
        <w:t xml:space="preserve"> as it provides access to a wide but controllable range of products.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{"citationID":"NCByJJfC","properties":{"formattedCitation":"\\super 63\\nosupersub{}","plainCitation":"63","noteIndex":0},"citationItems":[{"id":319,"uris":["http://zotero.org/users/6503767/items/DU8UT5GX"],"itemData":{"id":319,"type":"article-journal","abstract":"A one-pot multi-step method for the oxidative cleavage of alkenes to aldehydes/ketones under ambient conditions is described as an alternative to ozonolysis. The first step is a highly efficient manganese catalyzed epoxidation/cis-dihydroxylation of alkenes. This step is followed by an Fe(III) assisted ring opening of the epoxide (where necessary) to a 1,2-diol. Carbon–carbon bond cleavage is achieved by treatment of the diol with sodium periodate. The conditions used in each step are not only compatible with the subsequent step(s), but also provide for increased conversion compared to the equivalent reactions carried out on the isolated intermediate compounds. The described procedure allows for carbon–carbon bond cleavage in the presence of other alkenes, oxidation sensitive moieties and other functional groups; the mild conditions (r.t.) used in all three steps make this a viable general alternative to ozonolysis and especially for use under flow or continuous batch conditions.","container-title":"European Journal of Organic Chemistry","DOI":"10.1002/ejoc.201901380","ISSN":"1099-0690","issue":"42","language":"en","note":"_eprint: https://onlinelibrary.wiley.com/doi/pdf/10.1002/ejoc.201901380","page":"7151-7158","source":"Wiley Online Library","title":"Oxidative Cleavage of Alkene C=C Bonds Using a Manganese Catalyzed Oxidation with H2O2 Combined with Periodate Oxidation","volume":"2019","author":[{"family":"Mecozzi","given":"Francesco"},{"family":"Dong","given":"Jia Jia"},{"family":"Angelone","given":"Davide"},{"family":"Browne","given":"Wesley R."},{"family":"Eisink","given":"Niek N. H. M."}],"issued":{"date-parts":[["2019"]]}}}],"schema":"https://github.com/citation-style-language/schema/raw/master/csl-citation.json"}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63</w:t>
      </w:r>
      <w:r w:rsidRPr="007B7129">
        <w:rPr>
          <w:rFonts w:eastAsia="Times New Roman" w:cs="Times New Roman"/>
          <w:szCs w:val="20"/>
        </w:rPr>
        <w:fldChar w:fldCharType="end"/>
      </w:r>
      <w:r w:rsidRPr="007B7129">
        <w:rPr>
          <w:rFonts w:eastAsia="Times New Roman" w:cs="Times New Roman"/>
          <w:szCs w:val="20"/>
        </w:rPr>
        <w:t xml:space="preserve"> The mechanism of ozonolysis has been thoroughly studied, with the three-step </w:t>
      </w:r>
      <w:proofErr w:type="spellStart"/>
      <w:r w:rsidRPr="007B7129">
        <w:rPr>
          <w:rFonts w:eastAsia="Times New Roman" w:cs="Times New Roman"/>
          <w:szCs w:val="20"/>
        </w:rPr>
        <w:t>Criegee</w:t>
      </w:r>
      <w:proofErr w:type="spellEnd"/>
      <w:r w:rsidRPr="007B7129">
        <w:rPr>
          <w:rFonts w:eastAsia="Times New Roman" w:cs="Times New Roman"/>
          <w:szCs w:val="20"/>
        </w:rPr>
        <w:t xml:space="preserve"> mechanism being the most widely accepted.</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{"citationID":"Rm8FWJ6M","properties":{"formattedCitation":"\\super 64\\nosupersub{}","plainCitation":"64","noteIndex":0},"citationItems":[{"id":322,"uris":["http://zotero.org/users/6503767/items/MVPY6GSQ"],"itemData":{"id":322,"type":"article-journal","abstract":"The formation of ozonides (1,2,4-trioxolanes) from alkenes and ozone can be described as a succession of three [2+3] cycloadditions or cycloreversions involving primary ozonides (1,2,3-trioxolanes) and aldehyde or ketone oxides as decisive intermediates, all of which have finite lifetimes. There is no warranted experimental basis for assuming an alternative mechanism.","container-title":"Angewandte Chemie International Edition in English","DOI":"10.1002/anie.197507451","ISSN":"1521-3773","issue":"11","language":"en","note":"_eprint: https://onlinelibrary.wiley.com/doi/pdf/10.1002/anie.197507451","page":"745-752","source":"Wiley Online Library","title":"Mechanism of Ozonolysis","volume":"14","author":[{"family":"Criegee","given":"Rudolf"}],"issued":{"date-parts":[["1975"]]}}}],"schema":"https://github.com/citation-style-language/schema/raw/master/csl-citation.json"}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64</w:t>
      </w:r>
      <w:r w:rsidRPr="007B7129">
        <w:rPr>
          <w:rFonts w:eastAsia="Times New Roman" w:cs="Times New Roman"/>
          <w:szCs w:val="20"/>
        </w:rPr>
        <w:fldChar w:fldCharType="end"/>
      </w:r>
      <w:r w:rsidRPr="007B7129">
        <w:rPr>
          <w:rFonts w:eastAsia="Times New Roman" w:cs="Times New Roman"/>
          <w:szCs w:val="20"/>
        </w:rPr>
        <w:t xml:space="preserve"> Generally, ozone (O</w:t>
      </w:r>
      <w:r w:rsidRPr="007B7129">
        <w:rPr>
          <w:rFonts w:eastAsia="Times New Roman" w:cs="Times New Roman"/>
          <w:szCs w:val="20"/>
          <w:vertAlign w:val="subscript"/>
        </w:rPr>
        <w:t>3</w:t>
      </w:r>
      <w:r w:rsidRPr="007B7129">
        <w:rPr>
          <w:rFonts w:eastAsia="Times New Roman" w:cs="Times New Roman"/>
          <w:szCs w:val="20"/>
        </w:rPr>
        <w:t>) undergoes a 1,3-dipolar cycloaddition with the alkene, leading to the primary ozonide (molozonide), which decomposes to give a carbonyl compound and carbonyl oxide (</w:t>
      </w:r>
      <w:r w:rsidR="000D043E" w:rsidRPr="000D043E">
        <w:rPr>
          <w:rFonts w:eastAsia="Times New Roman" w:cs="Times New Roman"/>
          <w:b/>
          <w:bCs/>
          <w:szCs w:val="20"/>
        </w:rPr>
        <w:fldChar w:fldCharType="begin"/>
      </w:r>
      <w:r w:rsidR="000D043E" w:rsidRPr="000D043E">
        <w:rPr>
          <w:rFonts w:eastAsia="Times New Roman" w:cs="Times New Roman"/>
          <w:b/>
          <w:bCs/>
          <w:szCs w:val="20"/>
        </w:rPr>
        <w:instrText xml:space="preserve"> REF _Ref102583099 \h  \* MERGEFORMAT </w:instrText>
      </w:r>
      <w:r w:rsidR="000D043E" w:rsidRPr="000D043E">
        <w:rPr>
          <w:rFonts w:eastAsia="Times New Roman" w:cs="Times New Roman"/>
          <w:b/>
          <w:bCs/>
          <w:szCs w:val="20"/>
        </w:rPr>
      </w:r>
      <w:r w:rsidR="000D043E" w:rsidRPr="000D043E">
        <w:rPr>
          <w:rFonts w:eastAsia="Times New Roman" w:cs="Times New Roman"/>
          <w:b/>
          <w:bCs/>
          <w:szCs w:val="20"/>
        </w:rPr>
        <w:fldChar w:fldCharType="separate"/>
      </w:r>
      <w:r w:rsidR="00AA5AAC" w:rsidRPr="00AA5AAC">
        <w:rPr>
          <w:b/>
          <w:bCs/>
        </w:rPr>
        <w:t>Figure 3.7</w:t>
      </w:r>
      <w:r w:rsidR="000D043E" w:rsidRPr="000D043E">
        <w:rPr>
          <w:rFonts w:eastAsia="Times New Roman" w:cs="Times New Roman"/>
          <w:b/>
          <w:bCs/>
          <w:szCs w:val="20"/>
        </w:rPr>
        <w:fldChar w:fldCharType="end"/>
      </w:r>
      <w:r w:rsidRPr="007B7129">
        <w:rPr>
          <w:rFonts w:eastAsia="Times New Roman" w:cs="Times New Roman"/>
          <w:b/>
          <w:bCs/>
          <w:szCs w:val="20"/>
        </w:rPr>
        <w:t>A</w:t>
      </w:r>
      <w:r w:rsidRPr="007B7129">
        <w:rPr>
          <w:rFonts w:eastAsia="Times New Roman" w:cs="Times New Roman"/>
          <w:szCs w:val="20"/>
        </w:rPr>
        <w:t>).</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{"citationID":"hsAcxyAP","properties":{"formattedCitation":"\\super 65\\nosupersub{}","plainCitation":"65","noteIndex":0},"citationItems":[{"id":325,"uris":["http://zotero.org/users/6503767/items/DC5A4WJN"],"itemData":{"id":325,"type":"article-journal","container-title":"Accounts of Chemical Research","DOI":"10.1021/ar00086a002","ISSN":"0001-4842","issue":"2","journalAbbreviation":"Acc. Chem. Res.","note":"publisher: American Chemical Society","page":"42-47","source":"ACS Publications","title":"Formation and structure of ozonides","volume":"16","author":[{"family":"Kuczkowski","given":"Robert L."}],"issued":{"date-parts":[["1983",2,1]]}}}],"schema":"https://github.com/citation-style-language/schema/raw/master/csl-citation.json"}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65</w:t>
      </w:r>
      <w:r w:rsidRPr="007B7129">
        <w:rPr>
          <w:rFonts w:eastAsia="Times New Roman" w:cs="Times New Roman"/>
          <w:szCs w:val="20"/>
        </w:rPr>
        <w:fldChar w:fldCharType="end"/>
      </w:r>
      <w:r w:rsidRPr="007B7129">
        <w:rPr>
          <w:rFonts w:eastAsia="Times New Roman" w:cs="Times New Roman"/>
          <w:szCs w:val="20"/>
        </w:rPr>
        <w:t xml:space="preserve"> This is a fascinating reaction in practice as it can be qualitatively monitored. Gaseous O</w:t>
      </w:r>
      <w:r w:rsidRPr="007B7129">
        <w:rPr>
          <w:rFonts w:eastAsia="Times New Roman" w:cs="Times New Roman"/>
          <w:szCs w:val="20"/>
          <w:vertAlign w:val="subscript"/>
        </w:rPr>
        <w:t>3</w:t>
      </w:r>
      <w:r w:rsidRPr="007B7129">
        <w:rPr>
          <w:rFonts w:eastAsia="Times New Roman" w:cs="Times New Roman"/>
          <w:szCs w:val="20"/>
        </w:rPr>
        <w:t xml:space="preserve"> is passed through a cold solution (usually -78 – 0 ̊C) until a blue color is observed, indicating the consumption of the double bond and formation of the ozonide intermediates. The reaction is then halted when the ozone is forced to dissipate via sparging with nitrogen gas, followed by a reductive or oxidative workup, the choice of which typically determining product structure. In the presence </w:t>
      </w:r>
      <w:r w:rsidRPr="007B7129">
        <w:rPr>
          <w:rFonts w:eastAsia="Times New Roman" w:cs="Times New Roman"/>
          <w:szCs w:val="20"/>
        </w:rPr>
        <w:lastRenderedPageBreak/>
        <w:t xml:space="preserve">of alcohols, addition to the carbonyl oxide is possible affording geminal </w:t>
      </w:r>
      <w:proofErr w:type="spellStart"/>
      <w:r w:rsidRPr="007B7129">
        <w:rPr>
          <w:rFonts w:eastAsia="Times New Roman" w:cs="Times New Roman"/>
          <w:szCs w:val="20"/>
        </w:rPr>
        <w:t>methoxyhydroperoxides</w:t>
      </w:r>
      <w:proofErr w:type="spellEnd"/>
      <w:r w:rsidRPr="007B7129">
        <w:rPr>
          <w:rFonts w:eastAsia="Times New Roman" w:cs="Times New Roman"/>
          <w:szCs w:val="20"/>
        </w:rPr>
        <w:t xml:space="preserve"> (</w:t>
      </w:r>
      <w:r w:rsidR="000D043E" w:rsidRPr="000D043E">
        <w:rPr>
          <w:rFonts w:eastAsia="Times New Roman" w:cs="Times New Roman"/>
          <w:b/>
          <w:bCs/>
          <w:szCs w:val="20"/>
        </w:rPr>
        <w:fldChar w:fldCharType="begin"/>
      </w:r>
      <w:r w:rsidR="000D043E" w:rsidRPr="000D043E">
        <w:rPr>
          <w:rFonts w:eastAsia="Times New Roman" w:cs="Times New Roman"/>
          <w:b/>
          <w:bCs/>
          <w:szCs w:val="20"/>
        </w:rPr>
        <w:instrText xml:space="preserve"> REF _Ref102583099 \h  \* MERGEFORMAT </w:instrText>
      </w:r>
      <w:r w:rsidR="000D043E" w:rsidRPr="000D043E">
        <w:rPr>
          <w:rFonts w:eastAsia="Times New Roman" w:cs="Times New Roman"/>
          <w:b/>
          <w:bCs/>
          <w:szCs w:val="20"/>
        </w:rPr>
      </w:r>
      <w:r w:rsidR="000D043E" w:rsidRPr="000D043E">
        <w:rPr>
          <w:rFonts w:eastAsia="Times New Roman" w:cs="Times New Roman"/>
          <w:b/>
          <w:bCs/>
          <w:szCs w:val="20"/>
        </w:rPr>
        <w:fldChar w:fldCharType="separate"/>
      </w:r>
      <w:r w:rsidR="00AA5AAC" w:rsidRPr="00AA5AAC">
        <w:rPr>
          <w:b/>
          <w:bCs/>
        </w:rPr>
        <w:t>Figure 3.7</w:t>
      </w:r>
      <w:r w:rsidR="000D043E" w:rsidRPr="000D043E">
        <w:rPr>
          <w:rFonts w:eastAsia="Times New Roman" w:cs="Times New Roman"/>
          <w:b/>
          <w:bCs/>
          <w:szCs w:val="20"/>
        </w:rPr>
        <w:fldChar w:fldCharType="end"/>
      </w:r>
      <w:r w:rsidRPr="007B7129">
        <w:rPr>
          <w:rFonts w:eastAsia="Times New Roman" w:cs="Times New Roman"/>
          <w:b/>
          <w:bCs/>
          <w:szCs w:val="20"/>
        </w:rPr>
        <w:t>B</w:t>
      </w:r>
      <w:r w:rsidRPr="007B7129">
        <w:rPr>
          <w:rFonts w:eastAsia="Times New Roman" w:cs="Times New Roman"/>
          <w:szCs w:val="20"/>
        </w:rPr>
        <w:t>).</w:t>
      </w:r>
    </w:p>
    <w:p w14:paraId="0090BA40" w14:textId="77777777"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While ozone gas is a clean and effective choice that allows cleavage of the olefin under extremely mild conditions and efficient atom economy, several newer methodologies have been developed to avoid the risk of respiratory illness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{"citationID":"Zr2RPa6G","properties":{"formattedCitation":"\\super 66\\nosupersub{}","plainCitation":"66","noteIndex":0},"citationItems":[{"id":328,"uris":["http://zotero.org/users/6503767/items/R6XLNY73"],"itemData":{"id":328,"type":"article-journal","abstract":"The effects of tropospheric ozone on lung function and respiratory symptoms have been well documented at relatively high concentrations. However, previous investigations have failed to establish a clear association between tropospheric ozone and respiratory diseases severe enough to require hospitalization after controlling for climate, and with gaseous and particulate air pollution at the lower concentrations typically observed in Canada today. To determine if low levels of tropospheric ozone contribute to hospitalization for respiratory disease, air pollution data were compared to hospital admissions for 16 cities across Canada representing 12.6 million people. During the 3927-day period from April 1, 1981, to December 31, 1991, there were 720,519 admissions for which the principle diagnosis was a respiratory disease. After controlling for sulfur dioxide, nitrogen dioxide, carbon monoxide, soiling index, and dew point temperature, the daily high hour concentration of ozone recorded 1 day previous to the date of admission was positively associated with respiratory admissions in the April to December period but not in the winter months. The relative risk for a 30 ppb increase in ozone varied from 1.043 (P&lt; 0.0001) to 1.024 (P= 0.0258) depending on the selection of covariates in the regression model and subset of cities examined. The association between ozone and respiratory hospitalizations varied among cities, with relative risks ranging from 1.000 to 1.088 after simultaneous covariate adjustment. Particulate matter and carbon monoxide were also positively associated with respiratory hospitalizations. These results suggest that ambient air pollution at the relatively low concentrations observed in this study, including tropospheric ozone, is associated with excess admissions to hospital for respiratory diseases in populations experiencing diverse climates and air pollution profiles.","container-title":"Environmental Research","DOI":"10.1006/enrs.1996.3685","ISSN":"0013-9351","issue":"1","journalAbbreviation":"Environmental Research","language":"en","page":"24-31","source":"ScienceDirect","title":"Association between Ozone and Hospitalization for Respiratory Diseases in 16 Canadian Cities","volume":"72","author":[{"family":"Burnett","given":"Richard T."},{"family":"Brook","given":"Jeffrey R."},{"family":"Yung","given":"Wesley T."},{"family":"Dales","given":"Robert E."},{"family":"Krewski","given":"Daniel"}],"issued":{"date-parts":[["1997",1,1]]}}}],"schema":"https://github.com/citation-style-language/schema/raw/master/csl-citation.json"}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66</w:t>
      </w:r>
      <w:r w:rsidRPr="007B7129">
        <w:rPr>
          <w:rFonts w:eastAsia="Times New Roman" w:cs="Times New Roman"/>
          <w:szCs w:val="20"/>
        </w:rPr>
        <w:fldChar w:fldCharType="end"/>
      </w:r>
      <w:r w:rsidRPr="007B7129">
        <w:rPr>
          <w:rFonts w:eastAsia="Times New Roman" w:cs="Times New Roman"/>
          <w:szCs w:val="20"/>
        </w:rPr>
        <w:t xml:space="preserve"> due to acute and chronic ozone exposure. For example, the hypervalent iodine species </w:t>
      </w:r>
      <w:proofErr w:type="spellStart"/>
      <w:r w:rsidRPr="007B7129">
        <w:rPr>
          <w:rFonts w:eastAsia="Times New Roman" w:cs="Times New Roman"/>
          <w:szCs w:val="20"/>
        </w:rPr>
        <w:t>iodosylbenzene</w:t>
      </w:r>
      <w:proofErr w:type="spellEnd"/>
      <w:r w:rsidRPr="007B7129">
        <w:rPr>
          <w:rFonts w:eastAsia="Times New Roman" w:cs="Times New Roman"/>
          <w:szCs w:val="20"/>
        </w:rPr>
        <w:t xml:space="preserve"> in combination with fluoroboric acid (aqueous HBF</w:t>
      </w:r>
      <w:r w:rsidRPr="007B7129">
        <w:rPr>
          <w:rFonts w:eastAsia="Times New Roman" w:cs="Times New Roman"/>
          <w:szCs w:val="20"/>
          <w:vertAlign w:val="subscript"/>
        </w:rPr>
        <w:t>3</w:t>
      </w:r>
      <w:r w:rsidRPr="007B7129">
        <w:rPr>
          <w:rFonts w:eastAsia="Times New Roman" w:cs="Times New Roman"/>
          <w:szCs w:val="20"/>
        </w:rPr>
        <w:t xml:space="preserve">) in </w:t>
      </w:r>
      <w:proofErr w:type="spellStart"/>
      <w:r w:rsidRPr="007B7129">
        <w:rPr>
          <w:rFonts w:eastAsia="Times New Roman" w:cs="Times New Roman"/>
          <w:szCs w:val="20"/>
        </w:rPr>
        <w:t>hexafluoroisopropanol</w:t>
      </w:r>
      <w:proofErr w:type="spellEnd"/>
      <w:r w:rsidRPr="007B7129">
        <w:rPr>
          <w:rFonts w:eastAsia="Times New Roman" w:cs="Times New Roman"/>
          <w:szCs w:val="20"/>
        </w:rPr>
        <w:t xml:space="preserve"> (HFIP) were found to be a safer ozonolysis substitute, efficiently providing </w:t>
      </w:r>
      <w:proofErr w:type="spellStart"/>
      <w:r w:rsidRPr="007B7129">
        <w:rPr>
          <w:rFonts w:eastAsia="Times New Roman" w:cs="Times New Roman"/>
          <w:szCs w:val="20"/>
        </w:rPr>
        <w:t>dicarbonyl</w:t>
      </w:r>
      <w:proofErr w:type="spellEnd"/>
      <w:r w:rsidRPr="007B7129">
        <w:rPr>
          <w:rFonts w:eastAsia="Times New Roman" w:cs="Times New Roman"/>
          <w:szCs w:val="20"/>
        </w:rPr>
        <w:t xml:space="preserve"> compounds from alkenes.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{"citationID":"Oucot6o0","properties":{"formattedCitation":"\\super 67\\nosupersub{}","plainCitation":"67","noteIndex":0},"citationItems":[{"id":336,"uris":["http://zotero.org/users/6503767/items/QHMQVL9B"],"itemData":{"id":336,"type":"article-journal","abstract":"Reported here for the first time are the developments of an efficient method for oxidative cleavage of carbon−carbon double bonds yielding carbonyl compounds by using aryl-λ3-iodanes, which involve a combination of iodosylbenzene and HBF4 in the presence of water. The method serves as a safety alternative to ozonolysis. The oxidative cleavage of olefins probably involves the hitherto unknown direct vicinal dihydroxylations of double bonds with aryl-λ3-iodanes and the subsequent oxidative glycol fissions. Cyclic (cyclopentenes, cyclohexenes, etc.) and acyclic olefins are cleaved smoothly under our conditions. In the reaction of electron-deficient styrenes such as m-nitrostyrene, intermediate formation of the corresponding epoxide was detected. A variety of aryloxiranes also undergo an oxidative cleavage of the epoxide rings under our conditions, and aromatic aldehydes were obtained in good yields","container-title":"Journal of the American Chemical Society","DOI":"10.1021/ja070179e","ISSN":"0002-7863","issue":"10","journalAbbreviation":"J. Am. Chem. Soc.","note":"publisher: American Chemical Society","page":"2772-2773","source":"ACS Publications","title":"Activated Iodosylbenzene Monomer as an Ozone Equivalent:  Oxidative Cleavage of Carbon−Carbon Double Bonds in the Presence of Water","title-short":"Activated Iodosylbenzene Monomer as an Ozone Equivalent","volume":"129","author":[{"family":"Miyamoto","given":"Kazunori"},{"family":"Tada","given":"Norihiro"},{"family":"Ochiai","given":"Masahito"}],"issued":{"date-parts":[["2007",3,1]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67</w:t>
      </w:r>
      <w:r w:rsidRPr="007B7129">
        <w:rPr>
          <w:rFonts w:eastAsia="Times New Roman" w:cs="Times New Roman"/>
          <w:szCs w:val="20"/>
        </w:rPr>
        <w:fldChar w:fldCharType="end"/>
      </w:r>
      <w:r w:rsidRPr="007B7129">
        <w:rPr>
          <w:rFonts w:eastAsia="Times New Roman" w:cs="Times New Roman"/>
          <w:szCs w:val="20"/>
        </w:rPr>
        <w:t xml:space="preserve"> This method is interesting because of its environmentally friendly nature and high selectivity. Alternatively, metal-based methods (potassium permanganate (KMnO</w:t>
      </w:r>
      <w:r w:rsidRPr="007B7129">
        <w:rPr>
          <w:rFonts w:eastAsia="Times New Roman" w:cs="Times New Roman"/>
          <w:szCs w:val="20"/>
          <w:vertAlign w:val="subscript"/>
        </w:rPr>
        <w:t>4</w:t>
      </w:r>
      <w:r w:rsidRPr="007B7129">
        <w:rPr>
          <w:rFonts w:eastAsia="Times New Roman" w:cs="Times New Roman"/>
          <w:szCs w:val="20"/>
        </w:rPr>
        <w:t>), ruthenium oxides, ceric ammonium nitrate (CAN), and chromium reagents), electrocatalytic anodic cleavage, singlet oxygen, and enzymatic methods are available for alkene cleavage.</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{"citationID":"ndoHOiOt","properties":{"formattedCitation":"\\super 68\\nosupersub{}","plainCitation":"68","noteIndex":0},"citationItems":[{"id":340,"uris":["http://zotero.org/users/6503767/items/MVBF9LYT"],"itemData":{"id":340,"type":"article-journal","abstract":"The cleavage of alkenes to the corresponding carbonyl products is a widely employed method in organic synthesis, especially to introduce oxygen functionalities into molecules, remove protecting groups and tailor large molecules. Chemical methods available for alkene cleavage include, for instance, ozonolysis, several metal-based variants (KMnO4, OsO4, RuO4, etc.), electrochemical alternatives, singlet oxygen, hypervalent iodine and organic molecules in combination with oxygen. Furthermore, several enzymatic methods for alkene cleavage have been described to establish safe, mild and selective oxidation methods. Various heme and non-heme iron-dependent enzymes catalyse the alkene cleavage at ambient temperature and atmospheric pressure in an aqueous buffer, showing good chemo- and regioselectivities in selected cases. Quite recently some Cu-, Mn- and Ni-dependent enzymes have been identified for this reaction. This review gives an overview of the different chemical and enzymatic methods available for the cleavage of alkenes.","container-title":"Advanced Synthesis &amp; Catalysis","DOI":"10.1002/adsc.201300882","ISSN":"16154150","issue":"17","journalAbbreviation":"Adv. Synth. Catal.","language":"en","page":"3321-3335","source":"DOI.org (Crossref)","title":"Oxidative Alkene Cleavage by Chemical and Enzymatic Methods","volume":"355","author":[{"family":"Rajagopalan","given":"Aashrita"},{"family":"Lara","given":"Miguel"},{"family":"Kroutil","given":"Wolfgang"}],"issued":{"date-parts":[["2013",11,25]]}}}],"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68</w:t>
      </w:r>
      <w:r w:rsidRPr="007B7129">
        <w:rPr>
          <w:rFonts w:eastAsia="Times New Roman" w:cs="Times New Roman"/>
          <w:szCs w:val="20"/>
        </w:rPr>
        <w:fldChar w:fldCharType="end"/>
      </w:r>
      <w:r w:rsidRPr="007B7129">
        <w:rPr>
          <w:rFonts w:eastAsia="Times New Roman" w:cs="Times New Roman"/>
          <w:szCs w:val="20"/>
        </w:rPr>
        <w:t xml:space="preserve"> </w:t>
      </w:r>
    </w:p>
    <w:p w14:paraId="4B45DAA1" w14:textId="77777777"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Perhaps the most effective ozone alternative, however, involves catalytic amounts of osmium tetroxide (OsO</w:t>
      </w:r>
      <w:r w:rsidRPr="007B7129">
        <w:rPr>
          <w:rFonts w:eastAsia="Times New Roman" w:cs="Times New Roman"/>
          <w:szCs w:val="20"/>
          <w:vertAlign w:val="subscript"/>
        </w:rPr>
        <w:t>4</w:t>
      </w:r>
      <w:r w:rsidRPr="007B7129">
        <w:rPr>
          <w:rFonts w:eastAsia="Times New Roman" w:cs="Times New Roman"/>
          <w:szCs w:val="20"/>
        </w:rPr>
        <w:t>). In this reaction, the combination of OsO</w:t>
      </w:r>
      <w:r w:rsidRPr="007B7129">
        <w:rPr>
          <w:rFonts w:eastAsia="Times New Roman" w:cs="Times New Roman"/>
          <w:szCs w:val="20"/>
          <w:vertAlign w:val="subscript"/>
        </w:rPr>
        <w:t>4</w:t>
      </w:r>
      <w:r w:rsidRPr="007B7129">
        <w:rPr>
          <w:rFonts w:eastAsia="Times New Roman" w:cs="Times New Roman"/>
          <w:szCs w:val="20"/>
        </w:rPr>
        <w:t xml:space="preserve"> dihydroxylation of an olefin and subsequent periodate (or other oxidant) cleavage of a 1,2-glycol mimics ozonolysis.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{"citationID":"c9IS6pBr","properties":{"formattedCitation":"\\super 69\\nosupersub{}","plainCitation":"69","noteIndex":0},"citationItems":[{"id":329,"uris":["http://zotero.org/users/6503767/items/PAQB3CNF"],"itemData":{"id":329,"type":"article-journal","abstract":"A mild, organometallic alternative to ozonolysis utilizing oxone and OsO4 is presented. This is a direct oxidation of olefins via the carbon−carbon cleavage of an osmate ester by the action of oxone. Twenty-four different olefins were converted to their corresponding ketones or carboxylic acids in high yields (&gt;80%). Free alcohols, acetate- and benzyl-protected alcohols, and 1,2-diols were stable under these conditions. This method should be applicable for traditional organic synthesis.","container-title":"Journal of the American Chemical Society","DOI":"10.1021/ja017295g","ISSN":"0002-7863","issue":"15","journalAbbreviation":"J. Am. Chem. Soc.","note":"publisher: American Chemical Society","page":"3824-3825","source":"ACS Publications","title":"Osmium Tetroxide-Promoted Catalytic Oxidative Cleavage of Olefins:  An Organometallic Ozonolysis","title-short":"Osmium Tetroxide-Promoted Catalytic Oxidative Cleavage of Olefins","volume":"124","author":[{"family":"Travis","given":"Benjamin R."},{"family":"Narayan","given":"Radha S."},{"family":"Borhan","given":"Babak"}],"issued":{"date-parts":[["2002",4,1]]}}}],"schema":"https://github.com/citation-style-language/schema/raw/master/csl-citation.json"}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69</w:t>
      </w:r>
      <w:r w:rsidRPr="007B7129">
        <w:rPr>
          <w:rFonts w:eastAsia="Times New Roman" w:cs="Times New Roman"/>
          <w:szCs w:val="20"/>
        </w:rPr>
        <w:fldChar w:fldCharType="end"/>
      </w:r>
      <w:r w:rsidRPr="007B7129">
        <w:rPr>
          <w:rFonts w:eastAsia="Times New Roman" w:cs="Times New Roman"/>
          <w:szCs w:val="20"/>
        </w:rPr>
        <w:t xml:space="preserve"> Namely, the Lemieux-Johnson oxidation</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{"citationID":"h3i3aike","properties":{"formattedCitation":"\\super 70\\nosupersub{}","plainCitation":"70","noteIndex":0},"citationItems":[{"id":332,"uris":["http://zotero.org/users/6503767/items/2RKQWBIV"],"itemData":{"id":332,"type":"book","abstract":"Kurti and Czako have produced an indispensable tool for specialists and non-specialists in organic chemistry. This innovative reference work includes 250 organic reactions and their strategic use in the synthesis of complex natural and unnatural products. Reactions are thoroughly discussed in a convenient, two-page layout--using full color. Its comprehensive coverage, superb organization, quality of presentation, and wealth of references, make this a necessity for every organic chemist.* The first reference work on named reactions to present colored schemes for easier understanding&lt;br.","event-place":"Burlington","ISBN":"978-0-08-057541-4","language":"English","note":"OCLC: 850164343","publisher":"Elsevier Science","publisher-place":"Burlington","source":"Open WorldCat","title":"Strategic Applications of Named Reactions in Organic Synthesis: Background and Detailed Mechanisms.","title-short":"Strategic Applications of Named Reactions in Organic Synthesis","URL":"http://search.ebscohost.com/login.aspx?direct=true&amp;scope=site&amp;db=nlebk&amp;db=nlabk&amp;AN=638031","author":[{"family":"Kurti","given":"Laszlo"},{"family":"Czako","given":"Barbara"}],"accessed":{"date-parts":[["2021",11,1]]},"issued":{"date-parts":[["2005"]]}}}],"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70</w:t>
      </w:r>
      <w:r w:rsidRPr="007B7129">
        <w:rPr>
          <w:rFonts w:eastAsia="Times New Roman" w:cs="Times New Roman"/>
          <w:szCs w:val="20"/>
        </w:rPr>
        <w:fldChar w:fldCharType="end"/>
      </w:r>
      <w:r w:rsidRPr="007B7129">
        <w:rPr>
          <w:rFonts w:eastAsia="Times New Roman" w:cs="Times New Roman"/>
          <w:szCs w:val="20"/>
        </w:rPr>
        <w:t xml:space="preserve"> was an attractive method for this total synthesis for a few reasons. Firstly, catalytic amounts of the osmium reagent are sufficient because the periodate oxidizes osmium in its lower valence forms to the tetroxide, thus regenerating the hydroxylating agent.</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{"citationID":"X4iUIeaA","properties":{"formattedCitation":"\\super 71\\nosupersub{}","plainCitation":"71","noteIndex":0},"citationItems":[{"id":313,"uris":["http://zotero.org/users/6503767/items/SYBJNAI5"],"itemData":{"id":313,"type":"article-journal","container-title":"The Journal of Organic Chemistry","DOI":"10.1021/jo01110a606","ISSN":"0022-3263","issue":"4","journalAbbreviation":"J. Org. Chem.","note":"publisher: American Chemical Society","page":"478-479","source":"ACS Publications","title":"Notes - Osmium Tetroxide-Catalyzed Periodate Oxidation of Olefinic Bonds","volume":"21","author":[{"family":"Pappo","given":"R."},{"family":"Allen","given":"Jr.","suffix":"D."},{"family":"Lemieux","given":"R."},{"family":"Johnson","given":"W."}],"issued":{"date-parts":[["1956",4,1]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71</w:t>
      </w:r>
      <w:r w:rsidRPr="007B7129">
        <w:rPr>
          <w:rFonts w:eastAsia="Times New Roman" w:cs="Times New Roman"/>
          <w:szCs w:val="20"/>
        </w:rPr>
        <w:fldChar w:fldCharType="end"/>
      </w:r>
      <w:r w:rsidRPr="007B7129">
        <w:rPr>
          <w:rFonts w:eastAsia="Times New Roman" w:cs="Times New Roman"/>
          <w:szCs w:val="20"/>
        </w:rPr>
        <w:t xml:space="preserve"> Second, the catalytic nature of this reaction permits the use of relatively small amounts of the very expensive and poisonous osmium reagent. Finally, the periodate cleavage should cease at the aldehyde stage of the oxidation, providing the only the desired aldehyde intermediate </w:t>
      </w:r>
      <w:r w:rsidRPr="007B7129">
        <w:rPr>
          <w:rFonts w:eastAsia="Times New Roman" w:cs="Times New Roman"/>
          <w:b/>
          <w:bCs/>
          <w:szCs w:val="20"/>
        </w:rPr>
        <w:t>3</w:t>
      </w:r>
      <w:r w:rsidRPr="007B7129">
        <w:rPr>
          <w:rFonts w:eastAsia="Times New Roman" w:cs="Times New Roman"/>
          <w:szCs w:val="20"/>
        </w:rPr>
        <w:t xml:space="preserve"> without further oxidation into the corresponding carboxylic acid. </w:t>
      </w:r>
    </w:p>
    <w:p w14:paraId="51E120DD" w14:textId="77777777" w:rsidR="007B7129" w:rsidRPr="007B7129" w:rsidRDefault="007B7129" w:rsidP="007B7129">
      <w:pPr>
        <w:spacing w:after="0"/>
        <w:ind w:left="1440"/>
        <w:rPr>
          <w:rFonts w:eastAsia="Times New Roman" w:cs="Times New Roman"/>
          <w:szCs w:val="20"/>
        </w:rPr>
      </w:pPr>
      <w:r w:rsidRPr="007B7129">
        <w:rPr>
          <w:rFonts w:eastAsia="Times New Roman" w:cs="Times New Roman"/>
          <w:noProof/>
          <w:szCs w:val="20"/>
        </w:rPr>
        <w:lastRenderedPageBreak/>
        <mc:AlternateContent>
          <mc:Choice Requires="wps">
            <w:drawing>
              <wp:inline distT="0" distB="0" distL="0" distR="0" wp14:anchorId="6D331D5B" wp14:editId="5CFA2EA8">
                <wp:extent cx="3911600" cy="1375576"/>
                <wp:effectExtent l="0" t="0" r="12700" b="15240"/>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0" cy="1375576"/>
                        </a:xfrm>
                        <a:prstGeom prst="rect">
                          <a:avLst/>
                        </a:prstGeom>
                        <a:solidFill>
                          <a:srgbClr val="FFFFFF"/>
                        </a:solidFill>
                        <a:ln w="9525">
                          <a:solidFill>
                            <a:srgbClr val="000000"/>
                          </a:solidFill>
                          <a:miter lim="800000"/>
                          <a:headEnd/>
                          <a:tailEnd/>
                        </a:ln>
                      </wps:spPr>
                      <wps:txbx>
                        <w:txbxContent>
                          <w:p w14:paraId="77602EF0" w14:textId="77777777" w:rsidR="00183BAD" w:rsidRDefault="007B7129" w:rsidP="00183BAD">
                            <w:pPr>
                              <w:keepNext/>
                              <w:spacing w:after="0"/>
                              <w:jc w:val="center"/>
                            </w:pPr>
                            <w:r>
                              <w:object w:dxaOrig="1740" w:dyaOrig="1418" w14:anchorId="4F2BE882">
                                <v:shape id="_x0000_i1099" type="#_x0000_t75" style="width:86.95pt;height:70.6pt">
                                  <v:imagedata r:id="rId282" o:title=""/>
                                </v:shape>
                                <o:OLEObject Type="Embed" ProgID="ChemDraw.Document.6.0" ShapeID="_x0000_i1099" DrawAspect="Content" ObjectID="_1713353506" r:id="rId283"/>
                              </w:object>
                            </w:r>
                          </w:p>
                          <w:p w14:paraId="70275015" w14:textId="6CA52598" w:rsidR="007B7129" w:rsidRDefault="00183BAD" w:rsidP="00DF51F5">
                            <w:pPr>
                              <w:pStyle w:val="Caption"/>
                            </w:pPr>
                            <w:bookmarkStart w:id="316" w:name="_Ref102583157"/>
                            <w:bookmarkStart w:id="317" w:name="_Toc100748315"/>
                            <w:r>
                              <w:t>Figure 3.</w:t>
                            </w:r>
                            <w:fldSimple w:instr=" SEQ Figure \* ARABIC ">
                              <w:r w:rsidR="00AA5AAC">
                                <w:rPr>
                                  <w:noProof/>
                                </w:rPr>
                                <w:t>8</w:t>
                              </w:r>
                            </w:fldSimple>
                            <w:bookmarkEnd w:id="316"/>
                            <w:r>
                              <w:t xml:space="preserve">. </w:t>
                            </w:r>
                            <w:bookmarkStart w:id="318" w:name="_Toc100243261"/>
                            <w:r w:rsidR="007B7129">
                              <w:t xml:space="preserve">Structure of </w:t>
                            </w:r>
                            <w:proofErr w:type="spellStart"/>
                            <w:r w:rsidR="007B7129">
                              <w:t>mCPBA</w:t>
                            </w:r>
                            <w:proofErr w:type="spellEnd"/>
                            <w:r w:rsidR="007B7129">
                              <w:t xml:space="preserve"> oxidation product 3.37.</w:t>
                            </w:r>
                            <w:bookmarkEnd w:id="317"/>
                            <w:bookmarkEnd w:id="318"/>
                            <w:r w:rsidR="007B7129">
                              <w:t xml:space="preserve"> </w:t>
                            </w:r>
                          </w:p>
                          <w:p w14:paraId="2F3838FB" w14:textId="77777777" w:rsidR="007B7129" w:rsidRDefault="007B7129" w:rsidP="007B7129"/>
                        </w:txbxContent>
                      </wps:txbx>
                      <wps:bodyPr rot="0" vert="horz" wrap="square" lIns="91440" tIns="45720" rIns="91440" bIns="45720" anchor="t" anchorCtr="0">
                        <a:noAutofit/>
                      </wps:bodyPr>
                    </wps:wsp>
                  </a:graphicData>
                </a:graphic>
              </wp:inline>
            </w:drawing>
          </mc:Choice>
          <mc:Fallback>
            <w:pict>
              <v:shape w14:anchorId="6D331D5B" id="_x0000_s1091" type="#_x0000_t202" style="width:308pt;height:10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">
                <v:textbox>
                  <w:txbxContent>
                    <w:p w14:paraId="77602EF0" w14:textId="77777777" w:rsidR="00183BAD" w:rsidRDefault="007B7129" w:rsidP="00183BAD">
                      <w:pPr>
                        <w:keepNext/>
                        <w:spacing w:after="0"/>
                        <w:jc w:val="center"/>
                      </w:pPr>
                      <w:r>
                        <w:object w:dxaOrig="1740" w:dyaOrig="1418" w14:anchorId="4F2BE882">
                          <v:shape id="_x0000_i1099" type="#_x0000_t75" style="width:86.95pt;height:70.6pt">
                            <v:imagedata r:id="rId282" o:title=""/>
                          </v:shape>
                          <o:OLEObject Type="Embed" ProgID="ChemDraw.Document.6.0" ShapeID="_x0000_i1099" DrawAspect="Content" ObjectID="_1713353506" r:id="rId284"/>
                        </w:object>
                      </w:r>
                    </w:p>
                    <w:p w14:paraId="70275015" w14:textId="6CA52598" w:rsidR="007B7129" w:rsidRDefault="00183BAD" w:rsidP="00DF51F5">
                      <w:pPr>
                        <w:pStyle w:val="Caption"/>
                      </w:pPr>
                      <w:bookmarkStart w:id="319" w:name="_Ref102583157"/>
                      <w:bookmarkStart w:id="320" w:name="_Toc100748315"/>
                      <w:r>
                        <w:t>Figure 3.</w:t>
                      </w:r>
                      <w:fldSimple w:instr=" SEQ Figure \* ARABIC ">
                        <w:r w:rsidR="00AA5AAC">
                          <w:rPr>
                            <w:noProof/>
                          </w:rPr>
                          <w:t>8</w:t>
                        </w:r>
                      </w:fldSimple>
                      <w:bookmarkEnd w:id="319"/>
                      <w:r>
                        <w:t xml:space="preserve">. </w:t>
                      </w:r>
                      <w:bookmarkStart w:id="321" w:name="_Toc100243261"/>
                      <w:r w:rsidR="007B7129">
                        <w:t xml:space="preserve">Structure of </w:t>
                      </w:r>
                      <w:proofErr w:type="spellStart"/>
                      <w:r w:rsidR="007B7129">
                        <w:t>mCPBA</w:t>
                      </w:r>
                      <w:proofErr w:type="spellEnd"/>
                      <w:r w:rsidR="007B7129">
                        <w:t xml:space="preserve"> oxidation product 3.37.</w:t>
                      </w:r>
                      <w:bookmarkEnd w:id="320"/>
                      <w:bookmarkEnd w:id="321"/>
                      <w:r w:rsidR="007B7129">
                        <w:t xml:space="preserve"> </w:t>
                      </w:r>
                    </w:p>
                    <w:p w14:paraId="2F3838FB" w14:textId="77777777" w:rsidR="007B7129" w:rsidRDefault="007B7129" w:rsidP="007B7129"/>
                  </w:txbxContent>
                </v:textbox>
                <w10:anchorlock/>
              </v:shape>
            </w:pict>
          </mc:Fallback>
        </mc:AlternateContent>
      </w:r>
    </w:p>
    <w:p w14:paraId="44B6A370" w14:textId="3E71AE3A"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 xml:space="preserve">Fortunately, β-carboline </w:t>
      </w:r>
      <w:r w:rsidRPr="007B7129">
        <w:rPr>
          <w:rFonts w:eastAsia="Times New Roman" w:cs="Times New Roman"/>
          <w:b/>
          <w:bCs/>
          <w:szCs w:val="20"/>
        </w:rPr>
        <w:t>3.36</w:t>
      </w:r>
      <w:r w:rsidRPr="007B7129">
        <w:rPr>
          <w:rFonts w:eastAsia="Times New Roman" w:cs="Times New Roman"/>
          <w:szCs w:val="20"/>
        </w:rPr>
        <w:t xml:space="preserve"> was a suitable substrate for oxidative cleavage and </w:t>
      </w:r>
      <w:r w:rsidRPr="007B7129">
        <w:rPr>
          <w:rFonts w:eastAsia="Times New Roman" w:cs="Times New Roman"/>
          <w:b/>
          <w:bCs/>
          <w:szCs w:val="20"/>
        </w:rPr>
        <w:t>Step 3</w:t>
      </w:r>
      <w:r w:rsidRPr="007B7129">
        <w:rPr>
          <w:rFonts w:eastAsia="Times New Roman" w:cs="Times New Roman"/>
          <w:szCs w:val="20"/>
        </w:rPr>
        <w:t xml:space="preserve"> proceeded without introducing any major problems. A simple condition screen of ozonolysis conditions including ozone gas (O</w:t>
      </w:r>
      <w:r w:rsidRPr="007B7129">
        <w:rPr>
          <w:rFonts w:eastAsia="Times New Roman" w:cs="Times New Roman"/>
          <w:szCs w:val="20"/>
          <w:vertAlign w:val="subscript"/>
        </w:rPr>
        <w:t>3</w:t>
      </w:r>
      <w:r w:rsidRPr="007B7129">
        <w:rPr>
          <w:rFonts w:eastAsia="Times New Roman" w:cs="Times New Roman"/>
          <w:szCs w:val="20"/>
        </w:rPr>
        <w:t>), meta-</w:t>
      </w:r>
      <w:proofErr w:type="spellStart"/>
      <w:r w:rsidRPr="007B7129">
        <w:rPr>
          <w:rFonts w:eastAsia="Times New Roman" w:cs="Times New Roman"/>
          <w:szCs w:val="20"/>
        </w:rPr>
        <w:t>chloroperoxybeznoic</w:t>
      </w:r>
      <w:proofErr w:type="spellEnd"/>
      <w:r w:rsidRPr="007B7129">
        <w:rPr>
          <w:rFonts w:eastAsia="Times New Roman" w:cs="Times New Roman"/>
          <w:szCs w:val="20"/>
        </w:rPr>
        <w:t xml:space="preserve"> acid (</w:t>
      </w:r>
      <w:proofErr w:type="spellStart"/>
      <w:r w:rsidRPr="007B7129">
        <w:rPr>
          <w:rFonts w:eastAsia="Times New Roman" w:cs="Times New Roman"/>
          <w:szCs w:val="20"/>
        </w:rPr>
        <w:t>mCPBA</w:t>
      </w:r>
      <w:proofErr w:type="spellEnd"/>
      <w:r w:rsidRPr="007B7129">
        <w:rPr>
          <w:rFonts w:eastAsia="Times New Roman" w:cs="Times New Roman"/>
          <w:szCs w:val="20"/>
        </w:rPr>
        <w:t xml:space="preserve">), </w:t>
      </w:r>
      <w:proofErr w:type="spellStart"/>
      <w:r w:rsidRPr="007B7129">
        <w:rPr>
          <w:rFonts w:eastAsia="Times New Roman" w:cs="Times New Roman"/>
          <w:szCs w:val="20"/>
        </w:rPr>
        <w:t>iodosobenzene</w:t>
      </w:r>
      <w:proofErr w:type="spellEnd"/>
      <w:r w:rsidRPr="007B7129">
        <w:rPr>
          <w:rFonts w:eastAsia="Times New Roman" w:cs="Times New Roman"/>
          <w:szCs w:val="20"/>
        </w:rPr>
        <w:t xml:space="preserve"> diacetate, </w:t>
      </w:r>
      <w:proofErr w:type="spellStart"/>
      <w:r w:rsidRPr="007B7129">
        <w:rPr>
          <w:rFonts w:eastAsia="Times New Roman" w:cs="Times New Roman"/>
          <w:szCs w:val="20"/>
        </w:rPr>
        <w:t>iodosylbenzene</w:t>
      </w:r>
      <w:proofErr w:type="spellEnd"/>
      <w:r w:rsidRPr="007B7129">
        <w:rPr>
          <w:rFonts w:eastAsia="Times New Roman" w:cs="Times New Roman"/>
          <w:szCs w:val="20"/>
        </w:rPr>
        <w:t>, and potassium permanganate (KMnO</w:t>
      </w:r>
      <w:r w:rsidRPr="007B7129">
        <w:rPr>
          <w:rFonts w:eastAsia="Times New Roman" w:cs="Times New Roman"/>
          <w:szCs w:val="20"/>
          <w:vertAlign w:val="subscript"/>
        </w:rPr>
        <w:t>4</w:t>
      </w:r>
      <w:r w:rsidRPr="007B7129">
        <w:rPr>
          <w:rFonts w:eastAsia="Times New Roman" w:cs="Times New Roman"/>
          <w:szCs w:val="20"/>
        </w:rPr>
        <w:t>) was performed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_Ref86861992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3.5</w:t>
      </w:r>
      <w:r w:rsidRPr="007B7129">
        <w:rPr>
          <w:rFonts w:eastAsia="Times New Roman" w:cs="Times New Roman"/>
          <w:b/>
          <w:bCs/>
          <w:szCs w:val="20"/>
        </w:rPr>
        <w:fldChar w:fldCharType="end"/>
      </w:r>
      <w:r w:rsidRPr="007B7129">
        <w:rPr>
          <w:rFonts w:eastAsia="Times New Roman" w:cs="Times New Roman"/>
          <w:szCs w:val="20"/>
        </w:rPr>
        <w:t>). Predictably,</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{"citationID":"KB4JCphZ","properties":{"formattedCitation":"\\super 72\\nosupersub{}","plainCitation":"72","noteIndex":0},"citationItems":[{"id":491,"uris":["http://zotero.org/users/6503767/items/K5GHH8LP"],"itemData":{"id":491,"type":"article-journal","abstract":"A kinetic equation provides relative rate constants from product analysis under competition conditions. This has been applied to the epoxidation of a large number of alkenes with m-chloroperbenzoic acid in methylene chloride. The rate constants are well correlated with ionization potentials, but there are separate linear correlations for aliphatic and aromatic alkenes. However, the extent of electron transfer to the peracid is minimal. These results can be interpreted in terms of transition-state imbalance (“nonperfect synchronization”), frontier-orbital theory, and a transition state (1) that has little charge development at carbon.","container-title":"Journal of the American Chemical Society","DOI":"10.1021/ja981531e","ISSN":"0002-7863","issue":"37","journalAbbreviation":"J. Am. Chem. Soc.","note":"publisher: American Chemical Society","page":"9513-9516","source":"ACS Publications","title":"MCPBA Epoxidation of Alkenes:  Reinvestigation of Correlation between Rate and Ionization Potential","title-short":"MCPBA Epoxidation of Alkenes","volume":"120","author":[{"family":"Kim","given":"Cheal"},{"family":"Traylor","given":"Teddy G."},{"family":"Perrin","given":"Charles L."}],"issued":{"date-parts":[["1998",9,1]]}}}],"schema":"https://github.com/citation-style-language/schema/raw/master/csl-citation.json"}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72</w:t>
      </w:r>
      <w:r w:rsidRPr="007B7129">
        <w:rPr>
          <w:rFonts w:eastAsia="Times New Roman" w:cs="Times New Roman"/>
          <w:szCs w:val="20"/>
        </w:rPr>
        <w:fldChar w:fldCharType="end"/>
      </w:r>
      <w:r w:rsidRPr="007B7129">
        <w:rPr>
          <w:rFonts w:eastAsia="Times New Roman" w:cs="Times New Roman"/>
          <w:szCs w:val="20"/>
        </w:rPr>
        <w:t xml:space="preserve"> </w:t>
      </w:r>
      <w:proofErr w:type="spellStart"/>
      <w:r w:rsidRPr="007B7129">
        <w:rPr>
          <w:rFonts w:eastAsia="Times New Roman" w:cs="Times New Roman"/>
          <w:szCs w:val="20"/>
        </w:rPr>
        <w:t>mCPBA</w:t>
      </w:r>
      <w:proofErr w:type="spellEnd"/>
      <w:r w:rsidRPr="007B7129">
        <w:rPr>
          <w:rFonts w:eastAsia="Times New Roman" w:cs="Times New Roman"/>
          <w:szCs w:val="20"/>
        </w:rPr>
        <w:t xml:space="preserve"> only afforded the epoxide product </w:t>
      </w:r>
      <w:r w:rsidRPr="007B7129">
        <w:rPr>
          <w:rFonts w:eastAsia="Times New Roman" w:cs="Times New Roman"/>
          <w:b/>
          <w:bCs/>
          <w:szCs w:val="20"/>
        </w:rPr>
        <w:t>3.37</w:t>
      </w:r>
      <w:r w:rsidRPr="007B7129">
        <w:rPr>
          <w:rFonts w:eastAsia="Times New Roman" w:cs="Times New Roman"/>
          <w:szCs w:val="20"/>
        </w:rPr>
        <w:t xml:space="preserve"> (</w:t>
      </w:r>
      <w:r w:rsidR="00AF3EDB" w:rsidRPr="00AF3EDB">
        <w:rPr>
          <w:rFonts w:eastAsia="Times New Roman" w:cs="Times New Roman"/>
          <w:b/>
          <w:bCs/>
          <w:szCs w:val="20"/>
        </w:rPr>
        <w:fldChar w:fldCharType="begin"/>
      </w:r>
      <w:r w:rsidR="00AF3EDB" w:rsidRPr="00AF3EDB">
        <w:rPr>
          <w:rFonts w:eastAsia="Times New Roman" w:cs="Times New Roman"/>
          <w:b/>
          <w:bCs/>
          <w:szCs w:val="20"/>
        </w:rPr>
        <w:instrText xml:space="preserve"> REF _Ref102583157 \h  \* MERGEFORMAT </w:instrText>
      </w:r>
      <w:r w:rsidR="00AF3EDB" w:rsidRPr="00AF3EDB">
        <w:rPr>
          <w:rFonts w:eastAsia="Times New Roman" w:cs="Times New Roman"/>
          <w:b/>
          <w:bCs/>
          <w:szCs w:val="20"/>
        </w:rPr>
      </w:r>
      <w:r w:rsidR="00AF3EDB" w:rsidRPr="00AF3EDB">
        <w:rPr>
          <w:rFonts w:eastAsia="Times New Roman" w:cs="Times New Roman"/>
          <w:b/>
          <w:bCs/>
          <w:szCs w:val="20"/>
        </w:rPr>
        <w:fldChar w:fldCharType="separate"/>
      </w:r>
      <w:r w:rsidR="00AA5AAC" w:rsidRPr="00AA5AAC">
        <w:rPr>
          <w:b/>
          <w:bCs/>
        </w:rPr>
        <w:t>Figure 3.8</w:t>
      </w:r>
      <w:r w:rsidR="00AF3EDB" w:rsidRPr="00AF3EDB">
        <w:rPr>
          <w:rFonts w:eastAsia="Times New Roman" w:cs="Times New Roman"/>
          <w:b/>
          <w:bCs/>
          <w:szCs w:val="20"/>
        </w:rPr>
        <w:fldChar w:fldCharType="end"/>
      </w:r>
      <w:r w:rsidRPr="007B7129">
        <w:rPr>
          <w:rFonts w:eastAsia="Times New Roman" w:cs="Times New Roman"/>
          <w:szCs w:val="20"/>
        </w:rPr>
        <w:t>), which has potential as a picrasidine building block and diversification point to explore in future studies.</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{"citationID":"6kQpaemt","properties":{"formattedCitation":"\\super 73\\nosupersub{}","plainCitation":"73","noteIndex":0},"citationItems":[{"id":494,"uris":["http://zotero.org/users/6503767/items/RIMKPWNW"],"itemData":{"id":494,"type":"chapter","abstract":"Electrophiles derived from xenobiotics can react with biological nucleophiles on macromolecules to covalently modify them and cause toxicity. Reaction with proteins can lead to cellular toxicity and immunogenicity. Reaction with nucleic acids can lead to gene mutation and carcinogenesis. Electrophiles can be inherently reactive or, more frequently, be generated by metabolism of chemically inert compounds to reactive intermediates. Organic chemistry concepts of nucleophilicity and electrophilicity will be discussed in this chapter. These concepts are reinforced by illustration with multiple examples of hard electrophiles (e.g., carbocations) and soft electrophiles (e.g., Michael acceptors), their generation from drugs and other chemicals, their reactions with biological molecules, and their downstream toxicological consequences.","container-title":"Comprehensive Toxicology (Second Edition)","event-place":"Oxford","ISBN":"978-0-08-046884-6","language":"en","note":"DOI: 10.1016/B978-0-08-046884-6.00115-9","page":"309-347","publisher":"Elsevier","publisher-place":"Oxford","source":"ScienceDirect","title":"Reactive Electrophiles and Metabolic Activation","URL":"https://www.sciencedirect.com/science/article/pii/B9780080468846001159","author":[{"family":"Scott Obach","given":"R."},{"family":"Kalgutkar","given":"A. S."}],"editor":[{"family":"McQueen","given":"Charlene A."}],"accessed":{"date-parts":[["2022",2,23]]},"issued":{"date-parts":[["2010",1,1]]}}}],"schema":"https://github.com/citation-style-language/schema/raw/master/csl-citation.json"}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73</w:t>
      </w:r>
      <w:r w:rsidRPr="007B7129">
        <w:rPr>
          <w:rFonts w:eastAsia="Times New Roman" w:cs="Times New Roman"/>
          <w:szCs w:val="20"/>
        </w:rPr>
        <w:fldChar w:fldCharType="end"/>
      </w:r>
      <w:r w:rsidRPr="007B7129">
        <w:rPr>
          <w:rFonts w:eastAsia="Times New Roman" w:cs="Times New Roman"/>
          <w:szCs w:val="20"/>
        </w:rPr>
        <w:t xml:space="preserve"> </w:t>
      </w:r>
    </w:p>
    <w:p w14:paraId="2DA8E1C5" w14:textId="77777777" w:rsidR="007B7129" w:rsidRPr="007B7129" w:rsidRDefault="007B7129" w:rsidP="007B7129">
      <w:pPr>
        <w:spacing w:after="0"/>
        <w:ind w:firstLine="720"/>
        <w:rPr>
          <w:rFonts w:eastAsia="Times New Roman" w:cs="Times New Roman"/>
          <w:szCs w:val="20"/>
        </w:rPr>
      </w:pPr>
    </w:p>
    <w:p w14:paraId="42EA137D" w14:textId="28F8A74D" w:rsidR="007B7129" w:rsidRPr="007B7129" w:rsidRDefault="007B7129" w:rsidP="000624E1">
      <w:pPr>
        <w:spacing w:after="0" w:line="240" w:lineRule="auto"/>
        <w:rPr>
          <w:b/>
          <w:szCs w:val="18"/>
        </w:rPr>
      </w:pPr>
      <w:bookmarkStart w:id="322" w:name="_Ref86861992"/>
      <w:r w:rsidRPr="007B7129">
        <w:rPr>
          <w:b/>
          <w:szCs w:val="18"/>
        </w:rPr>
        <w:t>Table 3.</w:t>
      </w:r>
      <w:r w:rsidRPr="007B7129">
        <w:rPr>
          <w:b/>
          <w:szCs w:val="18"/>
        </w:rPr>
        <w:fldChar w:fldCharType="begin"/>
      </w:r>
      <w:r w:rsidRPr="007B7129">
        <w:rPr>
          <w:b/>
          <w:szCs w:val="18"/>
        </w:rPr>
        <w:instrText xml:space="preserve"> SEQ Table \* ARABIC </w:instrText>
      </w:r>
      <w:r w:rsidRPr="007B7129">
        <w:rPr>
          <w:b/>
          <w:szCs w:val="18"/>
        </w:rPr>
        <w:fldChar w:fldCharType="separate"/>
      </w:r>
      <w:r w:rsidR="00AA5AAC">
        <w:rPr>
          <w:b/>
          <w:noProof/>
          <w:szCs w:val="18"/>
        </w:rPr>
        <w:t>5</w:t>
      </w:r>
      <w:r w:rsidRPr="007B7129">
        <w:rPr>
          <w:b/>
          <w:noProof/>
          <w:szCs w:val="18"/>
        </w:rPr>
        <w:fldChar w:fldCharType="end"/>
      </w:r>
      <w:bookmarkEnd w:id="322"/>
      <w:r w:rsidRPr="007B7129">
        <w:rPr>
          <w:b/>
          <w:szCs w:val="18"/>
        </w:rPr>
        <w:t>. Screening conditions for oxidative cleavage Step 3.</w:t>
      </w:r>
    </w:p>
    <w:tbl>
      <w:tblPr>
        <w:tblStyle w:val="TableGrid"/>
        <w:tblW w:w="9355" w:type="dxa"/>
        <w:tblLayout w:type="fixed"/>
        <w:tblLook w:val="04A0" w:firstRow="1" w:lastRow="0" w:firstColumn="1" w:lastColumn="0" w:noHBand="0" w:noVBand="1"/>
      </w:tblPr>
      <w:tblGrid>
        <w:gridCol w:w="805"/>
        <w:gridCol w:w="1980"/>
        <w:gridCol w:w="1890"/>
        <w:gridCol w:w="1260"/>
        <w:gridCol w:w="1080"/>
        <w:gridCol w:w="1080"/>
        <w:gridCol w:w="1260"/>
      </w:tblGrid>
      <w:tr w:rsidR="007B7129" w:rsidRPr="007B7129" w14:paraId="2D7A698B" w14:textId="77777777" w:rsidTr="00562397">
        <w:trPr>
          <w:trHeight w:val="1223"/>
        </w:trPr>
        <w:tc>
          <w:tcPr>
            <w:tcW w:w="9355" w:type="dxa"/>
            <w:gridSpan w:val="7"/>
            <w:shd w:val="clear" w:color="auto" w:fill="auto"/>
            <w:vAlign w:val="center"/>
          </w:tcPr>
          <w:p w14:paraId="28FA82D8" w14:textId="77777777" w:rsidR="007B7129" w:rsidRPr="007B7129" w:rsidRDefault="007B7129" w:rsidP="007B7129">
            <w:pPr>
              <w:spacing w:line="240" w:lineRule="auto"/>
              <w:contextualSpacing/>
              <w:jc w:val="center"/>
              <w:rPr>
                <w:rFonts w:cs="Times New Roman"/>
                <w:b/>
                <w:color w:val="000000"/>
                <w:szCs w:val="24"/>
                <w:shd w:val="clear" w:color="auto" w:fill="FFFFFF"/>
              </w:rPr>
            </w:pPr>
            <w:r w:rsidRPr="007B7129">
              <w:rPr>
                <w:rFonts w:cs="Times New Roman"/>
                <w:b/>
                <w:color w:val="000000"/>
                <w:szCs w:val="24"/>
                <w:shd w:val="clear" w:color="auto" w:fill="FFFFFF"/>
              </w:rPr>
              <w:object w:dxaOrig="6768" w:dyaOrig="1390" w14:anchorId="0720C0F1">
                <v:shape id="_x0000_i1100" type="#_x0000_t75" style="width:339.9pt;height:68.75pt" o:ole="">
                  <v:imagedata r:id="rId285" o:title=""/>
                </v:shape>
                <o:OLEObject Type="Embed" ProgID="ChemDraw.Document.6.0" ShapeID="_x0000_i1100" DrawAspect="Content" ObjectID="_1713353459" r:id="rId286"/>
              </w:object>
            </w:r>
          </w:p>
        </w:tc>
      </w:tr>
      <w:tr w:rsidR="007B7129" w:rsidRPr="007B7129" w14:paraId="048149C4" w14:textId="77777777" w:rsidTr="00562397">
        <w:tc>
          <w:tcPr>
            <w:tcW w:w="805" w:type="dxa"/>
            <w:shd w:val="clear" w:color="auto" w:fill="E7E6E6" w:themeFill="background2"/>
            <w:vAlign w:val="center"/>
          </w:tcPr>
          <w:p w14:paraId="4C2FC18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Entry</w:t>
            </w:r>
          </w:p>
        </w:tc>
        <w:tc>
          <w:tcPr>
            <w:tcW w:w="1980" w:type="dxa"/>
            <w:shd w:val="clear" w:color="auto" w:fill="E7E6E6" w:themeFill="background2"/>
            <w:vAlign w:val="center"/>
          </w:tcPr>
          <w:p w14:paraId="5F1F3AB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Reagent(s)</w:t>
            </w:r>
          </w:p>
        </w:tc>
        <w:tc>
          <w:tcPr>
            <w:tcW w:w="1890" w:type="dxa"/>
            <w:shd w:val="clear" w:color="auto" w:fill="E7E6E6" w:themeFill="background2"/>
            <w:vAlign w:val="center"/>
          </w:tcPr>
          <w:p w14:paraId="4C1B876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Solvent</w:t>
            </w:r>
          </w:p>
        </w:tc>
        <w:tc>
          <w:tcPr>
            <w:tcW w:w="1260" w:type="dxa"/>
            <w:shd w:val="clear" w:color="auto" w:fill="E7E6E6" w:themeFill="background2"/>
            <w:vAlign w:val="center"/>
          </w:tcPr>
          <w:p w14:paraId="5726FC0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Temp (°C)</w:t>
            </w:r>
          </w:p>
        </w:tc>
        <w:tc>
          <w:tcPr>
            <w:tcW w:w="1080" w:type="dxa"/>
            <w:shd w:val="clear" w:color="auto" w:fill="E7E6E6" w:themeFill="background2"/>
            <w:vAlign w:val="center"/>
          </w:tcPr>
          <w:p w14:paraId="0D9F381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Time (h)</w:t>
            </w:r>
          </w:p>
        </w:tc>
        <w:tc>
          <w:tcPr>
            <w:tcW w:w="1080" w:type="dxa"/>
            <w:shd w:val="clear" w:color="auto" w:fill="E7E6E6" w:themeFill="background2"/>
            <w:vAlign w:val="center"/>
          </w:tcPr>
          <w:p w14:paraId="30378FE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Product</w:t>
            </w:r>
          </w:p>
        </w:tc>
        <w:tc>
          <w:tcPr>
            <w:tcW w:w="1260" w:type="dxa"/>
            <w:shd w:val="clear" w:color="auto" w:fill="E7E6E6" w:themeFill="background2"/>
            <w:vAlign w:val="center"/>
          </w:tcPr>
          <w:p w14:paraId="5E97E6E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Yield (</w:t>
            </w:r>
            <w:proofErr w:type="gramStart"/>
            <w:r w:rsidRPr="007B7129">
              <w:rPr>
                <w:rFonts w:cs="Times New Roman"/>
                <w:bCs/>
                <w:color w:val="000000"/>
                <w:szCs w:val="24"/>
                <w:shd w:val="clear" w:color="auto" w:fill="FFFFFF"/>
              </w:rPr>
              <w:t>%)</w:t>
            </w:r>
            <w:r w:rsidRPr="007B7129">
              <w:rPr>
                <w:rFonts w:cs="Times New Roman"/>
                <w:bCs/>
                <w:color w:val="000000"/>
                <w:szCs w:val="24"/>
                <w:shd w:val="clear" w:color="auto" w:fill="FFFFFF"/>
                <w:vertAlign w:val="superscript"/>
              </w:rPr>
              <w:t>a</w:t>
            </w:r>
            <w:proofErr w:type="gramEnd"/>
          </w:p>
        </w:tc>
      </w:tr>
      <w:tr w:rsidR="007B7129" w:rsidRPr="007B7129" w14:paraId="1EEC4A93" w14:textId="77777777" w:rsidTr="00562397">
        <w:tc>
          <w:tcPr>
            <w:tcW w:w="805" w:type="dxa"/>
          </w:tcPr>
          <w:p w14:paraId="6EF799A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w:t>
            </w:r>
          </w:p>
        </w:tc>
        <w:tc>
          <w:tcPr>
            <w:tcW w:w="1980" w:type="dxa"/>
          </w:tcPr>
          <w:p w14:paraId="2BCD7C8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O</w:t>
            </w:r>
            <w:r w:rsidRPr="007B7129">
              <w:rPr>
                <w:rFonts w:cs="Times New Roman"/>
                <w:bCs/>
                <w:color w:val="000000"/>
                <w:szCs w:val="24"/>
                <w:shd w:val="clear" w:color="auto" w:fill="FFFFFF"/>
                <w:vertAlign w:val="subscript"/>
              </w:rPr>
              <w:t>3</w:t>
            </w:r>
          </w:p>
        </w:tc>
        <w:tc>
          <w:tcPr>
            <w:tcW w:w="1890" w:type="dxa"/>
          </w:tcPr>
          <w:p w14:paraId="052EDBA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MeOH</w:t>
            </w:r>
          </w:p>
        </w:tc>
        <w:tc>
          <w:tcPr>
            <w:tcW w:w="1260" w:type="dxa"/>
          </w:tcPr>
          <w:p w14:paraId="71AD474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c>
          <w:tcPr>
            <w:tcW w:w="1080" w:type="dxa"/>
          </w:tcPr>
          <w:p w14:paraId="1F94055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w:t>
            </w:r>
          </w:p>
        </w:tc>
        <w:tc>
          <w:tcPr>
            <w:tcW w:w="1080" w:type="dxa"/>
          </w:tcPr>
          <w:p w14:paraId="0C9DF4B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NP</w:t>
            </w:r>
          </w:p>
        </w:tc>
        <w:tc>
          <w:tcPr>
            <w:tcW w:w="1260" w:type="dxa"/>
          </w:tcPr>
          <w:p w14:paraId="22C29C2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3F62D2DD" w14:textId="77777777" w:rsidTr="00562397">
        <w:tc>
          <w:tcPr>
            <w:tcW w:w="805" w:type="dxa"/>
          </w:tcPr>
          <w:p w14:paraId="69F59FC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w:t>
            </w:r>
          </w:p>
        </w:tc>
        <w:tc>
          <w:tcPr>
            <w:tcW w:w="1980" w:type="dxa"/>
          </w:tcPr>
          <w:p w14:paraId="0F00505F"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mCPBA</w:t>
            </w:r>
            <w:proofErr w:type="spellEnd"/>
          </w:p>
        </w:tc>
        <w:tc>
          <w:tcPr>
            <w:tcW w:w="1890" w:type="dxa"/>
          </w:tcPr>
          <w:p w14:paraId="1A17F84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260" w:type="dxa"/>
          </w:tcPr>
          <w:p w14:paraId="249C4BE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 xml:space="preserve">-78 – 23 </w:t>
            </w:r>
          </w:p>
        </w:tc>
        <w:tc>
          <w:tcPr>
            <w:tcW w:w="1080" w:type="dxa"/>
          </w:tcPr>
          <w:p w14:paraId="1B18B8C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w:t>
            </w:r>
          </w:p>
        </w:tc>
        <w:tc>
          <w:tcPr>
            <w:tcW w:w="1080" w:type="dxa"/>
          </w:tcPr>
          <w:p w14:paraId="1E759EA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3.37</w:t>
            </w:r>
          </w:p>
        </w:tc>
        <w:tc>
          <w:tcPr>
            <w:tcW w:w="1260" w:type="dxa"/>
          </w:tcPr>
          <w:p w14:paraId="2154703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12</w:t>
            </w:r>
          </w:p>
        </w:tc>
      </w:tr>
      <w:tr w:rsidR="007B7129" w:rsidRPr="007B7129" w14:paraId="61C5E6F9" w14:textId="77777777" w:rsidTr="00562397">
        <w:tc>
          <w:tcPr>
            <w:tcW w:w="805" w:type="dxa"/>
          </w:tcPr>
          <w:p w14:paraId="4D40480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w:t>
            </w:r>
          </w:p>
        </w:tc>
        <w:tc>
          <w:tcPr>
            <w:tcW w:w="1980" w:type="dxa"/>
          </w:tcPr>
          <w:p w14:paraId="3618AD15"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proofErr w:type="gramStart"/>
            <w:r w:rsidRPr="007B7129">
              <w:rPr>
                <w:rFonts w:cs="Times New Roman"/>
                <w:bCs/>
                <w:color w:val="000000"/>
                <w:szCs w:val="24"/>
                <w:shd w:val="clear" w:color="auto" w:fill="FFFFFF"/>
              </w:rPr>
              <w:t>PhI</w:t>
            </w:r>
            <w:proofErr w:type="spellEnd"/>
            <w:r w:rsidRPr="007B7129">
              <w:rPr>
                <w:rFonts w:cs="Times New Roman"/>
                <w:bCs/>
                <w:color w:val="000000"/>
                <w:szCs w:val="24"/>
                <w:shd w:val="clear" w:color="auto" w:fill="FFFFFF"/>
              </w:rPr>
              <w:t>(</w:t>
            </w:r>
            <w:proofErr w:type="spellStart"/>
            <w:proofErr w:type="gramEnd"/>
            <w:r w:rsidRPr="007B7129">
              <w:rPr>
                <w:rFonts w:cs="Times New Roman"/>
                <w:bCs/>
                <w:color w:val="000000"/>
                <w:szCs w:val="24"/>
                <w:shd w:val="clear" w:color="auto" w:fill="FFFFFF"/>
              </w:rPr>
              <w:t>OAc</w:t>
            </w:r>
            <w:proofErr w:type="spellEnd"/>
            <w:r w:rsidRPr="007B7129">
              <w:rPr>
                <w:rFonts w:cs="Times New Roman"/>
                <w:bCs/>
                <w:color w:val="000000"/>
                <w:szCs w:val="24"/>
                <w:shd w:val="clear" w:color="auto" w:fill="FFFFFF"/>
              </w:rPr>
              <w:t>)</w:t>
            </w:r>
            <w:r w:rsidRPr="007B7129">
              <w:rPr>
                <w:rFonts w:cs="Times New Roman"/>
                <w:bCs/>
                <w:color w:val="000000"/>
                <w:szCs w:val="24"/>
                <w:shd w:val="clear" w:color="auto" w:fill="FFFFFF"/>
                <w:vertAlign w:val="subscript"/>
              </w:rPr>
              <w:t>2</w:t>
            </w:r>
          </w:p>
        </w:tc>
        <w:tc>
          <w:tcPr>
            <w:tcW w:w="1890" w:type="dxa"/>
          </w:tcPr>
          <w:p w14:paraId="6BB4C55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MeOH/H</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O</w:t>
            </w:r>
          </w:p>
        </w:tc>
        <w:tc>
          <w:tcPr>
            <w:tcW w:w="1260" w:type="dxa"/>
          </w:tcPr>
          <w:p w14:paraId="1104463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 xml:space="preserve">0 – 23 </w:t>
            </w:r>
          </w:p>
        </w:tc>
        <w:tc>
          <w:tcPr>
            <w:tcW w:w="1080" w:type="dxa"/>
          </w:tcPr>
          <w:p w14:paraId="6C07A10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25</w:t>
            </w:r>
          </w:p>
        </w:tc>
        <w:tc>
          <w:tcPr>
            <w:tcW w:w="1080" w:type="dxa"/>
          </w:tcPr>
          <w:p w14:paraId="7BBA321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NP</w:t>
            </w:r>
          </w:p>
        </w:tc>
        <w:tc>
          <w:tcPr>
            <w:tcW w:w="1260" w:type="dxa"/>
          </w:tcPr>
          <w:p w14:paraId="3121339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784D5992" w14:textId="77777777" w:rsidTr="00562397">
        <w:tc>
          <w:tcPr>
            <w:tcW w:w="805" w:type="dxa"/>
          </w:tcPr>
          <w:p w14:paraId="003ACF9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w:t>
            </w:r>
          </w:p>
        </w:tc>
        <w:tc>
          <w:tcPr>
            <w:tcW w:w="1980" w:type="dxa"/>
          </w:tcPr>
          <w:p w14:paraId="6B3B050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KMnO</w:t>
            </w:r>
            <w:r w:rsidRPr="007B7129">
              <w:rPr>
                <w:rFonts w:cs="Times New Roman"/>
                <w:bCs/>
                <w:color w:val="000000"/>
                <w:szCs w:val="24"/>
                <w:shd w:val="clear" w:color="auto" w:fill="FFFFFF"/>
                <w:vertAlign w:val="subscript"/>
              </w:rPr>
              <w:t>4</w:t>
            </w:r>
            <w:r w:rsidRPr="007B7129">
              <w:rPr>
                <w:rFonts w:cs="Times New Roman"/>
                <w:bCs/>
                <w:color w:val="000000"/>
                <w:szCs w:val="24"/>
                <w:shd w:val="clear" w:color="auto" w:fill="FFFFFF"/>
              </w:rPr>
              <w:t xml:space="preserve">, </w:t>
            </w:r>
            <w:proofErr w:type="spellStart"/>
            <w:r w:rsidRPr="007B7129">
              <w:rPr>
                <w:rFonts w:cs="Times New Roman"/>
                <w:bCs/>
                <w:color w:val="000000"/>
                <w:szCs w:val="24"/>
                <w:shd w:val="clear" w:color="auto" w:fill="FFFFFF"/>
              </w:rPr>
              <w:t>AcOH</w:t>
            </w:r>
            <w:proofErr w:type="spellEnd"/>
          </w:p>
        </w:tc>
        <w:tc>
          <w:tcPr>
            <w:tcW w:w="1890" w:type="dxa"/>
          </w:tcPr>
          <w:p w14:paraId="523E008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260" w:type="dxa"/>
          </w:tcPr>
          <w:p w14:paraId="2FA7B28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1080" w:type="dxa"/>
          </w:tcPr>
          <w:p w14:paraId="4F78E3A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21</w:t>
            </w:r>
          </w:p>
        </w:tc>
        <w:tc>
          <w:tcPr>
            <w:tcW w:w="1080" w:type="dxa"/>
          </w:tcPr>
          <w:p w14:paraId="6BC3164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NP</w:t>
            </w:r>
          </w:p>
        </w:tc>
        <w:tc>
          <w:tcPr>
            <w:tcW w:w="1260" w:type="dxa"/>
          </w:tcPr>
          <w:p w14:paraId="363A5EA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3E6E471A" w14:textId="77777777" w:rsidTr="00562397">
        <w:tc>
          <w:tcPr>
            <w:tcW w:w="805" w:type="dxa"/>
          </w:tcPr>
          <w:p w14:paraId="4A72256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5</w:t>
            </w:r>
          </w:p>
        </w:tc>
        <w:tc>
          <w:tcPr>
            <w:tcW w:w="1980" w:type="dxa"/>
          </w:tcPr>
          <w:p w14:paraId="1810F772"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PhIO</w:t>
            </w:r>
            <w:proofErr w:type="spellEnd"/>
            <w:r w:rsidRPr="007B7129">
              <w:rPr>
                <w:rFonts w:cs="Times New Roman"/>
                <w:bCs/>
                <w:color w:val="000000"/>
                <w:szCs w:val="24"/>
                <w:shd w:val="clear" w:color="auto" w:fill="FFFFFF"/>
              </w:rPr>
              <w:t>, HBF</w:t>
            </w:r>
            <w:r w:rsidRPr="007B7129">
              <w:rPr>
                <w:rFonts w:cs="Times New Roman"/>
                <w:bCs/>
                <w:color w:val="000000"/>
                <w:szCs w:val="24"/>
                <w:shd w:val="clear" w:color="auto" w:fill="FFFFFF"/>
                <w:vertAlign w:val="subscript"/>
              </w:rPr>
              <w:t>4</w:t>
            </w:r>
          </w:p>
        </w:tc>
        <w:tc>
          <w:tcPr>
            <w:tcW w:w="1890" w:type="dxa"/>
          </w:tcPr>
          <w:p w14:paraId="5DF197E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DCM/HFIP/H</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O</w:t>
            </w:r>
          </w:p>
        </w:tc>
        <w:tc>
          <w:tcPr>
            <w:tcW w:w="1260" w:type="dxa"/>
          </w:tcPr>
          <w:p w14:paraId="185D10F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1080" w:type="dxa"/>
          </w:tcPr>
          <w:p w14:paraId="4560DFB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w:t>
            </w:r>
          </w:p>
        </w:tc>
        <w:tc>
          <w:tcPr>
            <w:tcW w:w="1080" w:type="dxa"/>
          </w:tcPr>
          <w:p w14:paraId="3072953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NP</w:t>
            </w:r>
          </w:p>
        </w:tc>
        <w:tc>
          <w:tcPr>
            <w:tcW w:w="1260" w:type="dxa"/>
          </w:tcPr>
          <w:p w14:paraId="36D2575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330560B5" w14:textId="77777777" w:rsidTr="00562397">
        <w:tc>
          <w:tcPr>
            <w:tcW w:w="805" w:type="dxa"/>
          </w:tcPr>
          <w:p w14:paraId="27AA92C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6</w:t>
            </w:r>
          </w:p>
        </w:tc>
        <w:tc>
          <w:tcPr>
            <w:tcW w:w="1980" w:type="dxa"/>
          </w:tcPr>
          <w:p w14:paraId="55CCB59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OsO</w:t>
            </w:r>
            <w:r w:rsidRPr="007B7129">
              <w:rPr>
                <w:rFonts w:cs="Times New Roman"/>
                <w:bCs/>
                <w:color w:val="000000"/>
                <w:szCs w:val="24"/>
                <w:shd w:val="clear" w:color="auto" w:fill="FFFFFF"/>
                <w:vertAlign w:val="subscript"/>
              </w:rPr>
              <w:t>4</w:t>
            </w:r>
            <w:r w:rsidRPr="007B7129">
              <w:rPr>
                <w:rFonts w:cs="Times New Roman"/>
                <w:bCs/>
                <w:color w:val="000000"/>
                <w:szCs w:val="24"/>
                <w:shd w:val="clear" w:color="auto" w:fill="FFFFFF"/>
              </w:rPr>
              <w:t>, NMO</w:t>
            </w:r>
          </w:p>
        </w:tc>
        <w:tc>
          <w:tcPr>
            <w:tcW w:w="1890" w:type="dxa"/>
          </w:tcPr>
          <w:p w14:paraId="295EC2D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THF/H</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O</w:t>
            </w:r>
          </w:p>
        </w:tc>
        <w:tc>
          <w:tcPr>
            <w:tcW w:w="1260" w:type="dxa"/>
          </w:tcPr>
          <w:p w14:paraId="33655DF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 – 23</w:t>
            </w:r>
          </w:p>
        </w:tc>
        <w:tc>
          <w:tcPr>
            <w:tcW w:w="1080" w:type="dxa"/>
          </w:tcPr>
          <w:p w14:paraId="52D1A3F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w:t>
            </w:r>
          </w:p>
        </w:tc>
        <w:tc>
          <w:tcPr>
            <w:tcW w:w="1080" w:type="dxa"/>
          </w:tcPr>
          <w:p w14:paraId="4F8D1F0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3.38</w:t>
            </w:r>
          </w:p>
        </w:tc>
        <w:tc>
          <w:tcPr>
            <w:tcW w:w="1260" w:type="dxa"/>
          </w:tcPr>
          <w:p w14:paraId="73EBAAD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60</w:t>
            </w:r>
          </w:p>
        </w:tc>
      </w:tr>
      <w:tr w:rsidR="007B7129" w:rsidRPr="007B7129" w14:paraId="47E7A13E" w14:textId="77777777" w:rsidTr="00562397">
        <w:tc>
          <w:tcPr>
            <w:tcW w:w="805" w:type="dxa"/>
          </w:tcPr>
          <w:p w14:paraId="705BC39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7</w:t>
            </w:r>
          </w:p>
        </w:tc>
        <w:tc>
          <w:tcPr>
            <w:tcW w:w="1980" w:type="dxa"/>
          </w:tcPr>
          <w:p w14:paraId="0B6A53E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OsO</w:t>
            </w:r>
            <w:r w:rsidRPr="007B7129">
              <w:rPr>
                <w:rFonts w:cs="Times New Roman"/>
                <w:bCs/>
                <w:color w:val="000000"/>
                <w:szCs w:val="24"/>
                <w:shd w:val="clear" w:color="auto" w:fill="FFFFFF"/>
                <w:vertAlign w:val="subscript"/>
              </w:rPr>
              <w:t>4</w:t>
            </w:r>
            <w:r w:rsidRPr="007B7129">
              <w:rPr>
                <w:rFonts w:cs="Times New Roman"/>
                <w:bCs/>
                <w:color w:val="000000"/>
                <w:szCs w:val="24"/>
                <w:shd w:val="clear" w:color="auto" w:fill="FFFFFF"/>
              </w:rPr>
              <w:t>,</w:t>
            </w:r>
            <w:r w:rsidRPr="007B7129">
              <w:rPr>
                <w:rFonts w:cs="Times New Roman"/>
                <w:bCs/>
                <w:color w:val="000000"/>
                <w:szCs w:val="24"/>
                <w:shd w:val="clear" w:color="auto" w:fill="FFFFFF"/>
                <w:vertAlign w:val="subscript"/>
              </w:rPr>
              <w:t xml:space="preserve"> </w:t>
            </w:r>
            <w:r w:rsidRPr="007B7129">
              <w:rPr>
                <w:rFonts w:cs="Times New Roman"/>
                <w:bCs/>
                <w:color w:val="000000"/>
                <w:szCs w:val="24"/>
                <w:shd w:val="clear" w:color="auto" w:fill="FFFFFF"/>
              </w:rPr>
              <w:t>NaIO</w:t>
            </w:r>
            <w:r w:rsidRPr="007B7129">
              <w:rPr>
                <w:rFonts w:cs="Times New Roman"/>
                <w:bCs/>
                <w:color w:val="000000"/>
                <w:szCs w:val="24"/>
                <w:shd w:val="clear" w:color="auto" w:fill="FFFFFF"/>
                <w:vertAlign w:val="subscript"/>
              </w:rPr>
              <w:t>4</w:t>
            </w:r>
          </w:p>
        </w:tc>
        <w:tc>
          <w:tcPr>
            <w:tcW w:w="1890" w:type="dxa"/>
          </w:tcPr>
          <w:p w14:paraId="0922015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THF/H</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O</w:t>
            </w:r>
          </w:p>
        </w:tc>
        <w:tc>
          <w:tcPr>
            <w:tcW w:w="1260" w:type="dxa"/>
          </w:tcPr>
          <w:p w14:paraId="789B1FF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 – 23</w:t>
            </w:r>
          </w:p>
        </w:tc>
        <w:tc>
          <w:tcPr>
            <w:tcW w:w="1080" w:type="dxa"/>
          </w:tcPr>
          <w:p w14:paraId="7225C54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w:t>
            </w:r>
          </w:p>
        </w:tc>
        <w:tc>
          <w:tcPr>
            <w:tcW w:w="1080" w:type="dxa"/>
          </w:tcPr>
          <w:p w14:paraId="2E0F304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3.38</w:t>
            </w:r>
          </w:p>
        </w:tc>
        <w:tc>
          <w:tcPr>
            <w:tcW w:w="1260" w:type="dxa"/>
          </w:tcPr>
          <w:p w14:paraId="17BCFAA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85</w:t>
            </w:r>
          </w:p>
        </w:tc>
      </w:tr>
    </w:tbl>
    <w:p w14:paraId="1C21AE8D" w14:textId="77777777" w:rsidR="007B7129" w:rsidRPr="007B7129" w:rsidRDefault="007B7129" w:rsidP="007B7129">
      <w:pPr>
        <w:spacing w:after="0" w:line="240" w:lineRule="auto"/>
      </w:pPr>
      <w:r w:rsidRPr="007B7129">
        <w:t xml:space="preserve">NP = no product. </w:t>
      </w:r>
    </w:p>
    <w:p w14:paraId="533227B2" w14:textId="77777777" w:rsidR="007B7129" w:rsidRPr="007B7129" w:rsidRDefault="007B7129" w:rsidP="007B7129">
      <w:pPr>
        <w:spacing w:line="240" w:lineRule="auto"/>
        <w:rPr>
          <w:rFonts w:cs="Times New Roman"/>
          <w:szCs w:val="24"/>
        </w:rPr>
      </w:pPr>
      <w:proofErr w:type="spellStart"/>
      <w:proofErr w:type="gramStart"/>
      <w:r w:rsidRPr="007B7129">
        <w:rPr>
          <w:rFonts w:cs="Times New Roman"/>
          <w:szCs w:val="24"/>
          <w:vertAlign w:val="superscript"/>
        </w:rPr>
        <w:t>a</w:t>
      </w:r>
      <w:proofErr w:type="spellEnd"/>
      <w:proofErr w:type="gramEnd"/>
      <w:r w:rsidRPr="007B7129">
        <w:rPr>
          <w:rFonts w:cs="Times New Roman"/>
          <w:szCs w:val="24"/>
          <w:vertAlign w:val="superscript"/>
        </w:rPr>
        <w:t xml:space="preserve"> </w:t>
      </w:r>
      <w:r w:rsidRPr="007B7129">
        <w:rPr>
          <w:rFonts w:cs="Times New Roman"/>
          <w:szCs w:val="24"/>
        </w:rPr>
        <w:t>Isolated yield after column chromatography.</w:t>
      </w:r>
    </w:p>
    <w:p w14:paraId="4629B4A6" w14:textId="77777777" w:rsidR="007B7129" w:rsidRPr="007B7129" w:rsidRDefault="007B7129" w:rsidP="007B7129">
      <w:pPr>
        <w:spacing w:after="0"/>
        <w:ind w:firstLine="720"/>
        <w:rPr>
          <w:rFonts w:eastAsia="Times New Roman" w:cs="Times New Roman"/>
          <w:szCs w:val="20"/>
        </w:rPr>
      </w:pPr>
    </w:p>
    <w:p w14:paraId="49042E1A" w14:textId="27024827"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After screening several oxidative cleavage conditions, only catalytic OsO</w:t>
      </w:r>
      <w:r w:rsidRPr="007B7129">
        <w:rPr>
          <w:rFonts w:eastAsia="Times New Roman" w:cs="Times New Roman"/>
          <w:szCs w:val="20"/>
          <w:vertAlign w:val="subscript"/>
        </w:rPr>
        <w:t>4</w:t>
      </w:r>
      <w:r w:rsidRPr="007B7129">
        <w:rPr>
          <w:rFonts w:eastAsia="Times New Roman" w:cs="Times New Roman"/>
          <w:szCs w:val="20"/>
        </w:rPr>
        <w:t xml:space="preserve"> in combination with either N-</w:t>
      </w:r>
      <w:proofErr w:type="spellStart"/>
      <w:r w:rsidRPr="007B7129">
        <w:rPr>
          <w:rFonts w:eastAsia="Times New Roman" w:cs="Times New Roman"/>
          <w:szCs w:val="20"/>
        </w:rPr>
        <w:t>methylmorpholine</w:t>
      </w:r>
      <w:proofErr w:type="spellEnd"/>
      <w:r w:rsidRPr="007B7129">
        <w:rPr>
          <w:rFonts w:eastAsia="Times New Roman" w:cs="Times New Roman"/>
          <w:szCs w:val="20"/>
        </w:rPr>
        <w:t>-N-oxide (NMO) or sodium metaperiodate (NaIO</w:t>
      </w:r>
      <w:r w:rsidRPr="007B7129">
        <w:rPr>
          <w:rFonts w:eastAsia="Times New Roman" w:cs="Times New Roman"/>
          <w:szCs w:val="20"/>
          <w:vertAlign w:val="subscript"/>
        </w:rPr>
        <w:t>4</w:t>
      </w:r>
      <w:r w:rsidRPr="007B7129">
        <w:rPr>
          <w:rFonts w:eastAsia="Times New Roman" w:cs="Times New Roman"/>
          <w:szCs w:val="20"/>
        </w:rPr>
        <w:t xml:space="preserve">) additives provided product. I found that subjecting compound </w:t>
      </w:r>
      <w:r w:rsidRPr="007B7129">
        <w:rPr>
          <w:rFonts w:eastAsia="Times New Roman" w:cs="Times New Roman"/>
          <w:b/>
          <w:bCs/>
          <w:szCs w:val="20"/>
        </w:rPr>
        <w:t>3.36</w:t>
      </w:r>
      <w:r w:rsidRPr="007B7129">
        <w:rPr>
          <w:rFonts w:eastAsia="Times New Roman" w:cs="Times New Roman"/>
          <w:szCs w:val="20"/>
        </w:rPr>
        <w:t xml:space="preserve"> to catalytic amounts (0.1 equivalents) of </w:t>
      </w:r>
      <w:r w:rsidRPr="007B7129">
        <w:rPr>
          <w:rFonts w:eastAsia="Times New Roman" w:cs="Times New Roman"/>
          <w:szCs w:val="20"/>
        </w:rPr>
        <w:lastRenderedPageBreak/>
        <w:t>OsO</w:t>
      </w:r>
      <w:r w:rsidRPr="007B7129">
        <w:rPr>
          <w:rFonts w:eastAsia="Times New Roman" w:cs="Times New Roman"/>
          <w:szCs w:val="20"/>
          <w:vertAlign w:val="subscript"/>
        </w:rPr>
        <w:t>4</w:t>
      </w:r>
      <w:r w:rsidRPr="007B7129">
        <w:rPr>
          <w:rFonts w:eastAsia="Times New Roman" w:cs="Times New Roman"/>
          <w:szCs w:val="20"/>
        </w:rPr>
        <w:t xml:space="preserve"> and two equivalents of NMO in tetrahydrofuran (THF) and water (3:1) over an ice bath (0 ̊C), afforded the key aldehyde intermediate </w:t>
      </w:r>
      <w:r w:rsidRPr="007B7129">
        <w:rPr>
          <w:rFonts w:eastAsia="Times New Roman" w:cs="Times New Roman"/>
          <w:b/>
          <w:bCs/>
          <w:szCs w:val="20"/>
        </w:rPr>
        <w:t>3.3</w:t>
      </w:r>
      <w:r w:rsidRPr="007B7129">
        <w:rPr>
          <w:rFonts w:eastAsia="Times New Roman" w:cs="Times New Roman"/>
          <w:szCs w:val="20"/>
        </w:rPr>
        <w:t xml:space="preserve"> with a 60% yield. Eventually, replacing NMO with NaIO</w:t>
      </w:r>
      <w:r w:rsidRPr="007B7129">
        <w:rPr>
          <w:rFonts w:eastAsia="Times New Roman" w:cs="Times New Roman"/>
          <w:szCs w:val="20"/>
          <w:vertAlign w:val="subscript"/>
        </w:rPr>
        <w:t>4</w:t>
      </w:r>
      <w:r w:rsidRPr="007B7129">
        <w:rPr>
          <w:rFonts w:eastAsia="Times New Roman" w:cs="Times New Roman"/>
          <w:szCs w:val="20"/>
        </w:rPr>
        <w:t xml:space="preserve">, and allowing substrate exposure to the osmium catalyst for 1 h before adding the oxidant, provided a significant improvement in yield 85%. The optimized oxidative cleavage conditions for </w:t>
      </w:r>
      <w:r w:rsidRPr="007B7129">
        <w:rPr>
          <w:rFonts w:eastAsia="Times New Roman" w:cs="Times New Roman"/>
          <w:b/>
          <w:bCs/>
          <w:szCs w:val="20"/>
        </w:rPr>
        <w:t>Step 3</w:t>
      </w:r>
      <w:r w:rsidRPr="007B7129">
        <w:rPr>
          <w:rFonts w:eastAsia="Times New Roman" w:cs="Times New Roman"/>
          <w:szCs w:val="20"/>
        </w:rPr>
        <w:t xml:space="preserve"> are shown in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_Ref86431162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Scheme </w:t>
      </w:r>
      <w:r w:rsidR="00AA5AAC" w:rsidRPr="00AA5AAC">
        <w:rPr>
          <w:rFonts w:eastAsia="Times New Roman" w:cs="Times New Roman"/>
          <w:b/>
          <w:bCs/>
          <w:noProof/>
          <w:szCs w:val="20"/>
        </w:rPr>
        <w:t>3.</w:t>
      </w:r>
      <w:r w:rsidRPr="007B7129">
        <w:rPr>
          <w:rFonts w:eastAsia="Times New Roman" w:cs="Times New Roman"/>
          <w:b/>
          <w:bCs/>
          <w:szCs w:val="20"/>
        </w:rPr>
        <w:fldChar w:fldCharType="end"/>
      </w:r>
      <w:r w:rsidRPr="007B7129">
        <w:rPr>
          <w:rFonts w:eastAsia="Times New Roman" w:cs="Times New Roman"/>
          <w:szCs w:val="20"/>
        </w:rPr>
        <w:t>.</w:t>
      </w:r>
    </w:p>
    <w:p w14:paraId="40698791" w14:textId="77777777" w:rsidR="007B7129" w:rsidRPr="007B7129" w:rsidRDefault="007B7129" w:rsidP="007B7129">
      <w:pPr>
        <w:spacing w:after="0"/>
        <w:ind w:left="720"/>
        <w:rPr>
          <w:rFonts w:eastAsia="Times New Roman" w:cs="Times New Roman"/>
          <w:szCs w:val="20"/>
        </w:rPr>
      </w:pPr>
      <w:r w:rsidRPr="007B7129">
        <w:rPr>
          <w:rFonts w:eastAsia="Times New Roman" w:cs="Times New Roman"/>
          <w:szCs w:val="20"/>
        </w:rPr>
        <w:t xml:space="preserve"> </w:t>
      </w:r>
      <w:r w:rsidRPr="007B7129">
        <w:rPr>
          <w:rFonts w:eastAsia="Times New Roman" w:cs="Times New Roman"/>
          <w:noProof/>
          <w:szCs w:val="20"/>
        </w:rPr>
        <mc:AlternateContent>
          <mc:Choice Requires="wps">
            <w:drawing>
              <wp:inline distT="0" distB="0" distL="0" distR="0" wp14:anchorId="04DCD3F4" wp14:editId="26BBE0DA">
                <wp:extent cx="4834393" cy="1757239"/>
                <wp:effectExtent l="0" t="0" r="23495" b="14605"/>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393" cy="1757239"/>
                        </a:xfrm>
                        <a:prstGeom prst="rect">
                          <a:avLst/>
                        </a:prstGeom>
                        <a:solidFill>
                          <a:srgbClr val="FFFFFF"/>
                        </a:solidFill>
                        <a:ln w="9525">
                          <a:solidFill>
                            <a:srgbClr val="000000"/>
                          </a:solidFill>
                          <a:miter lim="800000"/>
                          <a:headEnd/>
                          <a:tailEnd/>
                        </a:ln>
                      </wps:spPr>
                      <wps:txbx>
                        <w:txbxContent>
                          <w:p w14:paraId="7FAF432A" w14:textId="77777777" w:rsidR="007B7129" w:rsidRDefault="007B7129" w:rsidP="007B7129">
                            <w:pPr>
                              <w:keepNext/>
                              <w:spacing w:line="240" w:lineRule="auto"/>
                              <w:jc w:val="center"/>
                            </w:pPr>
                            <w:r>
                              <w:object w:dxaOrig="5772" w:dyaOrig="1390" w14:anchorId="53305164">
                                <v:shape id="_x0000_i1101" type="#_x0000_t75" style="width:287.05pt;height:68.75pt">
                                  <v:imagedata r:id="rId287" o:title=""/>
                                </v:shape>
                                <o:OLEObject Type="Embed" ProgID="ChemDraw.Document.6.0" ShapeID="_x0000_i1101" DrawAspect="Content" ObjectID="_1713353507" r:id="rId288"/>
                              </w:object>
                            </w:r>
                          </w:p>
                          <w:p w14:paraId="01B09A4C" w14:textId="043EF26D" w:rsidR="007B7129" w:rsidRDefault="007B7129" w:rsidP="00DF51F5">
                            <w:pPr>
                              <w:pStyle w:val="Caption"/>
                            </w:pPr>
                            <w:bookmarkStart w:id="323" w:name="_Ref86431162"/>
                            <w:r>
                              <w:t>Scheme 3.</w:t>
                            </w:r>
                            <w:bookmarkEnd w:id="323"/>
                            <w:r w:rsidR="009A5AC9">
                              <w:t>10</w:t>
                            </w:r>
                            <w:r>
                              <w:t>. Oxidative cleavage for the formation of aldehyde intermediate 3.</w:t>
                            </w:r>
                            <w:r w:rsidRPr="000B6D77">
                              <w:rPr>
                                <w:bCs/>
                              </w:rPr>
                              <w:t>3</w:t>
                            </w:r>
                            <w:r>
                              <w:rPr>
                                <w:bCs/>
                              </w:rPr>
                              <w:t>8 (Step 3)</w:t>
                            </w:r>
                            <w:r>
                              <w:t>.</w:t>
                            </w:r>
                          </w:p>
                          <w:p w14:paraId="6F1C08C8" w14:textId="77777777" w:rsidR="007B7129" w:rsidRPr="0061406F" w:rsidRDefault="007B7129" w:rsidP="007B7129">
                            <w:r>
                              <w:t>Reagents and conditions: (a) OsO</w:t>
                            </w:r>
                            <w:r w:rsidRPr="0061406F">
                              <w:rPr>
                                <w:vertAlign w:val="subscript"/>
                              </w:rPr>
                              <w:t>4</w:t>
                            </w:r>
                            <w:r>
                              <w:t>, NaIO</w:t>
                            </w:r>
                            <w:r w:rsidRPr="0061406F">
                              <w:rPr>
                                <w:vertAlign w:val="subscript"/>
                              </w:rPr>
                              <w:t>4</w:t>
                            </w:r>
                            <w:r>
                              <w:t>, THF/H</w:t>
                            </w:r>
                            <w:r w:rsidRPr="0061406F">
                              <w:rPr>
                                <w:vertAlign w:val="subscript"/>
                              </w:rPr>
                              <w:t>2</w:t>
                            </w:r>
                            <w:r>
                              <w:t xml:space="preserve">O, 0 – 23 </w:t>
                            </w:r>
                            <w:r>
                              <w:rPr>
                                <w:rFonts w:cs="Times New Roman"/>
                              </w:rPr>
                              <w:t>̊</w:t>
                            </w:r>
                            <w:r>
                              <w:t>C.</w:t>
                            </w:r>
                          </w:p>
                        </w:txbxContent>
                      </wps:txbx>
                      <wps:bodyPr rot="0" vert="horz" wrap="square" lIns="91440" tIns="45720" rIns="91440" bIns="45720" anchor="t" anchorCtr="0">
                        <a:noAutofit/>
                      </wps:bodyPr>
                    </wps:wsp>
                  </a:graphicData>
                </a:graphic>
              </wp:inline>
            </w:drawing>
          </mc:Choice>
          <mc:Fallback>
            <w:pict>
              <v:shape w14:anchorId="04DCD3F4" id="_x0000_s1092" type="#_x0000_t202" style="width:380.65pt;height:1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">
                <v:textbox>
                  <w:txbxContent>
                    <w:p w14:paraId="7FAF432A" w14:textId="77777777" w:rsidR="007B7129" w:rsidRDefault="007B7129" w:rsidP="007B7129">
                      <w:pPr>
                        <w:keepNext/>
                        <w:spacing w:line="240" w:lineRule="auto"/>
                        <w:jc w:val="center"/>
                      </w:pPr>
                      <w:r>
                        <w:object w:dxaOrig="5772" w:dyaOrig="1390" w14:anchorId="53305164">
                          <v:shape id="_x0000_i1101" type="#_x0000_t75" style="width:287.05pt;height:68.75pt">
                            <v:imagedata r:id="rId287" o:title=""/>
                          </v:shape>
                          <o:OLEObject Type="Embed" ProgID="ChemDraw.Document.6.0" ShapeID="_x0000_i1101" DrawAspect="Content" ObjectID="_1713353507" r:id="rId289"/>
                        </w:object>
                      </w:r>
                    </w:p>
                    <w:p w14:paraId="01B09A4C" w14:textId="043EF26D" w:rsidR="007B7129" w:rsidRDefault="007B7129" w:rsidP="00DF51F5">
                      <w:pPr>
                        <w:pStyle w:val="Caption"/>
                      </w:pPr>
                      <w:bookmarkStart w:id="324" w:name="_Ref86431162"/>
                      <w:r>
                        <w:t>Scheme 3.</w:t>
                      </w:r>
                      <w:bookmarkEnd w:id="324"/>
                      <w:r w:rsidR="009A5AC9">
                        <w:t>10</w:t>
                      </w:r>
                      <w:r>
                        <w:t>. Oxidative cleavage for the formation of aldehyde intermediate 3.</w:t>
                      </w:r>
                      <w:r w:rsidRPr="000B6D77">
                        <w:rPr>
                          <w:bCs/>
                        </w:rPr>
                        <w:t>3</w:t>
                      </w:r>
                      <w:r>
                        <w:rPr>
                          <w:bCs/>
                        </w:rPr>
                        <w:t>8 (Step 3)</w:t>
                      </w:r>
                      <w:r>
                        <w:t>.</w:t>
                      </w:r>
                    </w:p>
                    <w:p w14:paraId="6F1C08C8" w14:textId="77777777" w:rsidR="007B7129" w:rsidRPr="0061406F" w:rsidRDefault="007B7129" w:rsidP="007B7129">
                      <w:r>
                        <w:t>Reagents and conditions: (a) OsO</w:t>
                      </w:r>
                      <w:r w:rsidRPr="0061406F">
                        <w:rPr>
                          <w:vertAlign w:val="subscript"/>
                        </w:rPr>
                        <w:t>4</w:t>
                      </w:r>
                      <w:r>
                        <w:t>, NaIO</w:t>
                      </w:r>
                      <w:r w:rsidRPr="0061406F">
                        <w:rPr>
                          <w:vertAlign w:val="subscript"/>
                        </w:rPr>
                        <w:t>4</w:t>
                      </w:r>
                      <w:r>
                        <w:t>, THF/H</w:t>
                      </w:r>
                      <w:r w:rsidRPr="0061406F">
                        <w:rPr>
                          <w:vertAlign w:val="subscript"/>
                        </w:rPr>
                        <w:t>2</w:t>
                      </w:r>
                      <w:r>
                        <w:t xml:space="preserve">O, 0 – 23 </w:t>
                      </w:r>
                      <w:r>
                        <w:rPr>
                          <w:rFonts w:cs="Times New Roman"/>
                        </w:rPr>
                        <w:t>̊</w:t>
                      </w:r>
                      <w:r>
                        <w:t>C.</w:t>
                      </w:r>
                    </w:p>
                  </w:txbxContent>
                </v:textbox>
                <w10:anchorlock/>
              </v:shape>
            </w:pict>
          </mc:Fallback>
        </mc:AlternateContent>
      </w:r>
    </w:p>
    <w:p w14:paraId="2B82A3A3" w14:textId="57F23DC7" w:rsidR="007B7129" w:rsidRPr="007B7129" w:rsidRDefault="007B7129" w:rsidP="00EC026C">
      <w:pPr>
        <w:pStyle w:val="Subsection"/>
      </w:pPr>
      <w:bookmarkStart w:id="325" w:name="_Toc97337857"/>
      <w:bookmarkStart w:id="326" w:name="_Toc100241912"/>
      <w:bookmarkStart w:id="327" w:name="_Toc102586276"/>
      <w:r w:rsidRPr="007B7129">
        <w:t>3.3.4 Step 4: Generating the second β-carboline system from key aldehyde intermediate 3.38 via Pictet-Spengler cyclization (PSR2)</w:t>
      </w:r>
      <w:bookmarkEnd w:id="325"/>
      <w:bookmarkEnd w:id="326"/>
      <w:r w:rsidR="00EC026C">
        <w:t>.</w:t>
      </w:r>
      <w:bookmarkEnd w:id="327"/>
    </w:p>
    <w:p w14:paraId="4DCC7583" w14:textId="445399C0" w:rsidR="007B7129" w:rsidRPr="007B7129" w:rsidRDefault="007B7129" w:rsidP="007B7129">
      <w:pPr>
        <w:spacing w:after="0"/>
        <w:ind w:firstLine="720"/>
        <w:rPr>
          <w:rFonts w:cs="Times New Roman"/>
          <w:szCs w:val="24"/>
        </w:rPr>
      </w:pPr>
      <w:r w:rsidRPr="007B7129">
        <w:rPr>
          <w:rFonts w:cs="Times New Roman"/>
          <w:szCs w:val="24"/>
        </w:rPr>
        <w:t xml:space="preserve">After successfully optimizing the oxidative cleavage for </w:t>
      </w:r>
      <w:r w:rsidRPr="007B7129">
        <w:rPr>
          <w:rFonts w:cs="Times New Roman"/>
          <w:b/>
          <w:bCs/>
          <w:szCs w:val="24"/>
        </w:rPr>
        <w:t>Step 3</w:t>
      </w:r>
      <w:r w:rsidRPr="007B7129">
        <w:rPr>
          <w:rFonts w:cs="Times New Roman"/>
          <w:szCs w:val="24"/>
        </w:rPr>
        <w:t xml:space="preserve">, compound </w:t>
      </w:r>
      <w:r w:rsidRPr="007B7129">
        <w:rPr>
          <w:b/>
          <w:bCs/>
        </w:rPr>
        <w:t>3.</w:t>
      </w:r>
      <w:r w:rsidRPr="007B7129">
        <w:rPr>
          <w:rFonts w:cs="Times New Roman"/>
          <w:b/>
          <w:bCs/>
          <w:szCs w:val="24"/>
        </w:rPr>
        <w:t>38</w:t>
      </w:r>
      <w:r w:rsidRPr="007B7129">
        <w:rPr>
          <w:rFonts w:cs="Times New Roman"/>
          <w:szCs w:val="24"/>
        </w:rPr>
        <w:t xml:space="preserve"> was presumed to be an adequate substrate for a second PSR wherein the reactive aldehyde functional group would undergo acid-catalyzed imine formation with tryptamine </w:t>
      </w:r>
      <w:r w:rsidRPr="007B7129">
        <w:rPr>
          <w:b/>
          <w:bCs/>
        </w:rPr>
        <w:t>3.</w:t>
      </w:r>
      <w:r w:rsidRPr="007B7129">
        <w:rPr>
          <w:rFonts w:cs="Times New Roman"/>
          <w:b/>
          <w:bCs/>
          <w:szCs w:val="24"/>
        </w:rPr>
        <w:t xml:space="preserve">32 </w:t>
      </w:r>
      <w:r w:rsidRPr="007B7129">
        <w:rPr>
          <w:rFonts w:cs="Times New Roman"/>
          <w:szCs w:val="24"/>
        </w:rPr>
        <w:t xml:space="preserve">to assemble THBC </w:t>
      </w:r>
      <w:r w:rsidRPr="007B7129">
        <w:rPr>
          <w:b/>
          <w:bCs/>
        </w:rPr>
        <w:t>3.</w:t>
      </w:r>
      <w:r w:rsidRPr="007B7129">
        <w:rPr>
          <w:rFonts w:cs="Times New Roman"/>
          <w:b/>
          <w:bCs/>
          <w:szCs w:val="24"/>
        </w:rPr>
        <w:t>39</w:t>
      </w:r>
      <w:r w:rsidRPr="007B7129">
        <w:rPr>
          <w:rFonts w:cs="Times New Roman"/>
          <w:szCs w:val="24"/>
        </w:rPr>
        <w:t xml:space="preserve">, thus conceptualizing </w:t>
      </w:r>
      <w:r w:rsidRPr="007B7129">
        <w:rPr>
          <w:rFonts w:cs="Times New Roman"/>
          <w:b/>
          <w:bCs/>
          <w:szCs w:val="24"/>
        </w:rPr>
        <w:t>Step 4</w:t>
      </w:r>
      <w:r w:rsidRPr="007B7129">
        <w:rPr>
          <w:rFonts w:cs="Times New Roman"/>
          <w:szCs w:val="24"/>
        </w:rPr>
        <w:t xml:space="preserve">, which is hereby denoted as </w:t>
      </w:r>
      <w:r w:rsidRPr="007B7129">
        <w:rPr>
          <w:rFonts w:cs="Times New Roman"/>
          <w:b/>
          <w:bCs/>
          <w:szCs w:val="24"/>
        </w:rPr>
        <w:t>PSR2</w:t>
      </w:r>
      <w:r w:rsidRPr="007B7129">
        <w:rPr>
          <w:rFonts w:cs="Times New Roman"/>
          <w:szCs w:val="24"/>
        </w:rPr>
        <w:t xml:space="preserve">. The original plan and hypothesized THBC-containing product </w:t>
      </w:r>
      <w:r w:rsidRPr="007B7129">
        <w:rPr>
          <w:b/>
          <w:bCs/>
        </w:rPr>
        <w:t>3.</w:t>
      </w:r>
      <w:r w:rsidRPr="007B7129">
        <w:rPr>
          <w:rFonts w:cs="Times New Roman"/>
          <w:b/>
          <w:bCs/>
          <w:szCs w:val="24"/>
        </w:rPr>
        <w:t>39</w:t>
      </w:r>
      <w:r w:rsidRPr="007B7129">
        <w:rPr>
          <w:rFonts w:cs="Times New Roman"/>
          <w:szCs w:val="24"/>
        </w:rPr>
        <w:t xml:space="preserve"> for </w:t>
      </w:r>
      <w:r w:rsidRPr="007B7129">
        <w:rPr>
          <w:rFonts w:cs="Times New Roman"/>
          <w:b/>
          <w:bCs/>
          <w:szCs w:val="24"/>
        </w:rPr>
        <w:t>PSR2</w:t>
      </w:r>
      <w:r w:rsidRPr="007B7129">
        <w:rPr>
          <w:rFonts w:cs="Times New Roman"/>
          <w:szCs w:val="24"/>
        </w:rPr>
        <w:t xml:space="preserve"> is shown in </w:t>
      </w:r>
      <w:r w:rsidRPr="007B7129">
        <w:rPr>
          <w:rFonts w:cs="Times New Roman"/>
          <w:b/>
          <w:bCs/>
          <w:szCs w:val="24"/>
        </w:rPr>
        <w:fldChar w:fldCharType="begin"/>
      </w:r>
      <w:r w:rsidRPr="007B7129">
        <w:rPr>
          <w:rFonts w:cs="Times New Roman"/>
          <w:b/>
          <w:bCs/>
          <w:szCs w:val="24"/>
        </w:rPr>
        <w:instrText xml:space="preserve"> REF _Ref89108947 \h  \* MERGEFORMAT </w:instrText>
      </w:r>
      <w:r w:rsidRPr="007B7129">
        <w:rPr>
          <w:rFonts w:cs="Times New Roman"/>
          <w:b/>
          <w:bCs/>
          <w:szCs w:val="24"/>
        </w:rPr>
      </w:r>
      <w:r w:rsidRPr="007B7129">
        <w:rPr>
          <w:rFonts w:cs="Times New Roman"/>
          <w:b/>
          <w:bCs/>
          <w:szCs w:val="24"/>
        </w:rPr>
        <w:fldChar w:fldCharType="separate"/>
      </w:r>
      <w:r w:rsidR="00AA5AAC" w:rsidRPr="00AA5AAC">
        <w:rPr>
          <w:b/>
          <w:bCs/>
        </w:rPr>
        <w:t xml:space="preserve">Scheme </w:t>
      </w:r>
      <w:r w:rsidR="00AA5AAC" w:rsidRPr="00AA5AAC">
        <w:rPr>
          <w:b/>
          <w:bCs/>
          <w:noProof/>
        </w:rPr>
        <w:t>3.</w:t>
      </w:r>
      <w:r w:rsidRPr="007B7129">
        <w:rPr>
          <w:rFonts w:cs="Times New Roman"/>
          <w:b/>
          <w:bCs/>
          <w:szCs w:val="24"/>
        </w:rPr>
        <w:fldChar w:fldCharType="end"/>
      </w:r>
      <w:r w:rsidRPr="007B7129">
        <w:rPr>
          <w:rFonts w:cs="Times New Roman"/>
          <w:szCs w:val="24"/>
        </w:rPr>
        <w:t xml:space="preserve">. At this point, I believed that oxidative aromatization of </w:t>
      </w:r>
      <w:r w:rsidRPr="007B7129">
        <w:rPr>
          <w:b/>
          <w:bCs/>
        </w:rPr>
        <w:t>3.</w:t>
      </w:r>
      <w:r w:rsidRPr="007B7129">
        <w:rPr>
          <w:rFonts w:cs="Times New Roman"/>
          <w:b/>
          <w:bCs/>
          <w:szCs w:val="24"/>
        </w:rPr>
        <w:t>39</w:t>
      </w:r>
      <w:r w:rsidRPr="007B7129">
        <w:rPr>
          <w:rFonts w:cs="Times New Roman"/>
          <w:szCs w:val="24"/>
        </w:rPr>
        <w:t xml:space="preserve"> would provide compound </w:t>
      </w:r>
      <w:r w:rsidRPr="007B7129">
        <w:rPr>
          <w:b/>
          <w:bCs/>
        </w:rPr>
        <w:t>3.</w:t>
      </w:r>
      <w:r w:rsidRPr="007B7129">
        <w:rPr>
          <w:rFonts w:cs="Times New Roman"/>
          <w:b/>
          <w:bCs/>
          <w:szCs w:val="24"/>
        </w:rPr>
        <w:t>40</w:t>
      </w:r>
      <w:r w:rsidRPr="007B7129">
        <w:rPr>
          <w:rFonts w:cs="Times New Roman"/>
          <w:szCs w:val="24"/>
        </w:rPr>
        <w:t xml:space="preserve">, comparable to </w:t>
      </w:r>
      <w:r w:rsidRPr="007B7129">
        <w:rPr>
          <w:rFonts w:cs="Times New Roman"/>
          <w:b/>
          <w:bCs/>
          <w:szCs w:val="24"/>
        </w:rPr>
        <w:t>Step 2</w:t>
      </w:r>
      <w:r w:rsidRPr="007B7129">
        <w:rPr>
          <w:rFonts w:cs="Times New Roman"/>
          <w:szCs w:val="24"/>
        </w:rPr>
        <w:t xml:space="preserve">, providing the scaffolding of picrasidine C. </w:t>
      </w:r>
    </w:p>
    <w:p w14:paraId="37C4FF80" w14:textId="4933F3D3" w:rsidR="007B7129" w:rsidRPr="007B7129" w:rsidRDefault="007B7129" w:rsidP="007B7129">
      <w:pPr>
        <w:spacing w:after="0"/>
        <w:ind w:firstLine="720"/>
        <w:rPr>
          <w:rFonts w:eastAsia="Times New Roman" w:cs="Times New Roman"/>
          <w:szCs w:val="24"/>
        </w:rPr>
      </w:pPr>
      <w:r w:rsidRPr="007B7129">
        <w:rPr>
          <w:rFonts w:eastAsia="Times New Roman" w:cs="Times New Roman"/>
          <w:szCs w:val="20"/>
        </w:rPr>
        <w:t>To test this hypothesis, typical TFA catalysis conditions were first employed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_Ref89110150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3.6</w:t>
      </w:r>
      <w:r w:rsidRPr="007B7129">
        <w:rPr>
          <w:rFonts w:eastAsia="Times New Roman" w:cs="Times New Roman"/>
          <w:b/>
          <w:bCs/>
          <w:szCs w:val="20"/>
        </w:rPr>
        <w:fldChar w:fldCharType="end"/>
      </w:r>
      <w:r w:rsidRPr="007B7129">
        <w:rPr>
          <w:rFonts w:eastAsia="Times New Roman" w:cs="Times New Roman"/>
          <w:szCs w:val="20"/>
        </w:rPr>
        <w:t xml:space="preserve">, entry 1) on small scale (0.02 mmol). Initial results, qualitatively determined by TLC, showed the formation of inseparable products, in addition to an indeterminable nuclear magnetic resonance (NMR) spectroscopic analysis of the crude sample. </w:t>
      </w:r>
      <w:r w:rsidRPr="007B7129">
        <w:rPr>
          <w:rFonts w:eastAsia="Times New Roman" w:cs="Times New Roman"/>
          <w:szCs w:val="24"/>
        </w:rPr>
        <w:t xml:space="preserve">Subsequently, conditions were screened in </w:t>
      </w:r>
      <w:r w:rsidRPr="007B7129">
        <w:rPr>
          <w:rFonts w:eastAsia="Times New Roman" w:cs="Times New Roman"/>
          <w:szCs w:val="24"/>
        </w:rPr>
        <w:lastRenderedPageBreak/>
        <w:t xml:space="preserve">attempts to find the best method for the construction of compound </w:t>
      </w:r>
      <w:r w:rsidRPr="007B7129">
        <w:rPr>
          <w:rFonts w:eastAsia="Times New Roman" w:cs="Times New Roman"/>
          <w:b/>
          <w:bCs/>
          <w:szCs w:val="24"/>
        </w:rPr>
        <w:t>3.39</w:t>
      </w:r>
      <w:r w:rsidRPr="007B7129">
        <w:rPr>
          <w:rFonts w:eastAsia="Times New Roman" w:cs="Times New Roman"/>
          <w:szCs w:val="24"/>
        </w:rPr>
        <w:t xml:space="preserve">. Tryptamine </w:t>
      </w:r>
      <w:r w:rsidRPr="007B7129">
        <w:rPr>
          <w:rFonts w:eastAsia="Times New Roman" w:cs="Times New Roman"/>
          <w:b/>
          <w:bCs/>
          <w:szCs w:val="24"/>
        </w:rPr>
        <w:t>3.32</w:t>
      </w:r>
      <w:r w:rsidRPr="007B7129">
        <w:rPr>
          <w:rFonts w:eastAsia="Times New Roman" w:cs="Times New Roman"/>
          <w:szCs w:val="24"/>
        </w:rPr>
        <w:t xml:space="preserve"> or tryptophan methyl ester </w:t>
      </w:r>
      <w:r w:rsidRPr="007B7129">
        <w:rPr>
          <w:rFonts w:eastAsia="Times New Roman" w:cs="Times New Roman"/>
          <w:b/>
          <w:bCs/>
          <w:szCs w:val="24"/>
        </w:rPr>
        <w:t>3.32a</w:t>
      </w:r>
      <w:r w:rsidRPr="007B7129">
        <w:rPr>
          <w:rFonts w:eastAsia="Times New Roman" w:cs="Times New Roman"/>
          <w:szCs w:val="24"/>
        </w:rPr>
        <w:t xml:space="preserve"> was reacted with aldehyde </w:t>
      </w:r>
      <w:r w:rsidRPr="007B7129">
        <w:rPr>
          <w:rFonts w:eastAsia="Times New Roman" w:cs="Times New Roman"/>
          <w:b/>
          <w:bCs/>
          <w:szCs w:val="24"/>
        </w:rPr>
        <w:t>3.38</w:t>
      </w:r>
      <w:r w:rsidRPr="007B7129">
        <w:rPr>
          <w:rFonts w:eastAsia="Times New Roman" w:cs="Times New Roman"/>
          <w:szCs w:val="24"/>
        </w:rPr>
        <w:t xml:space="preserve"> under acidic conditions (TFA or HCl) with various desiccant additives (Na</w:t>
      </w:r>
      <w:r w:rsidRPr="007B7129">
        <w:rPr>
          <w:rFonts w:eastAsia="Times New Roman" w:cs="Times New Roman"/>
          <w:szCs w:val="24"/>
          <w:vertAlign w:val="subscript"/>
        </w:rPr>
        <w:t>2</w:t>
      </w:r>
      <w:r w:rsidRPr="007B7129">
        <w:rPr>
          <w:rFonts w:eastAsia="Times New Roman" w:cs="Times New Roman"/>
          <w:szCs w:val="24"/>
        </w:rPr>
        <w:t>SO</w:t>
      </w:r>
      <w:r w:rsidRPr="007B7129">
        <w:rPr>
          <w:rFonts w:eastAsia="Times New Roman" w:cs="Times New Roman"/>
          <w:szCs w:val="24"/>
          <w:vertAlign w:val="subscript"/>
        </w:rPr>
        <w:t>4</w:t>
      </w:r>
      <w:r w:rsidRPr="007B7129">
        <w:rPr>
          <w:rFonts w:eastAsia="Times New Roman" w:cs="Times New Roman"/>
          <w:szCs w:val="24"/>
        </w:rPr>
        <w:t xml:space="preserve"> or MS) and solvents (DCM or MeOH), starting at 0 ̊C and warming to room temperature (23 ̊C) while monitoring reaction progress by TLC (</w:t>
      </w:r>
      <w:r w:rsidRPr="007B7129">
        <w:rPr>
          <w:rFonts w:eastAsia="Times New Roman" w:cs="Times New Roman"/>
          <w:b/>
          <w:bCs/>
          <w:szCs w:val="24"/>
        </w:rPr>
        <w:fldChar w:fldCharType="begin"/>
      </w:r>
      <w:r w:rsidRPr="007B7129">
        <w:rPr>
          <w:rFonts w:eastAsia="Times New Roman" w:cs="Times New Roman"/>
          <w:b/>
          <w:bCs/>
          <w:szCs w:val="24"/>
        </w:rPr>
        <w:instrText xml:space="preserve"> REF _Ref89110150 \h  \* MERGEFORMAT </w:instrText>
      </w:r>
      <w:r w:rsidRPr="007B7129">
        <w:rPr>
          <w:rFonts w:eastAsia="Times New Roman" w:cs="Times New Roman"/>
          <w:b/>
          <w:bCs/>
          <w:szCs w:val="24"/>
        </w:rPr>
      </w:r>
      <w:r w:rsidRPr="007B7129">
        <w:rPr>
          <w:rFonts w:eastAsia="Times New Roman" w:cs="Times New Roman"/>
          <w:b/>
          <w:bCs/>
          <w:szCs w:val="24"/>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3.6</w:t>
      </w:r>
      <w:r w:rsidRPr="007B7129">
        <w:rPr>
          <w:rFonts w:eastAsia="Times New Roman" w:cs="Times New Roman"/>
          <w:b/>
          <w:bCs/>
          <w:szCs w:val="24"/>
        </w:rPr>
        <w:fldChar w:fldCharType="end"/>
      </w:r>
      <w:r w:rsidRPr="007B7129">
        <w:rPr>
          <w:rFonts w:eastAsia="Times New Roman" w:cs="Times New Roman"/>
          <w:szCs w:val="24"/>
        </w:rPr>
        <w:t>, entries 2 – 5). Notably, triethylamine (Et</w:t>
      </w:r>
      <w:r w:rsidRPr="007B7129">
        <w:rPr>
          <w:rFonts w:eastAsia="Times New Roman" w:cs="Times New Roman"/>
          <w:szCs w:val="24"/>
          <w:vertAlign w:val="subscript"/>
        </w:rPr>
        <w:t>3</w:t>
      </w:r>
      <w:r w:rsidRPr="007B7129">
        <w:rPr>
          <w:rFonts w:eastAsia="Times New Roman" w:cs="Times New Roman"/>
          <w:szCs w:val="24"/>
        </w:rPr>
        <w:t>N) was utilized, as previous evidence by Sharma et al. suggested a successful PSR under aprotic conditions.</w:t>
      </w:r>
      <w:r w:rsidRPr="007B7129">
        <w:rPr>
          <w:rFonts w:eastAsia="Times New Roman" w:cs="Times New Roman"/>
          <w:szCs w:val="24"/>
        </w:rPr>
        <w:fldChar w:fldCharType="begin"/>
      </w:r>
      <w:r w:rsidRPr="007B7129">
        <w:rPr>
          <w:rFonts w:eastAsia="Times New Roman" w:cs="Times New Roman"/>
          <w:szCs w:val="24"/>
        </w:rPr>
        <w:instrText xml:space="preserve"> ADDIN ZOTERO_ITEM CSL_CITATION {"citationID":"UQIGEsGk","properties":{"formattedCitation":"\\super 74\\nosupersub{}","plainCitation":"74","noteIndex":0},"citationItems":[{"id":433,"uris":["http://zotero.org/users/6503767/items/H4VIKPDH"],"itemData":{"id":433,"type":"article-journal","container-title":"Indian Journal of Chemistry","DOI":"10.1002/chin.200714162","ISSN":"09317597, 15222667","issue":"14","journalAbbreviation":"Indian. J. Org. Chem.","language":"en","page":"2710-2715","source":"DOI.org (Crossref)","title":"Diastereoselective Synthesis of 1,3-Disubstituted 1,2,3,4-Tetrahydro-β-carbolines Using Pictet-Spengler Reaction in Non-acidic Aprotic Media","volume":"38","author":[{"family":"Sharma","given":"S. D."},{"family":"Bhaduri","given":"Susmita"},{"family":"Kaur","given":"Gurpreet"}],"issued":{"date-parts":[["2007",4,3]]}}}],"schema":"https://github.com/citation-style-language/schema/raw/master/csl-citation.json"} </w:instrText>
      </w:r>
      <w:r w:rsidRPr="007B7129">
        <w:rPr>
          <w:rFonts w:eastAsia="Times New Roman" w:cs="Times New Roman"/>
          <w:szCs w:val="24"/>
        </w:rPr>
        <w:fldChar w:fldCharType="separate"/>
      </w:r>
      <w:r w:rsidRPr="007B7129">
        <w:rPr>
          <w:rFonts w:eastAsia="Times New Roman" w:cs="Times New Roman"/>
          <w:szCs w:val="24"/>
          <w:vertAlign w:val="superscript"/>
        </w:rPr>
        <w:t>74</w:t>
      </w:r>
      <w:r w:rsidRPr="007B7129">
        <w:rPr>
          <w:rFonts w:eastAsia="Times New Roman" w:cs="Times New Roman"/>
          <w:szCs w:val="24"/>
        </w:rPr>
        <w:fldChar w:fldCharType="end"/>
      </w:r>
      <w:r w:rsidRPr="007B7129">
        <w:rPr>
          <w:rFonts w:eastAsia="Times New Roman" w:cs="Times New Roman"/>
          <w:szCs w:val="24"/>
        </w:rPr>
        <w:t xml:space="preserve"> For this specific substrate however, these conditions failed to provide the desired product (</w:t>
      </w:r>
      <w:r w:rsidRPr="007B7129">
        <w:rPr>
          <w:rFonts w:eastAsia="Times New Roman" w:cs="Times New Roman"/>
          <w:b/>
          <w:bCs/>
          <w:szCs w:val="24"/>
        </w:rPr>
        <w:fldChar w:fldCharType="begin"/>
      </w:r>
      <w:r w:rsidRPr="007B7129">
        <w:rPr>
          <w:rFonts w:eastAsia="Times New Roman" w:cs="Times New Roman"/>
          <w:b/>
          <w:bCs/>
          <w:szCs w:val="24"/>
        </w:rPr>
        <w:instrText xml:space="preserve"> REF _Ref89110150 \h  \* MERGEFORMAT </w:instrText>
      </w:r>
      <w:r w:rsidRPr="007B7129">
        <w:rPr>
          <w:rFonts w:eastAsia="Times New Roman" w:cs="Times New Roman"/>
          <w:b/>
          <w:bCs/>
          <w:szCs w:val="24"/>
        </w:rPr>
      </w:r>
      <w:r w:rsidRPr="007B7129">
        <w:rPr>
          <w:rFonts w:eastAsia="Times New Roman" w:cs="Times New Roman"/>
          <w:b/>
          <w:bCs/>
          <w:szCs w:val="24"/>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3.6</w:t>
      </w:r>
      <w:r w:rsidRPr="007B7129">
        <w:rPr>
          <w:rFonts w:eastAsia="Times New Roman" w:cs="Times New Roman"/>
          <w:b/>
          <w:bCs/>
          <w:szCs w:val="24"/>
        </w:rPr>
        <w:fldChar w:fldCharType="end"/>
      </w:r>
      <w:r w:rsidRPr="007B7129">
        <w:rPr>
          <w:rFonts w:eastAsia="Times New Roman" w:cs="Times New Roman"/>
          <w:szCs w:val="24"/>
        </w:rPr>
        <w:t xml:space="preserve">, entry 3). </w:t>
      </w:r>
    </w:p>
    <w:p w14:paraId="1B8AB455" w14:textId="77777777" w:rsidR="007B7129" w:rsidRPr="007B7129" w:rsidRDefault="007B7129" w:rsidP="007B7129">
      <w:pPr>
        <w:spacing w:after="0"/>
        <w:rPr>
          <w:rFonts w:eastAsia="Times New Roman" w:cs="Times New Roman"/>
          <w:szCs w:val="24"/>
        </w:rPr>
      </w:pPr>
      <w:r w:rsidRPr="007B7129">
        <w:rPr>
          <w:rFonts w:eastAsia="Times New Roman" w:cs="Times New Roman"/>
          <w:noProof/>
          <w:szCs w:val="20"/>
        </w:rPr>
        <mc:AlternateContent>
          <mc:Choice Requires="wps">
            <w:drawing>
              <wp:inline distT="0" distB="0" distL="0" distR="0" wp14:anchorId="10ADE14B" wp14:editId="79A8A268">
                <wp:extent cx="5943600" cy="2989580"/>
                <wp:effectExtent l="0" t="0" r="19050" b="20320"/>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989580"/>
                        </a:xfrm>
                        <a:prstGeom prst="rect">
                          <a:avLst/>
                        </a:prstGeom>
                        <a:solidFill>
                          <a:srgbClr val="FFFFFF"/>
                        </a:solidFill>
                        <a:ln w="9525">
                          <a:solidFill>
                            <a:srgbClr val="000000"/>
                          </a:solidFill>
                          <a:miter lim="800000"/>
                          <a:headEnd/>
                          <a:tailEnd/>
                        </a:ln>
                      </wps:spPr>
                      <wps:txbx>
                        <w:txbxContent>
                          <w:p w14:paraId="6438B062" w14:textId="77777777" w:rsidR="007B7129" w:rsidRDefault="007B7129" w:rsidP="007B7129">
                            <w:pPr>
                              <w:keepNext/>
                              <w:spacing w:line="240" w:lineRule="auto"/>
                              <w:jc w:val="center"/>
                            </w:pPr>
                            <w:r>
                              <w:rPr>
                                <w:b/>
                              </w:rPr>
                              <w:object w:dxaOrig="7824" w:dyaOrig="3809" w14:anchorId="41DD5CAA">
                                <v:shape id="_x0000_i1102" type="#_x0000_t75" style="width:387.6pt;height:188.4pt">
                                  <v:imagedata r:id="rId290" o:title=""/>
                                </v:shape>
                                <o:OLEObject Type="Embed" ProgID="ChemDraw.Document.6.0" ShapeID="_x0000_i1102" DrawAspect="Content" ObjectID="_1713353508" r:id="rId291"/>
                              </w:object>
                            </w:r>
                          </w:p>
                          <w:p w14:paraId="6DD39C81" w14:textId="44A996A1" w:rsidR="007B7129" w:rsidRDefault="007B7129" w:rsidP="00DF51F5">
                            <w:pPr>
                              <w:pStyle w:val="Caption"/>
                            </w:pPr>
                            <w:bookmarkStart w:id="328" w:name="_Ref89108947"/>
                            <w:r>
                              <w:t>Scheme 3.</w:t>
                            </w:r>
                            <w:bookmarkEnd w:id="328"/>
                            <w:r w:rsidR="009A5AC9">
                              <w:t>11</w:t>
                            </w:r>
                            <w:r>
                              <w:t>. Proposed reaction and products for the second Pictet-Spengler cyclization (PSR2).</w:t>
                            </w:r>
                          </w:p>
                        </w:txbxContent>
                      </wps:txbx>
                      <wps:bodyPr rot="0" vert="horz" wrap="square" lIns="91440" tIns="45720" rIns="91440" bIns="45720" anchor="t" anchorCtr="0">
                        <a:noAutofit/>
                      </wps:bodyPr>
                    </wps:wsp>
                  </a:graphicData>
                </a:graphic>
              </wp:inline>
            </w:drawing>
          </mc:Choice>
          <mc:Fallback>
            <w:pict>
              <v:shape w14:anchorId="10ADE14B" id="_x0000_s1093" type="#_x0000_t202" style="width:468pt;height:23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">
                <v:textbox>
                  <w:txbxContent>
                    <w:p w14:paraId="6438B062" w14:textId="77777777" w:rsidR="007B7129" w:rsidRDefault="007B7129" w:rsidP="007B7129">
                      <w:pPr>
                        <w:keepNext/>
                        <w:spacing w:line="240" w:lineRule="auto"/>
                        <w:jc w:val="center"/>
                      </w:pPr>
                      <w:r>
                        <w:rPr>
                          <w:b/>
                        </w:rPr>
                        <w:object w:dxaOrig="7824" w:dyaOrig="3809" w14:anchorId="41DD5CAA">
                          <v:shape id="_x0000_i1102" type="#_x0000_t75" style="width:387.6pt;height:188.4pt">
                            <v:imagedata r:id="rId290" o:title=""/>
                          </v:shape>
                          <o:OLEObject Type="Embed" ProgID="ChemDraw.Document.6.0" ShapeID="_x0000_i1102" DrawAspect="Content" ObjectID="_1713353508" r:id="rId292"/>
                        </w:object>
                      </w:r>
                    </w:p>
                    <w:p w14:paraId="6DD39C81" w14:textId="44A996A1" w:rsidR="007B7129" w:rsidRDefault="007B7129" w:rsidP="00DF51F5">
                      <w:pPr>
                        <w:pStyle w:val="Caption"/>
                      </w:pPr>
                      <w:bookmarkStart w:id="329" w:name="_Ref89108947"/>
                      <w:r>
                        <w:t>Scheme 3.</w:t>
                      </w:r>
                      <w:bookmarkEnd w:id="329"/>
                      <w:r w:rsidR="009A5AC9">
                        <w:t>11</w:t>
                      </w:r>
                      <w:r>
                        <w:t>. Proposed reaction and products for the second Pictet-Spengler cyclization (PSR2).</w:t>
                      </w:r>
                    </w:p>
                  </w:txbxContent>
                </v:textbox>
                <w10:anchorlock/>
              </v:shape>
            </w:pict>
          </mc:Fallback>
        </mc:AlternateContent>
      </w:r>
    </w:p>
    <w:p w14:paraId="3334EAC2" w14:textId="17F50F51"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From this initial screen, still conducted at a small scale (0.02 mmol), I found HCl in MeOH to provide the cleanest reaction mixture, from which a single product was visible by TLC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_Ref89110150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3.6</w:t>
      </w:r>
      <w:r w:rsidRPr="007B7129">
        <w:rPr>
          <w:rFonts w:eastAsia="Times New Roman" w:cs="Times New Roman"/>
          <w:b/>
          <w:bCs/>
          <w:szCs w:val="20"/>
        </w:rPr>
        <w:fldChar w:fldCharType="end"/>
      </w:r>
      <w:r w:rsidRPr="007B7129">
        <w:rPr>
          <w:rFonts w:eastAsia="Times New Roman" w:cs="Times New Roman"/>
          <w:szCs w:val="20"/>
        </w:rPr>
        <w:t>, entry 4). Upon initial scale-up (0.27 mmol), the HCl (2 M aqueous solution) in the presence of molecular sieves as a desiccant provided a modest 21% yield of a single product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_Ref89110150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3.6</w:t>
      </w:r>
      <w:r w:rsidRPr="007B7129">
        <w:rPr>
          <w:rFonts w:eastAsia="Times New Roman" w:cs="Times New Roman"/>
          <w:b/>
          <w:bCs/>
          <w:szCs w:val="20"/>
        </w:rPr>
        <w:fldChar w:fldCharType="end"/>
      </w:r>
      <w:r w:rsidRPr="007B7129">
        <w:rPr>
          <w:rFonts w:eastAsia="Times New Roman" w:cs="Times New Roman"/>
          <w:szCs w:val="20"/>
        </w:rPr>
        <w:t xml:space="preserve">, entry 6). Unable to fully characterize the structure of the product due to the low mass of the sample, I repeated the reaction in anhydrous conditions. Use of HCl gas in methanol provided a 74% yield </w:t>
      </w:r>
      <w:r w:rsidRPr="007B7129">
        <w:rPr>
          <w:rFonts w:eastAsia="Times New Roman" w:cs="Times New Roman"/>
          <w:szCs w:val="20"/>
        </w:rPr>
        <w:lastRenderedPageBreak/>
        <w:t xml:space="preserve">and enough product to conduct multiple 2D NMR analyses (see </w:t>
      </w:r>
      <w:r w:rsidRPr="007B7129">
        <w:rPr>
          <w:rFonts w:eastAsia="Times New Roman" w:cs="Times New Roman"/>
          <w:b/>
          <w:bCs/>
          <w:szCs w:val="20"/>
        </w:rPr>
        <w:t>Appendix II</w:t>
      </w:r>
      <w:r w:rsidRPr="007B7129">
        <w:rPr>
          <w:rFonts w:eastAsia="Times New Roman" w:cs="Times New Roman"/>
          <w:szCs w:val="20"/>
        </w:rPr>
        <w:t xml:space="preserve">), which revealed the product as compound </w:t>
      </w:r>
      <w:r w:rsidRPr="007B7129">
        <w:rPr>
          <w:rFonts w:eastAsia="Times New Roman" w:cs="Times New Roman"/>
          <w:b/>
          <w:bCs/>
          <w:szCs w:val="24"/>
        </w:rPr>
        <w:t>3.</w:t>
      </w:r>
      <w:r w:rsidRPr="007B7129">
        <w:rPr>
          <w:rFonts w:eastAsia="Times New Roman" w:cs="Times New Roman"/>
          <w:b/>
          <w:bCs/>
          <w:szCs w:val="20"/>
        </w:rPr>
        <w:t>41</w:t>
      </w:r>
      <w:r w:rsidRPr="007B7129">
        <w:rPr>
          <w:rFonts w:eastAsia="Times New Roman" w:cs="Times New Roman"/>
          <w:szCs w:val="20"/>
        </w:rPr>
        <w:t xml:space="preserve"> rather than the target compound </w:t>
      </w:r>
      <w:r w:rsidRPr="007B7129">
        <w:rPr>
          <w:rFonts w:eastAsia="Times New Roman" w:cs="Times New Roman"/>
          <w:b/>
          <w:bCs/>
          <w:szCs w:val="24"/>
        </w:rPr>
        <w:t>3.</w:t>
      </w:r>
      <w:r w:rsidRPr="007B7129">
        <w:rPr>
          <w:rFonts w:eastAsia="Times New Roman" w:cs="Times New Roman"/>
          <w:b/>
          <w:bCs/>
          <w:szCs w:val="20"/>
        </w:rPr>
        <w:t>40</w:t>
      </w:r>
      <w:r w:rsidRPr="007B7129">
        <w:rPr>
          <w:rFonts w:eastAsia="Times New Roman" w:cs="Times New Roman"/>
          <w:szCs w:val="20"/>
        </w:rPr>
        <w:t xml:space="preserve">. </w:t>
      </w:r>
    </w:p>
    <w:p w14:paraId="101EF211" w14:textId="77777777" w:rsidR="007B7129" w:rsidRPr="007B7129" w:rsidRDefault="007B7129" w:rsidP="007B7129">
      <w:pPr>
        <w:spacing w:after="0"/>
        <w:ind w:firstLine="720"/>
        <w:rPr>
          <w:rFonts w:eastAsia="Times New Roman" w:cs="Times New Roman"/>
          <w:szCs w:val="20"/>
        </w:rPr>
      </w:pPr>
    </w:p>
    <w:p w14:paraId="0E3924A2" w14:textId="41C01E2E" w:rsidR="007B7129" w:rsidRPr="007B7129" w:rsidRDefault="007B7129" w:rsidP="000624E1">
      <w:pPr>
        <w:spacing w:after="0" w:line="240" w:lineRule="auto"/>
        <w:rPr>
          <w:b/>
          <w:szCs w:val="18"/>
        </w:rPr>
      </w:pPr>
      <w:bookmarkStart w:id="330" w:name="_Ref89110150"/>
      <w:r w:rsidRPr="007B7129">
        <w:rPr>
          <w:b/>
          <w:szCs w:val="18"/>
        </w:rPr>
        <w:t>Table 3.</w:t>
      </w:r>
      <w:r w:rsidRPr="007B7129">
        <w:rPr>
          <w:b/>
          <w:szCs w:val="18"/>
        </w:rPr>
        <w:fldChar w:fldCharType="begin"/>
      </w:r>
      <w:r w:rsidRPr="007B7129">
        <w:rPr>
          <w:b/>
          <w:szCs w:val="18"/>
        </w:rPr>
        <w:instrText xml:space="preserve"> SEQ Table \* ARABIC </w:instrText>
      </w:r>
      <w:r w:rsidRPr="007B7129">
        <w:rPr>
          <w:b/>
          <w:szCs w:val="18"/>
        </w:rPr>
        <w:fldChar w:fldCharType="separate"/>
      </w:r>
      <w:r w:rsidR="00AA5AAC">
        <w:rPr>
          <w:b/>
          <w:noProof/>
          <w:szCs w:val="18"/>
        </w:rPr>
        <w:t>6</w:t>
      </w:r>
      <w:r w:rsidRPr="007B7129">
        <w:rPr>
          <w:b/>
          <w:noProof/>
          <w:szCs w:val="18"/>
        </w:rPr>
        <w:fldChar w:fldCharType="end"/>
      </w:r>
      <w:bookmarkEnd w:id="330"/>
      <w:r w:rsidRPr="007B7129">
        <w:rPr>
          <w:b/>
          <w:szCs w:val="18"/>
        </w:rPr>
        <w:t>. Conditions screen for PSR2</w:t>
      </w:r>
      <w:r w:rsidR="000624E1">
        <w:rPr>
          <w:b/>
          <w:szCs w:val="18"/>
        </w:rPr>
        <w:t>.</w:t>
      </w:r>
    </w:p>
    <w:tbl>
      <w:tblPr>
        <w:tblStyle w:val="TableGrid"/>
        <w:tblW w:w="0" w:type="auto"/>
        <w:tblLook w:val="04A0" w:firstRow="1" w:lastRow="0" w:firstColumn="1" w:lastColumn="0" w:noHBand="0" w:noVBand="1"/>
      </w:tblPr>
      <w:tblGrid>
        <w:gridCol w:w="752"/>
        <w:gridCol w:w="870"/>
        <w:gridCol w:w="1523"/>
        <w:gridCol w:w="1350"/>
        <w:gridCol w:w="1350"/>
        <w:gridCol w:w="1241"/>
        <w:gridCol w:w="1009"/>
        <w:gridCol w:w="1255"/>
      </w:tblGrid>
      <w:tr w:rsidR="007B7129" w:rsidRPr="007B7129" w14:paraId="2EA1D552" w14:textId="77777777" w:rsidTr="00562397">
        <w:trPr>
          <w:trHeight w:val="2150"/>
        </w:trPr>
        <w:tc>
          <w:tcPr>
            <w:tcW w:w="9350" w:type="dxa"/>
            <w:gridSpan w:val="8"/>
            <w:vAlign w:val="center"/>
          </w:tcPr>
          <w:p w14:paraId="413F2601" w14:textId="77777777" w:rsidR="007B7129" w:rsidRPr="007B7129" w:rsidRDefault="007B7129" w:rsidP="007B7129">
            <w:pPr>
              <w:spacing w:line="240" w:lineRule="auto"/>
              <w:contextualSpacing/>
              <w:jc w:val="center"/>
              <w:rPr>
                <w:rFonts w:cs="Times New Roman"/>
                <w:b/>
                <w:color w:val="000000"/>
                <w:szCs w:val="24"/>
                <w:shd w:val="clear" w:color="auto" w:fill="FFFFFF"/>
              </w:rPr>
            </w:pPr>
            <w:r w:rsidRPr="007B7129">
              <w:rPr>
                <w:rFonts w:cs="Times New Roman"/>
                <w:b/>
                <w:color w:val="000000"/>
                <w:szCs w:val="24"/>
                <w:shd w:val="clear" w:color="auto" w:fill="FFFFFF"/>
              </w:rPr>
              <w:t xml:space="preserve"> </w:t>
            </w:r>
            <w:r w:rsidRPr="007B7129">
              <w:rPr>
                <w:rFonts w:cs="Times New Roman"/>
                <w:b/>
                <w:color w:val="000000"/>
                <w:szCs w:val="24"/>
                <w:shd w:val="clear" w:color="auto" w:fill="FFFFFF"/>
              </w:rPr>
              <w:object w:dxaOrig="7379" w:dyaOrig="2001" w14:anchorId="0E968AD0">
                <v:shape id="_x0000_i1103" type="#_x0000_t75" style="width:368.4pt;height:100.05pt" o:ole="">
                  <v:imagedata r:id="rId293" o:title=""/>
                </v:shape>
                <o:OLEObject Type="Embed" ProgID="ChemDraw.Document.6.0" ShapeID="_x0000_i1103" DrawAspect="Content" ObjectID="_1713353460" r:id="rId294"/>
              </w:object>
            </w:r>
          </w:p>
        </w:tc>
      </w:tr>
      <w:tr w:rsidR="00053C56" w:rsidRPr="007B7129" w14:paraId="29D28168" w14:textId="77777777" w:rsidTr="00562397">
        <w:tc>
          <w:tcPr>
            <w:tcW w:w="752" w:type="dxa"/>
            <w:shd w:val="clear" w:color="auto" w:fill="E7E6E6" w:themeFill="background2"/>
          </w:tcPr>
          <w:p w14:paraId="1181864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Entry</w:t>
            </w:r>
          </w:p>
        </w:tc>
        <w:tc>
          <w:tcPr>
            <w:tcW w:w="870" w:type="dxa"/>
            <w:shd w:val="clear" w:color="auto" w:fill="E7E6E6" w:themeFill="background2"/>
          </w:tcPr>
          <w:p w14:paraId="3109235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Amine</w:t>
            </w:r>
          </w:p>
        </w:tc>
        <w:tc>
          <w:tcPr>
            <w:tcW w:w="1523" w:type="dxa"/>
            <w:shd w:val="clear" w:color="auto" w:fill="E7E6E6" w:themeFill="background2"/>
          </w:tcPr>
          <w:p w14:paraId="469CA5E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Reagent(s)</w:t>
            </w:r>
          </w:p>
        </w:tc>
        <w:tc>
          <w:tcPr>
            <w:tcW w:w="1350" w:type="dxa"/>
            <w:shd w:val="clear" w:color="auto" w:fill="E7E6E6" w:themeFill="background2"/>
          </w:tcPr>
          <w:p w14:paraId="02947F3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Solvent</w:t>
            </w:r>
          </w:p>
        </w:tc>
        <w:tc>
          <w:tcPr>
            <w:tcW w:w="1350" w:type="dxa"/>
            <w:shd w:val="clear" w:color="auto" w:fill="E7E6E6" w:themeFill="background2"/>
          </w:tcPr>
          <w:p w14:paraId="15E0DF4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Additive</w:t>
            </w:r>
          </w:p>
        </w:tc>
        <w:tc>
          <w:tcPr>
            <w:tcW w:w="1241" w:type="dxa"/>
            <w:shd w:val="clear" w:color="auto" w:fill="E7E6E6" w:themeFill="background2"/>
          </w:tcPr>
          <w:p w14:paraId="6EE1B9F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Temp (̊C)</w:t>
            </w:r>
          </w:p>
        </w:tc>
        <w:tc>
          <w:tcPr>
            <w:tcW w:w="1009" w:type="dxa"/>
            <w:shd w:val="clear" w:color="auto" w:fill="E7E6E6" w:themeFill="background2"/>
          </w:tcPr>
          <w:p w14:paraId="64A9665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Product</w:t>
            </w:r>
          </w:p>
        </w:tc>
        <w:tc>
          <w:tcPr>
            <w:tcW w:w="1255" w:type="dxa"/>
            <w:shd w:val="clear" w:color="auto" w:fill="E7E6E6" w:themeFill="background2"/>
          </w:tcPr>
          <w:p w14:paraId="51C9125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Yield (</w:t>
            </w:r>
            <w:proofErr w:type="gramStart"/>
            <w:r w:rsidRPr="007B7129">
              <w:rPr>
                <w:rFonts w:cs="Times New Roman"/>
                <w:bCs/>
                <w:color w:val="000000"/>
                <w:szCs w:val="24"/>
                <w:shd w:val="clear" w:color="auto" w:fill="FFFFFF"/>
              </w:rPr>
              <w:t>%)</w:t>
            </w:r>
            <w:r w:rsidRPr="007B7129">
              <w:rPr>
                <w:rFonts w:cs="Times New Roman"/>
                <w:bCs/>
                <w:color w:val="000000"/>
                <w:szCs w:val="24"/>
                <w:shd w:val="clear" w:color="auto" w:fill="FFFFFF"/>
                <w:vertAlign w:val="superscript"/>
              </w:rPr>
              <w:t>a</w:t>
            </w:r>
            <w:proofErr w:type="gramEnd"/>
          </w:p>
        </w:tc>
      </w:tr>
      <w:tr w:rsidR="007B7129" w:rsidRPr="007B7129" w14:paraId="043D807C" w14:textId="77777777" w:rsidTr="00562397">
        <w:tc>
          <w:tcPr>
            <w:tcW w:w="752" w:type="dxa"/>
          </w:tcPr>
          <w:p w14:paraId="0BBB43C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w:t>
            </w:r>
          </w:p>
        </w:tc>
        <w:tc>
          <w:tcPr>
            <w:tcW w:w="870" w:type="dxa"/>
          </w:tcPr>
          <w:p w14:paraId="2A2410B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3.32</w:t>
            </w:r>
          </w:p>
        </w:tc>
        <w:tc>
          <w:tcPr>
            <w:tcW w:w="1523" w:type="dxa"/>
          </w:tcPr>
          <w:p w14:paraId="44A1499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TFA</w:t>
            </w:r>
          </w:p>
        </w:tc>
        <w:tc>
          <w:tcPr>
            <w:tcW w:w="1350" w:type="dxa"/>
          </w:tcPr>
          <w:p w14:paraId="7A91FAC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Et</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O</w:t>
            </w:r>
          </w:p>
        </w:tc>
        <w:tc>
          <w:tcPr>
            <w:tcW w:w="1350" w:type="dxa"/>
          </w:tcPr>
          <w:p w14:paraId="4D4E8FF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c>
          <w:tcPr>
            <w:tcW w:w="1241" w:type="dxa"/>
          </w:tcPr>
          <w:p w14:paraId="59F5D15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 xml:space="preserve">23 </w:t>
            </w:r>
          </w:p>
        </w:tc>
        <w:tc>
          <w:tcPr>
            <w:tcW w:w="1009" w:type="dxa"/>
          </w:tcPr>
          <w:p w14:paraId="466C016B"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CM</w:t>
            </w:r>
            <w:r w:rsidRPr="007B7129">
              <w:rPr>
                <w:rFonts w:cs="Times New Roman"/>
                <w:bCs/>
                <w:color w:val="000000"/>
                <w:szCs w:val="24"/>
                <w:shd w:val="clear" w:color="auto" w:fill="FFFFFF"/>
                <w:vertAlign w:val="superscript"/>
              </w:rPr>
              <w:t>b</w:t>
            </w:r>
            <w:proofErr w:type="spellEnd"/>
          </w:p>
        </w:tc>
        <w:tc>
          <w:tcPr>
            <w:tcW w:w="1255" w:type="dxa"/>
          </w:tcPr>
          <w:p w14:paraId="387F3C6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038AE238" w14:textId="77777777" w:rsidTr="00562397">
        <w:tc>
          <w:tcPr>
            <w:tcW w:w="752" w:type="dxa"/>
          </w:tcPr>
          <w:p w14:paraId="4676BD9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w:t>
            </w:r>
          </w:p>
        </w:tc>
        <w:tc>
          <w:tcPr>
            <w:tcW w:w="870" w:type="dxa"/>
          </w:tcPr>
          <w:p w14:paraId="5453E13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3.32a</w:t>
            </w:r>
          </w:p>
        </w:tc>
        <w:tc>
          <w:tcPr>
            <w:tcW w:w="1523" w:type="dxa"/>
          </w:tcPr>
          <w:p w14:paraId="30F4880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TFA</w:t>
            </w:r>
          </w:p>
        </w:tc>
        <w:tc>
          <w:tcPr>
            <w:tcW w:w="1350" w:type="dxa"/>
          </w:tcPr>
          <w:p w14:paraId="3014189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350" w:type="dxa"/>
          </w:tcPr>
          <w:p w14:paraId="0E011A3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Na</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SO</w:t>
            </w:r>
            <w:r w:rsidRPr="007B7129">
              <w:rPr>
                <w:rFonts w:cs="Times New Roman"/>
                <w:bCs/>
                <w:color w:val="000000"/>
                <w:szCs w:val="24"/>
                <w:shd w:val="clear" w:color="auto" w:fill="FFFFFF"/>
                <w:vertAlign w:val="subscript"/>
              </w:rPr>
              <w:t>4</w:t>
            </w:r>
          </w:p>
        </w:tc>
        <w:tc>
          <w:tcPr>
            <w:tcW w:w="1241" w:type="dxa"/>
          </w:tcPr>
          <w:p w14:paraId="5B57D8B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 – 23</w:t>
            </w:r>
          </w:p>
        </w:tc>
        <w:tc>
          <w:tcPr>
            <w:tcW w:w="1009" w:type="dxa"/>
          </w:tcPr>
          <w:p w14:paraId="5421E6C8"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CM</w:t>
            </w:r>
            <w:r w:rsidRPr="007B7129">
              <w:rPr>
                <w:rFonts w:cs="Times New Roman"/>
                <w:bCs/>
                <w:color w:val="000000"/>
                <w:szCs w:val="24"/>
                <w:shd w:val="clear" w:color="auto" w:fill="FFFFFF"/>
                <w:vertAlign w:val="superscript"/>
              </w:rPr>
              <w:t>b</w:t>
            </w:r>
            <w:proofErr w:type="spellEnd"/>
          </w:p>
        </w:tc>
        <w:tc>
          <w:tcPr>
            <w:tcW w:w="1255" w:type="dxa"/>
          </w:tcPr>
          <w:p w14:paraId="339F5BA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6C1830FA" w14:textId="77777777" w:rsidTr="00562397">
        <w:tc>
          <w:tcPr>
            <w:tcW w:w="752" w:type="dxa"/>
          </w:tcPr>
          <w:p w14:paraId="021530B3" w14:textId="77777777" w:rsidR="007B7129" w:rsidRPr="007B7129" w:rsidRDefault="007B7129" w:rsidP="007B7129">
            <w:pPr>
              <w:spacing w:line="240" w:lineRule="auto"/>
              <w:contextualSpacing/>
              <w:jc w:val="center"/>
              <w:rPr>
                <w:rFonts w:cs="Times New Roman"/>
                <w:bCs/>
                <w:color w:val="000000"/>
                <w:szCs w:val="24"/>
                <w:shd w:val="clear" w:color="auto" w:fill="FFFFFF"/>
              </w:rPr>
            </w:pPr>
            <w:bookmarkStart w:id="331" w:name="_Hlk89105392"/>
            <w:r w:rsidRPr="007B7129">
              <w:rPr>
                <w:rFonts w:cs="Times New Roman"/>
                <w:bCs/>
                <w:color w:val="000000"/>
                <w:szCs w:val="24"/>
                <w:shd w:val="clear" w:color="auto" w:fill="FFFFFF"/>
              </w:rPr>
              <w:t>3</w:t>
            </w:r>
          </w:p>
        </w:tc>
        <w:tc>
          <w:tcPr>
            <w:tcW w:w="870" w:type="dxa"/>
          </w:tcPr>
          <w:p w14:paraId="01F9F8E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3.32a</w:t>
            </w:r>
          </w:p>
        </w:tc>
        <w:tc>
          <w:tcPr>
            <w:tcW w:w="1523" w:type="dxa"/>
          </w:tcPr>
          <w:p w14:paraId="6DCE806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Et</w:t>
            </w:r>
            <w:r w:rsidRPr="007B7129">
              <w:rPr>
                <w:rFonts w:cs="Times New Roman"/>
                <w:bCs/>
                <w:color w:val="000000"/>
                <w:szCs w:val="24"/>
                <w:shd w:val="clear" w:color="auto" w:fill="FFFFFF"/>
                <w:vertAlign w:val="subscript"/>
              </w:rPr>
              <w:t>3</w:t>
            </w:r>
            <w:r w:rsidRPr="007B7129">
              <w:rPr>
                <w:rFonts w:cs="Times New Roman"/>
                <w:bCs/>
                <w:color w:val="000000"/>
                <w:szCs w:val="24"/>
                <w:shd w:val="clear" w:color="auto" w:fill="FFFFFF"/>
              </w:rPr>
              <w:t>N</w:t>
            </w:r>
          </w:p>
        </w:tc>
        <w:tc>
          <w:tcPr>
            <w:tcW w:w="1350" w:type="dxa"/>
          </w:tcPr>
          <w:p w14:paraId="2620A8A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350" w:type="dxa"/>
          </w:tcPr>
          <w:p w14:paraId="4DF3250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Na</w:t>
            </w:r>
            <w:r w:rsidRPr="007B7129">
              <w:rPr>
                <w:rFonts w:cs="Times New Roman"/>
                <w:bCs/>
                <w:color w:val="000000"/>
                <w:szCs w:val="24"/>
                <w:shd w:val="clear" w:color="auto" w:fill="FFFFFF"/>
                <w:vertAlign w:val="subscript"/>
              </w:rPr>
              <w:t>2</w:t>
            </w:r>
            <w:r w:rsidRPr="007B7129">
              <w:rPr>
                <w:rFonts w:cs="Times New Roman"/>
                <w:bCs/>
                <w:color w:val="000000"/>
                <w:szCs w:val="24"/>
                <w:shd w:val="clear" w:color="auto" w:fill="FFFFFF"/>
              </w:rPr>
              <w:t>SO</w:t>
            </w:r>
            <w:r w:rsidRPr="007B7129">
              <w:rPr>
                <w:rFonts w:cs="Times New Roman"/>
                <w:bCs/>
                <w:color w:val="000000"/>
                <w:szCs w:val="24"/>
                <w:shd w:val="clear" w:color="auto" w:fill="FFFFFF"/>
                <w:vertAlign w:val="subscript"/>
              </w:rPr>
              <w:t>4</w:t>
            </w:r>
          </w:p>
        </w:tc>
        <w:tc>
          <w:tcPr>
            <w:tcW w:w="1241" w:type="dxa"/>
          </w:tcPr>
          <w:p w14:paraId="03E12C6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 – 23</w:t>
            </w:r>
          </w:p>
        </w:tc>
        <w:tc>
          <w:tcPr>
            <w:tcW w:w="1009" w:type="dxa"/>
          </w:tcPr>
          <w:p w14:paraId="70714C9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NR</w:t>
            </w:r>
          </w:p>
        </w:tc>
        <w:tc>
          <w:tcPr>
            <w:tcW w:w="1255" w:type="dxa"/>
          </w:tcPr>
          <w:p w14:paraId="459479F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06BC0729" w14:textId="77777777" w:rsidTr="00562397">
        <w:tc>
          <w:tcPr>
            <w:tcW w:w="752" w:type="dxa"/>
          </w:tcPr>
          <w:p w14:paraId="771BD9C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w:t>
            </w:r>
          </w:p>
        </w:tc>
        <w:tc>
          <w:tcPr>
            <w:tcW w:w="870" w:type="dxa"/>
          </w:tcPr>
          <w:p w14:paraId="027DD9E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3.32</w:t>
            </w:r>
          </w:p>
        </w:tc>
        <w:tc>
          <w:tcPr>
            <w:tcW w:w="1523" w:type="dxa"/>
          </w:tcPr>
          <w:p w14:paraId="311CE7C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HCl (aq.)</w:t>
            </w:r>
          </w:p>
        </w:tc>
        <w:tc>
          <w:tcPr>
            <w:tcW w:w="1350" w:type="dxa"/>
          </w:tcPr>
          <w:p w14:paraId="3CF3AE7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MeOH</w:t>
            </w:r>
          </w:p>
        </w:tc>
        <w:tc>
          <w:tcPr>
            <w:tcW w:w="1350" w:type="dxa"/>
          </w:tcPr>
          <w:p w14:paraId="6B798D9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c>
          <w:tcPr>
            <w:tcW w:w="1241" w:type="dxa"/>
          </w:tcPr>
          <w:p w14:paraId="3139725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 – 23</w:t>
            </w:r>
          </w:p>
        </w:tc>
        <w:tc>
          <w:tcPr>
            <w:tcW w:w="1009" w:type="dxa"/>
          </w:tcPr>
          <w:p w14:paraId="03E4F630"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One</w:t>
            </w:r>
            <w:r w:rsidRPr="007B7129">
              <w:rPr>
                <w:rFonts w:cs="Times New Roman"/>
                <w:bCs/>
                <w:color w:val="000000"/>
                <w:szCs w:val="24"/>
                <w:shd w:val="clear" w:color="auto" w:fill="FFFFFF"/>
                <w:vertAlign w:val="superscript"/>
              </w:rPr>
              <w:t>b</w:t>
            </w:r>
            <w:proofErr w:type="spellEnd"/>
          </w:p>
        </w:tc>
        <w:tc>
          <w:tcPr>
            <w:tcW w:w="1255" w:type="dxa"/>
          </w:tcPr>
          <w:p w14:paraId="01C53CD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bookmarkEnd w:id="331"/>
      <w:tr w:rsidR="007B7129" w:rsidRPr="007B7129" w14:paraId="012CD37F" w14:textId="77777777" w:rsidTr="00562397">
        <w:tc>
          <w:tcPr>
            <w:tcW w:w="752" w:type="dxa"/>
          </w:tcPr>
          <w:p w14:paraId="766B577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5</w:t>
            </w:r>
          </w:p>
        </w:tc>
        <w:tc>
          <w:tcPr>
            <w:tcW w:w="870" w:type="dxa"/>
          </w:tcPr>
          <w:p w14:paraId="0F0710B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3.32a</w:t>
            </w:r>
          </w:p>
        </w:tc>
        <w:tc>
          <w:tcPr>
            <w:tcW w:w="1523" w:type="dxa"/>
          </w:tcPr>
          <w:p w14:paraId="1D1A0D4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HCl (aq.)</w:t>
            </w:r>
          </w:p>
        </w:tc>
        <w:tc>
          <w:tcPr>
            <w:tcW w:w="1350" w:type="dxa"/>
          </w:tcPr>
          <w:p w14:paraId="0B7C6F3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MeOH</w:t>
            </w:r>
          </w:p>
        </w:tc>
        <w:tc>
          <w:tcPr>
            <w:tcW w:w="1350" w:type="dxa"/>
          </w:tcPr>
          <w:p w14:paraId="3FC2F4E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c>
          <w:tcPr>
            <w:tcW w:w="1241" w:type="dxa"/>
          </w:tcPr>
          <w:p w14:paraId="3539578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 – 23</w:t>
            </w:r>
          </w:p>
        </w:tc>
        <w:tc>
          <w:tcPr>
            <w:tcW w:w="1009" w:type="dxa"/>
          </w:tcPr>
          <w:p w14:paraId="73DF65DA"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CM</w:t>
            </w:r>
            <w:r w:rsidRPr="007B7129">
              <w:rPr>
                <w:rFonts w:cs="Times New Roman"/>
                <w:bCs/>
                <w:color w:val="000000"/>
                <w:szCs w:val="24"/>
                <w:shd w:val="clear" w:color="auto" w:fill="FFFFFF"/>
                <w:vertAlign w:val="superscript"/>
              </w:rPr>
              <w:t>b</w:t>
            </w:r>
            <w:proofErr w:type="spellEnd"/>
          </w:p>
        </w:tc>
        <w:tc>
          <w:tcPr>
            <w:tcW w:w="1255" w:type="dxa"/>
          </w:tcPr>
          <w:p w14:paraId="5C53428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6C802344" w14:textId="77777777" w:rsidTr="00562397">
        <w:tc>
          <w:tcPr>
            <w:tcW w:w="752" w:type="dxa"/>
          </w:tcPr>
          <w:p w14:paraId="2FBA726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6</w:t>
            </w:r>
          </w:p>
        </w:tc>
        <w:tc>
          <w:tcPr>
            <w:tcW w:w="870" w:type="dxa"/>
          </w:tcPr>
          <w:p w14:paraId="1EC4776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3.32</w:t>
            </w:r>
          </w:p>
        </w:tc>
        <w:tc>
          <w:tcPr>
            <w:tcW w:w="1523" w:type="dxa"/>
          </w:tcPr>
          <w:p w14:paraId="7226359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HCl (aq.)</w:t>
            </w:r>
          </w:p>
        </w:tc>
        <w:tc>
          <w:tcPr>
            <w:tcW w:w="1350" w:type="dxa"/>
          </w:tcPr>
          <w:p w14:paraId="3EE2279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MeOH</w:t>
            </w:r>
          </w:p>
        </w:tc>
        <w:tc>
          <w:tcPr>
            <w:tcW w:w="1350" w:type="dxa"/>
          </w:tcPr>
          <w:p w14:paraId="0515FD1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MS</w:t>
            </w:r>
          </w:p>
        </w:tc>
        <w:tc>
          <w:tcPr>
            <w:tcW w:w="1241" w:type="dxa"/>
          </w:tcPr>
          <w:p w14:paraId="379A188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1009" w:type="dxa"/>
          </w:tcPr>
          <w:p w14:paraId="2DAC5C2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3.41</w:t>
            </w:r>
          </w:p>
        </w:tc>
        <w:tc>
          <w:tcPr>
            <w:tcW w:w="1255" w:type="dxa"/>
          </w:tcPr>
          <w:p w14:paraId="4857D48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21</w:t>
            </w:r>
          </w:p>
        </w:tc>
      </w:tr>
      <w:tr w:rsidR="007B7129" w:rsidRPr="007B7129" w14:paraId="34AF6CA2" w14:textId="77777777" w:rsidTr="00562397">
        <w:tc>
          <w:tcPr>
            <w:tcW w:w="752" w:type="dxa"/>
          </w:tcPr>
          <w:p w14:paraId="0AD5CFB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7</w:t>
            </w:r>
          </w:p>
        </w:tc>
        <w:tc>
          <w:tcPr>
            <w:tcW w:w="870" w:type="dxa"/>
          </w:tcPr>
          <w:p w14:paraId="478E0AB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3.32</w:t>
            </w:r>
          </w:p>
        </w:tc>
        <w:tc>
          <w:tcPr>
            <w:tcW w:w="1523" w:type="dxa"/>
          </w:tcPr>
          <w:p w14:paraId="2F3E4F59"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HCl</w:t>
            </w:r>
            <w:r w:rsidRPr="007B7129">
              <w:rPr>
                <w:rFonts w:cs="Times New Roman"/>
                <w:bCs/>
                <w:color w:val="000000"/>
                <w:szCs w:val="24"/>
                <w:shd w:val="clear" w:color="auto" w:fill="FFFFFF"/>
                <w:vertAlign w:val="superscript"/>
              </w:rPr>
              <w:t>c</w:t>
            </w:r>
            <w:proofErr w:type="spellEnd"/>
          </w:p>
        </w:tc>
        <w:tc>
          <w:tcPr>
            <w:tcW w:w="1350" w:type="dxa"/>
          </w:tcPr>
          <w:p w14:paraId="0476D1A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MeOH</w:t>
            </w:r>
          </w:p>
        </w:tc>
        <w:tc>
          <w:tcPr>
            <w:tcW w:w="1350" w:type="dxa"/>
          </w:tcPr>
          <w:p w14:paraId="5D553EE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c>
          <w:tcPr>
            <w:tcW w:w="1241" w:type="dxa"/>
          </w:tcPr>
          <w:p w14:paraId="2A5B9C0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 – 23</w:t>
            </w:r>
          </w:p>
        </w:tc>
        <w:tc>
          <w:tcPr>
            <w:tcW w:w="1009" w:type="dxa"/>
          </w:tcPr>
          <w:p w14:paraId="177CBC0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3.41</w:t>
            </w:r>
          </w:p>
        </w:tc>
        <w:tc>
          <w:tcPr>
            <w:tcW w:w="1255" w:type="dxa"/>
          </w:tcPr>
          <w:p w14:paraId="27459D4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74</w:t>
            </w:r>
          </w:p>
        </w:tc>
      </w:tr>
    </w:tbl>
    <w:p w14:paraId="48E75366" w14:textId="77777777" w:rsidR="007B7129" w:rsidRPr="007B7129" w:rsidRDefault="007B7129" w:rsidP="007B7129">
      <w:pPr>
        <w:spacing w:after="0" w:line="240" w:lineRule="auto"/>
        <w:rPr>
          <w:rFonts w:cs="Times New Roman"/>
          <w:szCs w:val="24"/>
        </w:rPr>
      </w:pPr>
      <w:r w:rsidRPr="007B7129">
        <w:rPr>
          <w:rFonts w:cs="Times New Roman"/>
          <w:szCs w:val="24"/>
        </w:rPr>
        <w:t>CM = complex mixture. NR = no reaction. One = one product formed. MS = molecular sieves.</w:t>
      </w:r>
    </w:p>
    <w:p w14:paraId="6D775402" w14:textId="77777777" w:rsidR="007B7129" w:rsidRPr="007B7129" w:rsidRDefault="007B7129" w:rsidP="007B7129">
      <w:pPr>
        <w:spacing w:after="0" w:line="240" w:lineRule="auto"/>
        <w:rPr>
          <w:rFonts w:cs="Times New Roman"/>
          <w:szCs w:val="24"/>
        </w:rPr>
      </w:pPr>
      <w:proofErr w:type="spellStart"/>
      <w:proofErr w:type="gramStart"/>
      <w:r w:rsidRPr="007B7129">
        <w:rPr>
          <w:rFonts w:cs="Times New Roman"/>
          <w:szCs w:val="24"/>
          <w:vertAlign w:val="superscript"/>
        </w:rPr>
        <w:t>a</w:t>
      </w:r>
      <w:proofErr w:type="spellEnd"/>
      <w:proofErr w:type="gramEnd"/>
      <w:r w:rsidRPr="007B7129">
        <w:rPr>
          <w:rFonts w:cs="Times New Roman"/>
          <w:szCs w:val="24"/>
          <w:vertAlign w:val="superscript"/>
        </w:rPr>
        <w:t xml:space="preserve"> </w:t>
      </w:r>
      <w:r w:rsidRPr="007B7129">
        <w:rPr>
          <w:rFonts w:cs="Times New Roman"/>
          <w:szCs w:val="24"/>
        </w:rPr>
        <w:t>Isolated yield after column chromatography.</w:t>
      </w:r>
    </w:p>
    <w:p w14:paraId="15DEB668" w14:textId="77777777" w:rsidR="007B7129" w:rsidRPr="007B7129" w:rsidRDefault="007B7129" w:rsidP="007B7129">
      <w:pPr>
        <w:spacing w:after="0" w:line="240" w:lineRule="auto"/>
        <w:rPr>
          <w:rFonts w:cs="Times New Roman"/>
          <w:szCs w:val="24"/>
        </w:rPr>
      </w:pPr>
      <w:r w:rsidRPr="007B7129">
        <w:rPr>
          <w:rFonts w:cs="Times New Roman"/>
          <w:szCs w:val="24"/>
          <w:vertAlign w:val="superscript"/>
        </w:rPr>
        <w:t xml:space="preserve">b </w:t>
      </w:r>
      <w:r w:rsidRPr="007B7129">
        <w:rPr>
          <w:rFonts w:cs="Times New Roman"/>
          <w:szCs w:val="24"/>
        </w:rPr>
        <w:t>Qualitative</w:t>
      </w:r>
      <w:r w:rsidRPr="007B7129">
        <w:rPr>
          <w:rFonts w:cs="Times New Roman"/>
          <w:szCs w:val="24"/>
          <w:vertAlign w:val="superscript"/>
        </w:rPr>
        <w:t xml:space="preserve"> </w:t>
      </w:r>
      <w:r w:rsidRPr="007B7129">
        <w:rPr>
          <w:rFonts w:cs="Times New Roman"/>
          <w:szCs w:val="24"/>
        </w:rPr>
        <w:t>result based on TLC.</w:t>
      </w:r>
    </w:p>
    <w:p w14:paraId="1C0879FE" w14:textId="77777777" w:rsidR="007B7129" w:rsidRPr="007B7129" w:rsidRDefault="007B7129" w:rsidP="007B7129">
      <w:pPr>
        <w:spacing w:line="240" w:lineRule="auto"/>
        <w:rPr>
          <w:rFonts w:cs="Times New Roman"/>
          <w:szCs w:val="24"/>
        </w:rPr>
      </w:pPr>
      <w:r w:rsidRPr="007B7129">
        <w:rPr>
          <w:rFonts w:cs="Times New Roman"/>
          <w:szCs w:val="24"/>
          <w:vertAlign w:val="superscript"/>
        </w:rPr>
        <w:t xml:space="preserve">c </w:t>
      </w:r>
      <w:r w:rsidRPr="007B7129">
        <w:rPr>
          <w:rFonts w:cs="Times New Roman"/>
          <w:szCs w:val="24"/>
        </w:rPr>
        <w:t xml:space="preserve">Hydrochloric acid as anhydrous solution in methanol. </w:t>
      </w:r>
    </w:p>
    <w:p w14:paraId="0C3CC052" w14:textId="77777777" w:rsidR="007B7129" w:rsidRPr="007B7129" w:rsidRDefault="007B7129" w:rsidP="007B7129">
      <w:pPr>
        <w:spacing w:after="0"/>
        <w:rPr>
          <w:rFonts w:cs="Times New Roman"/>
          <w:szCs w:val="24"/>
        </w:rPr>
      </w:pPr>
      <w:r w:rsidRPr="007B7129">
        <w:rPr>
          <w:rFonts w:cs="Times New Roman"/>
          <w:szCs w:val="24"/>
        </w:rPr>
        <w:tab/>
      </w:r>
    </w:p>
    <w:p w14:paraId="11AAC25D" w14:textId="31C14661" w:rsidR="007B7129" w:rsidRPr="007B7129" w:rsidRDefault="007B7129" w:rsidP="007B7129">
      <w:pPr>
        <w:spacing w:after="0"/>
        <w:rPr>
          <w:rFonts w:cs="Times New Roman"/>
          <w:szCs w:val="24"/>
        </w:rPr>
      </w:pPr>
      <w:r w:rsidRPr="007B7129">
        <w:rPr>
          <w:rFonts w:cs="Times New Roman"/>
          <w:szCs w:val="24"/>
        </w:rPr>
        <w:tab/>
        <w:t xml:space="preserve">The formation of compound </w:t>
      </w:r>
      <w:r w:rsidRPr="007B7129">
        <w:rPr>
          <w:b/>
          <w:bCs/>
        </w:rPr>
        <w:t>3.</w:t>
      </w:r>
      <w:r w:rsidRPr="007B7129">
        <w:rPr>
          <w:rFonts w:cs="Times New Roman"/>
          <w:b/>
          <w:bCs/>
          <w:szCs w:val="24"/>
        </w:rPr>
        <w:t>41</w:t>
      </w:r>
      <w:r w:rsidRPr="007B7129">
        <w:rPr>
          <w:rFonts w:cs="Times New Roman"/>
          <w:szCs w:val="24"/>
        </w:rPr>
        <w:t xml:space="preserve"> is predicted to arise by the mechanism proposed in </w:t>
      </w:r>
      <w:r w:rsidRPr="007B7129">
        <w:rPr>
          <w:rFonts w:cs="Times New Roman"/>
          <w:b/>
          <w:bCs/>
          <w:szCs w:val="24"/>
        </w:rPr>
        <w:fldChar w:fldCharType="begin"/>
      </w:r>
      <w:r w:rsidRPr="007B7129">
        <w:rPr>
          <w:rFonts w:cs="Times New Roman"/>
          <w:b/>
          <w:bCs/>
          <w:szCs w:val="24"/>
        </w:rPr>
        <w:instrText xml:space="preserve"> REF _Ref89119248 \h  \* MERGEFORMAT </w:instrText>
      </w:r>
      <w:r w:rsidRPr="007B7129">
        <w:rPr>
          <w:rFonts w:cs="Times New Roman"/>
          <w:b/>
          <w:bCs/>
          <w:szCs w:val="24"/>
        </w:rPr>
      </w:r>
      <w:r w:rsidRPr="007B7129">
        <w:rPr>
          <w:rFonts w:cs="Times New Roman"/>
          <w:b/>
          <w:bCs/>
          <w:szCs w:val="24"/>
        </w:rPr>
        <w:fldChar w:fldCharType="separate"/>
      </w:r>
      <w:r w:rsidR="00AA5AAC" w:rsidRPr="00AA5AAC">
        <w:rPr>
          <w:b/>
          <w:bCs/>
        </w:rPr>
        <w:t xml:space="preserve">Scheme </w:t>
      </w:r>
      <w:r w:rsidR="00AA5AAC" w:rsidRPr="00AA5AAC">
        <w:rPr>
          <w:b/>
          <w:bCs/>
          <w:noProof/>
        </w:rPr>
        <w:t>3.</w:t>
      </w:r>
      <w:r w:rsidRPr="007B7129">
        <w:rPr>
          <w:rFonts w:cs="Times New Roman"/>
          <w:b/>
          <w:bCs/>
          <w:szCs w:val="24"/>
        </w:rPr>
        <w:fldChar w:fldCharType="end"/>
      </w:r>
      <w:r w:rsidRPr="007B7129">
        <w:rPr>
          <w:rFonts w:cs="Times New Roman"/>
          <w:szCs w:val="24"/>
        </w:rPr>
        <w:t>. Based on the accepted mechanism of the PSR,</w:t>
      </w:r>
      <w:r w:rsidRPr="007B7129">
        <w:rPr>
          <w:rFonts w:cs="Times New Roman"/>
          <w:szCs w:val="24"/>
        </w:rPr>
        <w:fldChar w:fldCharType="begin"/>
      </w:r>
      <w:r w:rsidRPr="007B7129">
        <w:rPr>
          <w:rFonts w:cs="Times New Roman"/>
          <w:szCs w:val="24"/>
        </w:rPr>
        <w:instrText xml:space="preserve"> ADDIN ZOTERO_ITEM CSL_CITATION {"citationID":"nzPmVaUp","properties":{"formattedCitation":"\\super 75\\nosupersub{}","plainCitation":"75","noteIndex":0},"citationItems":[{"id":477,"uris":["http://zotero.org/users/6503767/items/F683IXQS"],"itemData":{"id":477,"type":"chapter","abstract":"The Pictet-Spengler reaction, in its simplest form, consists in the condensation of a beta-arylethylamine with a carbonyl compound to yield a tetrahydroisoquinolone and is a special example of the Mannich reaction. The condensation of phenethylamine with methylal in concentrated hydrochloric acid to form 1,2,3,4-tetrahydroisoquinoline was achieved in 1911 by Pictet and Spengler. Their reaction has been applied to the synthesis of other ring systems. The theory that proteins are the parent substances of alkaloids was tested by Pictet, who heated casein with methylal and hydrochloric acid, obtaining a mixture of pyridine and isoquinoline bases. Most of the products were not definitely identified.","container-title":"Organic Reactions","ISBN":"978-0-471-26418-7","language":"en","note":"section: 3\n_eprint: https://onlinelibrary.wiley.com/doi/pdf/10.1002/0471264180.or006.03\nDOI: 10.1002/0471264180.or006.03","page":"151-190","publisher":"John Wiley &amp; Sons, Ltd","source":"Wiley Online Library","title":"The Pictet-Spengler Synthesis of Tetrahydroisoquinolines and Related Compounds","URL":"http://onlinelibrary.wiley.com/doi/abs/10.1002/0471264180.or006.03","author":[{"family":"Whaley","given":"Wilson M."},{"family":"Govindachari","given":"Tuticorin R."}],"accessed":{"date-parts":[["2022",2,17]]},"issued":{"date-parts":[["2011"]]}}}],"schema":"https://github.com/citation-style-language/schema/raw/master/csl-citation.json"}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75</w:t>
      </w:r>
      <w:r w:rsidRPr="007B7129">
        <w:rPr>
          <w:rFonts w:cs="Times New Roman"/>
          <w:szCs w:val="24"/>
        </w:rPr>
        <w:fldChar w:fldCharType="end"/>
      </w:r>
      <w:r w:rsidRPr="007B7129">
        <w:rPr>
          <w:rFonts w:cs="Times New Roman"/>
          <w:szCs w:val="24"/>
        </w:rPr>
        <w:t xml:space="preserve"> this reaction is surmised to first form the desired THBC </w:t>
      </w:r>
      <w:r w:rsidRPr="007B7129">
        <w:rPr>
          <w:b/>
          <w:bCs/>
        </w:rPr>
        <w:t>3.</w:t>
      </w:r>
      <w:r w:rsidRPr="007B7129">
        <w:rPr>
          <w:rFonts w:cs="Times New Roman"/>
          <w:b/>
          <w:bCs/>
          <w:szCs w:val="24"/>
        </w:rPr>
        <w:t>39</w:t>
      </w:r>
      <w:r w:rsidRPr="007B7129">
        <w:rPr>
          <w:rFonts w:cs="Times New Roman"/>
          <w:szCs w:val="24"/>
        </w:rPr>
        <w:t xml:space="preserve">. This product, however, contains a ketone that is likely protonated within the acidic solution and readily attacked by the secondary amine of the THBC to form the </w:t>
      </w:r>
      <w:proofErr w:type="spellStart"/>
      <w:r w:rsidRPr="007B7129">
        <w:rPr>
          <w:rFonts w:cs="Times New Roman"/>
          <w:szCs w:val="24"/>
        </w:rPr>
        <w:t>indoloquinolizine</w:t>
      </w:r>
      <w:proofErr w:type="spellEnd"/>
      <w:r w:rsidRPr="007B7129">
        <w:rPr>
          <w:rFonts w:cs="Times New Roman"/>
          <w:szCs w:val="24"/>
        </w:rPr>
        <w:t xml:space="preserve"> ring system (</w:t>
      </w:r>
      <w:r w:rsidRPr="007B7129">
        <w:rPr>
          <w:rFonts w:cs="Times New Roman"/>
          <w:b/>
          <w:bCs/>
          <w:szCs w:val="24"/>
        </w:rPr>
        <w:fldChar w:fldCharType="begin"/>
      </w:r>
      <w:r w:rsidRPr="007B7129">
        <w:rPr>
          <w:rFonts w:cs="Times New Roman"/>
          <w:b/>
          <w:bCs/>
          <w:szCs w:val="24"/>
        </w:rPr>
        <w:instrText xml:space="preserve"> REF _Ref89119248 \h  \* MERGEFORMAT </w:instrText>
      </w:r>
      <w:r w:rsidRPr="007B7129">
        <w:rPr>
          <w:rFonts w:cs="Times New Roman"/>
          <w:b/>
          <w:bCs/>
          <w:szCs w:val="24"/>
        </w:rPr>
      </w:r>
      <w:r w:rsidRPr="007B7129">
        <w:rPr>
          <w:rFonts w:cs="Times New Roman"/>
          <w:b/>
          <w:bCs/>
          <w:szCs w:val="24"/>
        </w:rPr>
        <w:fldChar w:fldCharType="separate"/>
      </w:r>
      <w:r w:rsidR="00AA5AAC" w:rsidRPr="00AA5AAC">
        <w:rPr>
          <w:b/>
          <w:bCs/>
        </w:rPr>
        <w:t xml:space="preserve">Scheme </w:t>
      </w:r>
      <w:r w:rsidR="00AA5AAC" w:rsidRPr="00AA5AAC">
        <w:rPr>
          <w:b/>
          <w:bCs/>
          <w:noProof/>
        </w:rPr>
        <w:t>3.</w:t>
      </w:r>
      <w:r w:rsidRPr="007B7129">
        <w:rPr>
          <w:rFonts w:cs="Times New Roman"/>
          <w:b/>
          <w:bCs/>
          <w:szCs w:val="24"/>
        </w:rPr>
        <w:fldChar w:fldCharType="end"/>
      </w:r>
      <w:r w:rsidRPr="007B7129">
        <w:rPr>
          <w:rFonts w:cs="Times New Roman"/>
          <w:szCs w:val="24"/>
        </w:rPr>
        <w:t xml:space="preserve">). This novel, metal-free acid-catalyzed Pictet-Spengler enamine cyclization cascade sequence serendipitously provides efficient access to </w:t>
      </w:r>
      <w:proofErr w:type="spellStart"/>
      <w:r w:rsidRPr="007B7129">
        <w:rPr>
          <w:rFonts w:cs="Times New Roman"/>
          <w:szCs w:val="24"/>
        </w:rPr>
        <w:t>indoloquinolizine</w:t>
      </w:r>
      <w:proofErr w:type="spellEnd"/>
      <w:r w:rsidRPr="007B7129">
        <w:rPr>
          <w:rFonts w:cs="Times New Roman"/>
          <w:szCs w:val="24"/>
        </w:rPr>
        <w:t xml:space="preserve"> heterocycles, a common building block in several natural products and pharmaceuticals (see </w:t>
      </w:r>
      <w:r w:rsidRPr="007B7129">
        <w:rPr>
          <w:rFonts w:cs="Times New Roman"/>
          <w:b/>
          <w:bCs/>
          <w:szCs w:val="24"/>
        </w:rPr>
        <w:t>Section 3.5.2</w:t>
      </w:r>
      <w:r w:rsidRPr="007B7129">
        <w:rPr>
          <w:rFonts w:cs="Times New Roman"/>
          <w:szCs w:val="24"/>
        </w:rPr>
        <w:t xml:space="preserve"> for more details about </w:t>
      </w:r>
      <w:proofErr w:type="spellStart"/>
      <w:r w:rsidRPr="007B7129">
        <w:rPr>
          <w:rFonts w:cs="Times New Roman"/>
          <w:szCs w:val="24"/>
        </w:rPr>
        <w:t>indoloquinolizines</w:t>
      </w:r>
      <w:proofErr w:type="spellEnd"/>
      <w:r w:rsidRPr="007B7129">
        <w:rPr>
          <w:rFonts w:cs="Times New Roman"/>
          <w:szCs w:val="24"/>
        </w:rPr>
        <w:t xml:space="preserve">). </w:t>
      </w:r>
    </w:p>
    <w:p w14:paraId="5EEF2294" w14:textId="77777777" w:rsidR="007B7129" w:rsidRPr="007B7129" w:rsidRDefault="007B7129" w:rsidP="007B7129">
      <w:pPr>
        <w:spacing w:after="0"/>
        <w:rPr>
          <w:rFonts w:cs="Times New Roman"/>
          <w:szCs w:val="24"/>
        </w:rPr>
      </w:pPr>
      <w:r w:rsidRPr="007B7129">
        <w:rPr>
          <w:rFonts w:cs="Times New Roman"/>
          <w:noProof/>
          <w:szCs w:val="24"/>
        </w:rPr>
        <w:lastRenderedPageBreak/>
        <mc:AlternateContent>
          <mc:Choice Requires="wps">
            <w:drawing>
              <wp:inline distT="0" distB="0" distL="0" distR="0" wp14:anchorId="556B5768" wp14:editId="120512B7">
                <wp:extent cx="5943600" cy="5486400"/>
                <wp:effectExtent l="0" t="0" r="19050" b="19050"/>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486400"/>
                        </a:xfrm>
                        <a:prstGeom prst="rect">
                          <a:avLst/>
                        </a:prstGeom>
                        <a:solidFill>
                          <a:srgbClr val="FFFFFF"/>
                        </a:solidFill>
                        <a:ln w="9525">
                          <a:solidFill>
                            <a:srgbClr val="000000"/>
                          </a:solidFill>
                          <a:miter lim="800000"/>
                          <a:headEnd/>
                          <a:tailEnd/>
                        </a:ln>
                      </wps:spPr>
                      <wps:txbx>
                        <w:txbxContent>
                          <w:p w14:paraId="1DDA4172" w14:textId="77777777" w:rsidR="007B7129" w:rsidRDefault="007B7129" w:rsidP="007B7129">
                            <w:pPr>
                              <w:keepNext/>
                              <w:spacing w:after="0"/>
                              <w:jc w:val="center"/>
                            </w:pPr>
                            <w:r>
                              <w:object w:dxaOrig="8102" w:dyaOrig="7159" w14:anchorId="1A8FE894">
                                <v:shape id="_x0000_i1104" type="#_x0000_t75" style="width:403.95pt;height:356.75pt">
                                  <v:imagedata r:id="rId295" o:title=""/>
                                </v:shape>
                                <o:OLEObject Type="Embed" ProgID="ChemDraw.Document.6.0" ShapeID="_x0000_i1104" DrawAspect="Content" ObjectID="_1713353509" r:id="rId296"/>
                              </w:object>
                            </w:r>
                          </w:p>
                          <w:p w14:paraId="590D776C" w14:textId="65F5F96D" w:rsidR="007B7129" w:rsidRDefault="007B7129" w:rsidP="00DF51F5">
                            <w:pPr>
                              <w:pStyle w:val="Caption"/>
                            </w:pPr>
                            <w:bookmarkStart w:id="332" w:name="_Ref89119248"/>
                            <w:r>
                              <w:t>Scheme 3.</w:t>
                            </w:r>
                            <w:bookmarkEnd w:id="332"/>
                            <w:r w:rsidR="009A5AC9">
                              <w:t>12</w:t>
                            </w:r>
                            <w:r>
                              <w:t xml:space="preserve">. Unexpected fate of THBC 3.39 and proposed mechanism for the formation of the </w:t>
                            </w:r>
                            <w:proofErr w:type="spellStart"/>
                            <w:r>
                              <w:t>indoloquinolizine</w:t>
                            </w:r>
                            <w:proofErr w:type="spellEnd"/>
                            <w:r>
                              <w:t xml:space="preserve"> heterocycle. </w:t>
                            </w:r>
                          </w:p>
                          <w:p w14:paraId="74AB4F3C" w14:textId="77777777" w:rsidR="007B7129" w:rsidRPr="00965F3A" w:rsidRDefault="007B7129" w:rsidP="007B7129">
                            <w:r>
                              <w:t xml:space="preserve">Reagents and conditions: (a) anhydrous HCl in MeOH, 0 – 23 </w:t>
                            </w:r>
                            <w:r>
                              <w:rPr>
                                <w:rFonts w:cs="Times New Roman"/>
                              </w:rPr>
                              <w:t>̊</w:t>
                            </w:r>
                            <w:r>
                              <w:t>C.</w:t>
                            </w:r>
                          </w:p>
                        </w:txbxContent>
                      </wps:txbx>
                      <wps:bodyPr rot="0" vert="horz" wrap="square" lIns="91440" tIns="45720" rIns="91440" bIns="45720" anchor="t" anchorCtr="0">
                        <a:noAutofit/>
                      </wps:bodyPr>
                    </wps:wsp>
                  </a:graphicData>
                </a:graphic>
              </wp:inline>
            </w:drawing>
          </mc:Choice>
          <mc:Fallback>
            <w:pict>
              <v:shape w14:anchorId="556B5768" id="_x0000_s1094" type="#_x0000_t202" style="width:468pt;height:6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">
                <v:textbox>
                  <w:txbxContent>
                    <w:p w14:paraId="1DDA4172" w14:textId="77777777" w:rsidR="007B7129" w:rsidRDefault="007B7129" w:rsidP="007B7129">
                      <w:pPr>
                        <w:keepNext/>
                        <w:spacing w:after="0"/>
                        <w:jc w:val="center"/>
                      </w:pPr>
                      <w:r>
                        <w:object w:dxaOrig="8102" w:dyaOrig="7159" w14:anchorId="1A8FE894">
                          <v:shape id="_x0000_i1104" type="#_x0000_t75" style="width:403.95pt;height:356.75pt">
                            <v:imagedata r:id="rId295" o:title=""/>
                          </v:shape>
                          <o:OLEObject Type="Embed" ProgID="ChemDraw.Document.6.0" ShapeID="_x0000_i1104" DrawAspect="Content" ObjectID="_1713353509" r:id="rId297"/>
                        </w:object>
                      </w:r>
                    </w:p>
                    <w:p w14:paraId="590D776C" w14:textId="65F5F96D" w:rsidR="007B7129" w:rsidRDefault="007B7129" w:rsidP="00DF51F5">
                      <w:pPr>
                        <w:pStyle w:val="Caption"/>
                      </w:pPr>
                      <w:bookmarkStart w:id="333" w:name="_Ref89119248"/>
                      <w:r>
                        <w:t>Scheme 3.</w:t>
                      </w:r>
                      <w:bookmarkEnd w:id="333"/>
                      <w:r w:rsidR="009A5AC9">
                        <w:t>12</w:t>
                      </w:r>
                      <w:r>
                        <w:t xml:space="preserve">. Unexpected fate of THBC 3.39 and proposed mechanism for the formation of the </w:t>
                      </w:r>
                      <w:proofErr w:type="spellStart"/>
                      <w:r>
                        <w:t>indoloquinolizine</w:t>
                      </w:r>
                      <w:proofErr w:type="spellEnd"/>
                      <w:r>
                        <w:t xml:space="preserve"> heterocycle. </w:t>
                      </w:r>
                    </w:p>
                    <w:p w14:paraId="74AB4F3C" w14:textId="77777777" w:rsidR="007B7129" w:rsidRPr="00965F3A" w:rsidRDefault="007B7129" w:rsidP="007B7129">
                      <w:r>
                        <w:t xml:space="preserve">Reagents and conditions: (a) anhydrous HCl in MeOH, 0 – 23 </w:t>
                      </w:r>
                      <w:r>
                        <w:rPr>
                          <w:rFonts w:cs="Times New Roman"/>
                        </w:rPr>
                        <w:t>̊</w:t>
                      </w:r>
                      <w:r>
                        <w:t>C.</w:t>
                      </w:r>
                    </w:p>
                  </w:txbxContent>
                </v:textbox>
                <w10:anchorlock/>
              </v:shape>
            </w:pict>
          </mc:Fallback>
        </mc:AlternateContent>
      </w:r>
    </w:p>
    <w:p w14:paraId="170E7BD5" w14:textId="77777777" w:rsidR="007B7129" w:rsidRPr="007B7129" w:rsidRDefault="007B7129" w:rsidP="00EC026C">
      <w:pPr>
        <w:pStyle w:val="Subsection"/>
      </w:pPr>
      <w:bookmarkStart w:id="334" w:name="_Toc97337858"/>
      <w:bookmarkStart w:id="335" w:name="_Toc100241913"/>
      <w:bookmarkStart w:id="336" w:name="_Toc102586277"/>
      <w:r w:rsidRPr="007B7129">
        <w:t>3.3.5 Exploring the enamine reactivity of compound 3.41.</w:t>
      </w:r>
      <w:bookmarkEnd w:id="334"/>
      <w:bookmarkEnd w:id="335"/>
      <w:bookmarkEnd w:id="336"/>
    </w:p>
    <w:p w14:paraId="21B15BB8" w14:textId="2B223C74" w:rsidR="007B7129" w:rsidRPr="007B7129" w:rsidRDefault="007B7129" w:rsidP="007B7129">
      <w:pPr>
        <w:spacing w:after="0"/>
        <w:ind w:firstLine="720"/>
      </w:pPr>
      <w:r w:rsidRPr="007B7129">
        <w:t xml:space="preserve">The elucidation of structure </w:t>
      </w:r>
      <w:r w:rsidRPr="007B7129">
        <w:rPr>
          <w:b/>
          <w:bCs/>
        </w:rPr>
        <w:t xml:space="preserve">3.41 </w:t>
      </w:r>
      <w:r w:rsidRPr="007B7129">
        <w:t xml:space="preserve">was perhaps serendipitous, since the enamine functional group provides a reactive synthetic handle, thus prompting the investigation of enamine functionalization reactions. Specifically, oxidation, reduction, bromination, and hydrolysis reactions with compound </w:t>
      </w:r>
      <w:r w:rsidRPr="007B7129">
        <w:rPr>
          <w:b/>
          <w:bCs/>
        </w:rPr>
        <w:t>3.41</w:t>
      </w:r>
      <w:r w:rsidRPr="007B7129">
        <w:t xml:space="preserve"> were investigated (</w:t>
      </w:r>
      <w:r w:rsidRPr="007B7129">
        <w:rPr>
          <w:b/>
          <w:bCs/>
        </w:rPr>
        <w:fldChar w:fldCharType="begin"/>
      </w:r>
      <w:r w:rsidRPr="007B7129">
        <w:rPr>
          <w:b/>
          <w:bCs/>
        </w:rPr>
        <w:instrText xml:space="preserve"> REF _Ref89122301 \h  \* MERGEFORMAT </w:instrText>
      </w:r>
      <w:r w:rsidRPr="007B7129">
        <w:rPr>
          <w:b/>
          <w:bCs/>
        </w:rPr>
      </w:r>
      <w:r w:rsidRPr="007B7129">
        <w:rPr>
          <w:b/>
          <w:bCs/>
        </w:rPr>
        <w:fldChar w:fldCharType="separate"/>
      </w:r>
      <w:r w:rsidR="00AA5AAC" w:rsidRPr="00AA5AAC">
        <w:rPr>
          <w:b/>
          <w:bCs/>
        </w:rPr>
        <w:t xml:space="preserve">Table </w:t>
      </w:r>
      <w:r w:rsidR="00AA5AAC" w:rsidRPr="00AA5AAC">
        <w:rPr>
          <w:b/>
          <w:bCs/>
          <w:noProof/>
        </w:rPr>
        <w:t>3.7</w:t>
      </w:r>
      <w:r w:rsidRPr="007B7129">
        <w:rPr>
          <w:b/>
          <w:bCs/>
        </w:rPr>
        <w:fldChar w:fldCharType="end"/>
      </w:r>
      <w:r w:rsidRPr="007B7129">
        <w:t xml:space="preserve">). Bromination with NBS was unsuccessful, even with the presence of the radical initiator </w:t>
      </w:r>
      <w:proofErr w:type="spellStart"/>
      <w:r w:rsidRPr="007B7129">
        <w:t>azobisisobutyronitrile</w:t>
      </w:r>
      <w:proofErr w:type="spellEnd"/>
      <w:r w:rsidRPr="007B7129">
        <w:t xml:space="preserve"> (AIBN) (</w:t>
      </w:r>
      <w:r w:rsidRPr="007B7129">
        <w:rPr>
          <w:b/>
          <w:bCs/>
        </w:rPr>
        <w:fldChar w:fldCharType="begin"/>
      </w:r>
      <w:r w:rsidRPr="007B7129">
        <w:rPr>
          <w:b/>
          <w:bCs/>
        </w:rPr>
        <w:instrText xml:space="preserve"> REF _Ref89122301 \h  \* MERGEFORMAT </w:instrText>
      </w:r>
      <w:r w:rsidRPr="007B7129">
        <w:rPr>
          <w:b/>
          <w:bCs/>
        </w:rPr>
      </w:r>
      <w:r w:rsidRPr="007B7129">
        <w:rPr>
          <w:b/>
          <w:bCs/>
        </w:rPr>
        <w:fldChar w:fldCharType="separate"/>
      </w:r>
      <w:r w:rsidR="00AA5AAC" w:rsidRPr="00AA5AAC">
        <w:rPr>
          <w:b/>
          <w:bCs/>
        </w:rPr>
        <w:t xml:space="preserve">Table </w:t>
      </w:r>
      <w:r w:rsidR="00AA5AAC" w:rsidRPr="00AA5AAC">
        <w:rPr>
          <w:b/>
          <w:bCs/>
          <w:noProof/>
        </w:rPr>
        <w:t>3.7</w:t>
      </w:r>
      <w:r w:rsidRPr="007B7129">
        <w:rPr>
          <w:b/>
          <w:bCs/>
        </w:rPr>
        <w:fldChar w:fldCharType="end"/>
      </w:r>
      <w:r w:rsidRPr="007B7129">
        <w:t>, entries 5 and 6). Sodium borohydride (NaBH</w:t>
      </w:r>
      <w:r w:rsidRPr="007B7129">
        <w:rPr>
          <w:vertAlign w:val="subscript"/>
        </w:rPr>
        <w:t>4</w:t>
      </w:r>
      <w:r w:rsidRPr="007B7129">
        <w:t xml:space="preserve">) was employed in attempts to reduce the </w:t>
      </w:r>
      <w:r w:rsidRPr="007B7129">
        <w:lastRenderedPageBreak/>
        <w:t>enamine double bond (</w:t>
      </w:r>
      <w:r w:rsidRPr="007B7129">
        <w:rPr>
          <w:b/>
          <w:bCs/>
        </w:rPr>
        <w:fldChar w:fldCharType="begin"/>
      </w:r>
      <w:r w:rsidRPr="007B7129">
        <w:rPr>
          <w:b/>
          <w:bCs/>
        </w:rPr>
        <w:instrText xml:space="preserve"> REF _Ref89122301 \h  \* MERGEFORMAT </w:instrText>
      </w:r>
      <w:r w:rsidRPr="007B7129">
        <w:rPr>
          <w:b/>
          <w:bCs/>
        </w:rPr>
      </w:r>
      <w:r w:rsidRPr="007B7129">
        <w:rPr>
          <w:b/>
          <w:bCs/>
        </w:rPr>
        <w:fldChar w:fldCharType="separate"/>
      </w:r>
      <w:r w:rsidR="00AA5AAC" w:rsidRPr="00AA5AAC">
        <w:rPr>
          <w:b/>
          <w:bCs/>
        </w:rPr>
        <w:t xml:space="preserve">Table </w:t>
      </w:r>
      <w:r w:rsidR="00AA5AAC" w:rsidRPr="00AA5AAC">
        <w:rPr>
          <w:b/>
          <w:bCs/>
          <w:noProof/>
        </w:rPr>
        <w:t>3.7</w:t>
      </w:r>
      <w:r w:rsidRPr="007B7129">
        <w:rPr>
          <w:b/>
          <w:bCs/>
        </w:rPr>
        <w:fldChar w:fldCharType="end"/>
      </w:r>
      <w:r w:rsidRPr="007B7129">
        <w:t>, entry 8), but the resulting product mixture was too complex to pursue spectroscopic characterization. Stronger reducing agents such as lithium aluminum hydride (LAH)</w:t>
      </w:r>
      <w:r w:rsidRPr="007B7129">
        <w:fldChar w:fldCharType="begin"/>
      </w:r>
      <w:r w:rsidRPr="007B7129">
        <w:instrText xml:space="preserve"> ADDIN ZOTERO_ITEM CSL_CITATION {"citationID":"5dWTK2Ab","properties":{"formattedCitation":"\\super 76\\nosupersub{}","plainCitation":"76","noteIndex":0},"citationItems":[{"id":555,"uris":["http://zotero.org/users/6503767/items/FTU6DYYC"],"itemData":{"id":555,"type":"article-journal","container-title":"The Journal of Organic Chemistry","DOI":"10.1021/jo50015a017","ISSN":"0022-3263","issue":"9","journalAbbreviation":"J. Org. Chem.","note":"publisher: American Chemical Society","page":"1190-1200","source":"ACS Publications","title":"The Reduction of Acid Amides with Lithium Aluminum Hydride","volume":"18","author":[{"family":"Micovic","given":"Vukic"},{"family":"Mihailovic","given":"Mihailo"}],"issued":{"date-parts":[["1953",9,1]]}}}],"schema":"https://github.com/citation-style-language/schema/raw/master/csl-citation.json"} </w:instrText>
      </w:r>
      <w:r w:rsidRPr="007B7129">
        <w:fldChar w:fldCharType="separate"/>
      </w:r>
      <w:r w:rsidRPr="007B7129">
        <w:rPr>
          <w:rFonts w:cs="Times New Roman"/>
          <w:szCs w:val="24"/>
          <w:vertAlign w:val="superscript"/>
        </w:rPr>
        <w:t>76</w:t>
      </w:r>
      <w:r w:rsidRPr="007B7129">
        <w:fldChar w:fldCharType="end"/>
      </w:r>
      <w:r w:rsidRPr="007B7129">
        <w:t xml:space="preserve"> might be necessary to reduce the fully conjugated double bond of the enamine. This reaction was not pursued, however, because </w:t>
      </w:r>
      <w:r w:rsidRPr="007B7129">
        <w:rPr>
          <w:b/>
          <w:bCs/>
        </w:rPr>
        <w:t>3.41</w:t>
      </w:r>
      <w:r w:rsidRPr="007B7129">
        <w:t xml:space="preserve"> was more reactive under oxidation conditions and thus my focus shifted to the interrogation of oxidation chemistry. </w:t>
      </w:r>
    </w:p>
    <w:p w14:paraId="2C18644F" w14:textId="77777777" w:rsidR="007B7129" w:rsidRPr="007B7129" w:rsidRDefault="007B7129" w:rsidP="007B7129">
      <w:pPr>
        <w:spacing w:after="0"/>
        <w:rPr>
          <w:rFonts w:cs="Times New Roman"/>
          <w:szCs w:val="24"/>
        </w:rPr>
      </w:pPr>
    </w:p>
    <w:p w14:paraId="3ECCE299" w14:textId="428256D4" w:rsidR="007B7129" w:rsidRPr="007B7129" w:rsidRDefault="007B7129" w:rsidP="000624E1">
      <w:pPr>
        <w:spacing w:after="0" w:line="240" w:lineRule="auto"/>
        <w:rPr>
          <w:b/>
          <w:szCs w:val="18"/>
        </w:rPr>
      </w:pPr>
      <w:bookmarkStart w:id="337" w:name="_Ref89122301"/>
      <w:r w:rsidRPr="007B7129">
        <w:rPr>
          <w:b/>
          <w:szCs w:val="18"/>
        </w:rPr>
        <w:t>Table 3.</w:t>
      </w:r>
      <w:r w:rsidRPr="007B7129">
        <w:rPr>
          <w:b/>
          <w:szCs w:val="18"/>
        </w:rPr>
        <w:fldChar w:fldCharType="begin"/>
      </w:r>
      <w:r w:rsidRPr="007B7129">
        <w:rPr>
          <w:b/>
          <w:szCs w:val="18"/>
        </w:rPr>
        <w:instrText xml:space="preserve"> SEQ Table \* ARABIC </w:instrText>
      </w:r>
      <w:r w:rsidRPr="007B7129">
        <w:rPr>
          <w:b/>
          <w:szCs w:val="18"/>
        </w:rPr>
        <w:fldChar w:fldCharType="separate"/>
      </w:r>
      <w:r w:rsidR="00AA5AAC">
        <w:rPr>
          <w:b/>
          <w:noProof/>
          <w:szCs w:val="18"/>
        </w:rPr>
        <w:t>7</w:t>
      </w:r>
      <w:r w:rsidRPr="007B7129">
        <w:rPr>
          <w:b/>
          <w:noProof/>
          <w:szCs w:val="18"/>
        </w:rPr>
        <w:fldChar w:fldCharType="end"/>
      </w:r>
      <w:bookmarkEnd w:id="337"/>
      <w:r w:rsidRPr="007B7129">
        <w:rPr>
          <w:b/>
          <w:szCs w:val="18"/>
        </w:rPr>
        <w:t>. Reaction screen for the functionalization of enamine compound 3.41.</w:t>
      </w:r>
    </w:p>
    <w:tbl>
      <w:tblPr>
        <w:tblStyle w:val="TableGrid"/>
        <w:tblW w:w="0" w:type="auto"/>
        <w:tblLook w:val="04A0" w:firstRow="1" w:lastRow="0" w:firstColumn="1" w:lastColumn="0" w:noHBand="0" w:noVBand="1"/>
      </w:tblPr>
      <w:tblGrid>
        <w:gridCol w:w="750"/>
        <w:gridCol w:w="2215"/>
        <w:gridCol w:w="1728"/>
        <w:gridCol w:w="1551"/>
        <w:gridCol w:w="1554"/>
        <w:gridCol w:w="1552"/>
      </w:tblGrid>
      <w:tr w:rsidR="007B7129" w:rsidRPr="007B7129" w14:paraId="73839EC1" w14:textId="77777777" w:rsidTr="00562397">
        <w:trPr>
          <w:trHeight w:val="1673"/>
        </w:trPr>
        <w:tc>
          <w:tcPr>
            <w:tcW w:w="9350" w:type="dxa"/>
            <w:gridSpan w:val="6"/>
            <w:vAlign w:val="center"/>
          </w:tcPr>
          <w:p w14:paraId="551DCE63" w14:textId="77777777" w:rsidR="007B7129" w:rsidRPr="007B7129" w:rsidRDefault="007B7129" w:rsidP="007B7129">
            <w:pPr>
              <w:spacing w:line="240" w:lineRule="auto"/>
              <w:contextualSpacing/>
              <w:jc w:val="center"/>
              <w:rPr>
                <w:rFonts w:cs="Times New Roman"/>
                <w:b/>
                <w:color w:val="000000"/>
                <w:szCs w:val="24"/>
                <w:shd w:val="clear" w:color="auto" w:fill="FFFFFF"/>
              </w:rPr>
            </w:pPr>
            <w:r w:rsidRPr="007B7129">
              <w:rPr>
                <w:rFonts w:cs="Times New Roman"/>
                <w:b/>
                <w:color w:val="000000"/>
                <w:szCs w:val="24"/>
                <w:shd w:val="clear" w:color="auto" w:fill="FFFFFF"/>
              </w:rPr>
              <w:object w:dxaOrig="6775" w:dyaOrig="1581" w14:anchorId="4057F5F3">
                <v:shape id="_x0000_i1105" type="#_x0000_t75" style="width:339.9pt;height:79.5pt" o:ole="">
                  <v:imagedata r:id="rId298" o:title=""/>
                </v:shape>
                <o:OLEObject Type="Embed" ProgID="ChemDraw.Document.6.0" ShapeID="_x0000_i1105" DrawAspect="Content" ObjectID="_1713353461" r:id="rId299"/>
              </w:object>
            </w:r>
          </w:p>
        </w:tc>
      </w:tr>
      <w:tr w:rsidR="007B7129" w:rsidRPr="007B7129" w14:paraId="41678C03" w14:textId="77777777" w:rsidTr="00562397">
        <w:tc>
          <w:tcPr>
            <w:tcW w:w="750" w:type="dxa"/>
            <w:shd w:val="clear" w:color="auto" w:fill="E7E6E6" w:themeFill="background2"/>
          </w:tcPr>
          <w:p w14:paraId="1B6E367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Entry</w:t>
            </w:r>
          </w:p>
        </w:tc>
        <w:tc>
          <w:tcPr>
            <w:tcW w:w="2215" w:type="dxa"/>
            <w:shd w:val="clear" w:color="auto" w:fill="E7E6E6" w:themeFill="background2"/>
          </w:tcPr>
          <w:p w14:paraId="6E2B6F4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Reagent(s)</w:t>
            </w:r>
          </w:p>
        </w:tc>
        <w:tc>
          <w:tcPr>
            <w:tcW w:w="1728" w:type="dxa"/>
            <w:shd w:val="clear" w:color="auto" w:fill="E7E6E6" w:themeFill="background2"/>
          </w:tcPr>
          <w:p w14:paraId="1358FC0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Solvent</w:t>
            </w:r>
          </w:p>
        </w:tc>
        <w:tc>
          <w:tcPr>
            <w:tcW w:w="1551" w:type="dxa"/>
            <w:shd w:val="clear" w:color="auto" w:fill="E7E6E6" w:themeFill="background2"/>
          </w:tcPr>
          <w:p w14:paraId="57C8FDC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Temp (̊C)</w:t>
            </w:r>
          </w:p>
        </w:tc>
        <w:tc>
          <w:tcPr>
            <w:tcW w:w="1554" w:type="dxa"/>
            <w:shd w:val="clear" w:color="auto" w:fill="E7E6E6" w:themeFill="background2"/>
          </w:tcPr>
          <w:p w14:paraId="54BD348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Product</w:t>
            </w:r>
          </w:p>
        </w:tc>
        <w:tc>
          <w:tcPr>
            <w:tcW w:w="1552" w:type="dxa"/>
            <w:shd w:val="clear" w:color="auto" w:fill="E7E6E6" w:themeFill="background2"/>
          </w:tcPr>
          <w:p w14:paraId="799417F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Yield (</w:t>
            </w:r>
            <w:proofErr w:type="gramStart"/>
            <w:r w:rsidRPr="007B7129">
              <w:rPr>
                <w:rFonts w:cs="Times New Roman"/>
                <w:bCs/>
                <w:color w:val="000000"/>
                <w:szCs w:val="24"/>
                <w:shd w:val="clear" w:color="auto" w:fill="FFFFFF"/>
              </w:rPr>
              <w:t>%)</w:t>
            </w:r>
            <w:r w:rsidRPr="007B7129">
              <w:rPr>
                <w:rFonts w:cs="Times New Roman"/>
                <w:bCs/>
                <w:color w:val="000000"/>
                <w:szCs w:val="24"/>
                <w:shd w:val="clear" w:color="auto" w:fill="FFFFFF"/>
                <w:vertAlign w:val="superscript"/>
              </w:rPr>
              <w:t>a</w:t>
            </w:r>
            <w:proofErr w:type="gramEnd"/>
          </w:p>
        </w:tc>
      </w:tr>
      <w:tr w:rsidR="007B7129" w:rsidRPr="007B7129" w14:paraId="49ED3D7A" w14:textId="77777777" w:rsidTr="00562397">
        <w:tc>
          <w:tcPr>
            <w:tcW w:w="750" w:type="dxa"/>
          </w:tcPr>
          <w:p w14:paraId="3C73148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w:t>
            </w:r>
          </w:p>
        </w:tc>
        <w:tc>
          <w:tcPr>
            <w:tcW w:w="2215" w:type="dxa"/>
          </w:tcPr>
          <w:p w14:paraId="25E8275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HCl (aq.)</w:t>
            </w:r>
          </w:p>
        </w:tc>
        <w:tc>
          <w:tcPr>
            <w:tcW w:w="1728" w:type="dxa"/>
          </w:tcPr>
          <w:p w14:paraId="5638E37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MeOH</w:t>
            </w:r>
          </w:p>
        </w:tc>
        <w:tc>
          <w:tcPr>
            <w:tcW w:w="1551" w:type="dxa"/>
          </w:tcPr>
          <w:p w14:paraId="5F7BC11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1554" w:type="dxa"/>
          </w:tcPr>
          <w:p w14:paraId="29ABA6A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3.42</w:t>
            </w:r>
          </w:p>
        </w:tc>
        <w:tc>
          <w:tcPr>
            <w:tcW w:w="1552" w:type="dxa"/>
          </w:tcPr>
          <w:p w14:paraId="39248AC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ND</w:t>
            </w:r>
          </w:p>
        </w:tc>
      </w:tr>
      <w:tr w:rsidR="007B7129" w:rsidRPr="007B7129" w14:paraId="243DC1D2" w14:textId="77777777" w:rsidTr="00562397">
        <w:tc>
          <w:tcPr>
            <w:tcW w:w="750" w:type="dxa"/>
          </w:tcPr>
          <w:p w14:paraId="2D5C3FD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w:t>
            </w:r>
          </w:p>
        </w:tc>
        <w:tc>
          <w:tcPr>
            <w:tcW w:w="2215" w:type="dxa"/>
          </w:tcPr>
          <w:p w14:paraId="470A291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Et</w:t>
            </w:r>
            <w:r w:rsidRPr="007B7129">
              <w:rPr>
                <w:rFonts w:cs="Times New Roman"/>
                <w:bCs/>
                <w:color w:val="000000"/>
                <w:szCs w:val="24"/>
                <w:shd w:val="clear" w:color="auto" w:fill="FFFFFF"/>
                <w:vertAlign w:val="subscript"/>
              </w:rPr>
              <w:t>3</w:t>
            </w:r>
            <w:r w:rsidRPr="007B7129">
              <w:rPr>
                <w:rFonts w:cs="Times New Roman"/>
                <w:bCs/>
                <w:color w:val="000000"/>
                <w:szCs w:val="24"/>
                <w:shd w:val="clear" w:color="auto" w:fill="FFFFFF"/>
              </w:rPr>
              <w:t>N</w:t>
            </w:r>
          </w:p>
        </w:tc>
        <w:tc>
          <w:tcPr>
            <w:tcW w:w="1728" w:type="dxa"/>
          </w:tcPr>
          <w:p w14:paraId="6BD75F9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551" w:type="dxa"/>
          </w:tcPr>
          <w:p w14:paraId="407A6CC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1554" w:type="dxa"/>
          </w:tcPr>
          <w:p w14:paraId="33AC218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NR</w:t>
            </w:r>
          </w:p>
        </w:tc>
        <w:tc>
          <w:tcPr>
            <w:tcW w:w="1552" w:type="dxa"/>
          </w:tcPr>
          <w:p w14:paraId="6D8F0EF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5069F41D" w14:textId="77777777" w:rsidTr="00562397">
        <w:tc>
          <w:tcPr>
            <w:tcW w:w="750" w:type="dxa"/>
          </w:tcPr>
          <w:p w14:paraId="70414FA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w:t>
            </w:r>
          </w:p>
        </w:tc>
        <w:tc>
          <w:tcPr>
            <w:tcW w:w="2215" w:type="dxa"/>
          </w:tcPr>
          <w:p w14:paraId="1499CCF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NaOH (aq.)</w:t>
            </w:r>
          </w:p>
        </w:tc>
        <w:tc>
          <w:tcPr>
            <w:tcW w:w="1728" w:type="dxa"/>
          </w:tcPr>
          <w:p w14:paraId="6B5970D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MeOH</w:t>
            </w:r>
          </w:p>
        </w:tc>
        <w:tc>
          <w:tcPr>
            <w:tcW w:w="1551" w:type="dxa"/>
          </w:tcPr>
          <w:p w14:paraId="614B59D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1554" w:type="dxa"/>
          </w:tcPr>
          <w:p w14:paraId="22C1CC9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NR</w:t>
            </w:r>
          </w:p>
        </w:tc>
        <w:tc>
          <w:tcPr>
            <w:tcW w:w="1552" w:type="dxa"/>
          </w:tcPr>
          <w:p w14:paraId="7FD2ADF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06768599" w14:textId="77777777" w:rsidTr="00562397">
        <w:tc>
          <w:tcPr>
            <w:tcW w:w="750" w:type="dxa"/>
          </w:tcPr>
          <w:p w14:paraId="0BC6ECB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w:t>
            </w:r>
          </w:p>
        </w:tc>
        <w:tc>
          <w:tcPr>
            <w:tcW w:w="2215" w:type="dxa"/>
          </w:tcPr>
          <w:p w14:paraId="69738C01"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mCPBA</w:t>
            </w:r>
            <w:proofErr w:type="spellEnd"/>
          </w:p>
        </w:tc>
        <w:tc>
          <w:tcPr>
            <w:tcW w:w="1728" w:type="dxa"/>
          </w:tcPr>
          <w:p w14:paraId="10CF01A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551" w:type="dxa"/>
          </w:tcPr>
          <w:p w14:paraId="707FC7E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w:t>
            </w:r>
          </w:p>
        </w:tc>
        <w:tc>
          <w:tcPr>
            <w:tcW w:w="1554" w:type="dxa"/>
          </w:tcPr>
          <w:p w14:paraId="7124A70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3.43</w:t>
            </w:r>
          </w:p>
        </w:tc>
        <w:tc>
          <w:tcPr>
            <w:tcW w:w="1552" w:type="dxa"/>
          </w:tcPr>
          <w:p w14:paraId="2628CE1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7</w:t>
            </w:r>
          </w:p>
        </w:tc>
      </w:tr>
      <w:tr w:rsidR="007B7129" w:rsidRPr="007B7129" w14:paraId="7249A838" w14:textId="77777777" w:rsidTr="00562397">
        <w:tc>
          <w:tcPr>
            <w:tcW w:w="750" w:type="dxa"/>
          </w:tcPr>
          <w:p w14:paraId="0BEFF82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5</w:t>
            </w:r>
          </w:p>
        </w:tc>
        <w:tc>
          <w:tcPr>
            <w:tcW w:w="2215" w:type="dxa"/>
          </w:tcPr>
          <w:p w14:paraId="100ED0A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NBS</w:t>
            </w:r>
          </w:p>
        </w:tc>
        <w:tc>
          <w:tcPr>
            <w:tcW w:w="1728" w:type="dxa"/>
          </w:tcPr>
          <w:p w14:paraId="23672EC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551" w:type="dxa"/>
          </w:tcPr>
          <w:p w14:paraId="487B0E5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 – 40</w:t>
            </w:r>
          </w:p>
        </w:tc>
        <w:tc>
          <w:tcPr>
            <w:tcW w:w="1554" w:type="dxa"/>
          </w:tcPr>
          <w:p w14:paraId="33E11AD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NR</w:t>
            </w:r>
          </w:p>
        </w:tc>
        <w:tc>
          <w:tcPr>
            <w:tcW w:w="1552" w:type="dxa"/>
          </w:tcPr>
          <w:p w14:paraId="5DCF3C5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7F7F0BCC" w14:textId="77777777" w:rsidTr="00562397">
        <w:tc>
          <w:tcPr>
            <w:tcW w:w="750" w:type="dxa"/>
          </w:tcPr>
          <w:p w14:paraId="0EC7606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6</w:t>
            </w:r>
          </w:p>
        </w:tc>
        <w:tc>
          <w:tcPr>
            <w:tcW w:w="2215" w:type="dxa"/>
          </w:tcPr>
          <w:p w14:paraId="11CA5D8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NBS, AIBN</w:t>
            </w:r>
          </w:p>
        </w:tc>
        <w:tc>
          <w:tcPr>
            <w:tcW w:w="1728" w:type="dxa"/>
          </w:tcPr>
          <w:p w14:paraId="1B74006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551" w:type="dxa"/>
          </w:tcPr>
          <w:p w14:paraId="4C3F636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 – 40</w:t>
            </w:r>
          </w:p>
        </w:tc>
        <w:tc>
          <w:tcPr>
            <w:tcW w:w="1554" w:type="dxa"/>
          </w:tcPr>
          <w:p w14:paraId="36D4476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NR</w:t>
            </w:r>
          </w:p>
        </w:tc>
        <w:tc>
          <w:tcPr>
            <w:tcW w:w="1552" w:type="dxa"/>
          </w:tcPr>
          <w:p w14:paraId="08C4C32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r w:rsidR="007B7129" w:rsidRPr="007B7129" w14:paraId="410911DD" w14:textId="77777777" w:rsidTr="00562397">
        <w:tc>
          <w:tcPr>
            <w:tcW w:w="750" w:type="dxa"/>
          </w:tcPr>
          <w:p w14:paraId="47F49B80" w14:textId="77777777" w:rsidR="007B7129" w:rsidRPr="007B7129" w:rsidRDefault="007B7129" w:rsidP="007B7129">
            <w:pPr>
              <w:spacing w:line="240" w:lineRule="auto"/>
              <w:contextualSpacing/>
              <w:jc w:val="center"/>
              <w:rPr>
                <w:rFonts w:cs="Times New Roman"/>
                <w:bCs/>
                <w:color w:val="000000"/>
                <w:szCs w:val="24"/>
                <w:shd w:val="clear" w:color="auto" w:fill="FFFFFF"/>
              </w:rPr>
            </w:pPr>
            <w:bookmarkStart w:id="338" w:name="_Hlk89103112"/>
            <w:r w:rsidRPr="007B7129">
              <w:rPr>
                <w:rFonts w:cs="Times New Roman"/>
                <w:bCs/>
                <w:color w:val="000000"/>
                <w:szCs w:val="24"/>
                <w:shd w:val="clear" w:color="auto" w:fill="FFFFFF"/>
              </w:rPr>
              <w:t>7</w:t>
            </w:r>
          </w:p>
        </w:tc>
        <w:tc>
          <w:tcPr>
            <w:tcW w:w="2215" w:type="dxa"/>
          </w:tcPr>
          <w:p w14:paraId="0DFE6A3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DDQ</w:t>
            </w:r>
          </w:p>
        </w:tc>
        <w:tc>
          <w:tcPr>
            <w:tcW w:w="1728" w:type="dxa"/>
          </w:tcPr>
          <w:p w14:paraId="743DD5A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DCM</w:t>
            </w:r>
          </w:p>
        </w:tc>
        <w:tc>
          <w:tcPr>
            <w:tcW w:w="1551" w:type="dxa"/>
          </w:tcPr>
          <w:p w14:paraId="033B97A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23</w:t>
            </w:r>
          </w:p>
        </w:tc>
        <w:tc>
          <w:tcPr>
            <w:tcW w:w="1554" w:type="dxa"/>
          </w:tcPr>
          <w:p w14:paraId="2034DB7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3.44</w:t>
            </w:r>
          </w:p>
        </w:tc>
        <w:tc>
          <w:tcPr>
            <w:tcW w:w="1552" w:type="dxa"/>
          </w:tcPr>
          <w:p w14:paraId="26D47E9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37</w:t>
            </w:r>
          </w:p>
        </w:tc>
      </w:tr>
      <w:tr w:rsidR="007B7129" w:rsidRPr="007B7129" w14:paraId="00F110DA" w14:textId="77777777" w:rsidTr="00562397">
        <w:tc>
          <w:tcPr>
            <w:tcW w:w="750" w:type="dxa"/>
          </w:tcPr>
          <w:p w14:paraId="13FF2F2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8</w:t>
            </w:r>
          </w:p>
        </w:tc>
        <w:tc>
          <w:tcPr>
            <w:tcW w:w="2215" w:type="dxa"/>
          </w:tcPr>
          <w:p w14:paraId="3FC13CF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NaBH</w:t>
            </w:r>
            <w:r w:rsidRPr="007B7129">
              <w:rPr>
                <w:rFonts w:cs="Times New Roman"/>
                <w:bCs/>
                <w:color w:val="000000"/>
                <w:szCs w:val="24"/>
                <w:shd w:val="clear" w:color="auto" w:fill="FFFFFF"/>
                <w:vertAlign w:val="subscript"/>
              </w:rPr>
              <w:t>4</w:t>
            </w:r>
            <w:r w:rsidRPr="007B7129">
              <w:rPr>
                <w:rFonts w:cs="Times New Roman"/>
                <w:bCs/>
                <w:color w:val="000000"/>
                <w:szCs w:val="24"/>
                <w:shd w:val="clear" w:color="auto" w:fill="FFFFFF"/>
              </w:rPr>
              <w:t xml:space="preserve">, </w:t>
            </w:r>
            <w:proofErr w:type="spellStart"/>
            <w:r w:rsidRPr="007B7129">
              <w:rPr>
                <w:rFonts w:cs="Times New Roman"/>
                <w:bCs/>
                <w:color w:val="000000"/>
                <w:szCs w:val="24"/>
                <w:shd w:val="clear" w:color="auto" w:fill="FFFFFF"/>
              </w:rPr>
              <w:t>AcOH</w:t>
            </w:r>
            <w:proofErr w:type="spellEnd"/>
          </w:p>
        </w:tc>
        <w:tc>
          <w:tcPr>
            <w:tcW w:w="1728" w:type="dxa"/>
          </w:tcPr>
          <w:p w14:paraId="734CC05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THF</w:t>
            </w:r>
          </w:p>
        </w:tc>
        <w:tc>
          <w:tcPr>
            <w:tcW w:w="1551" w:type="dxa"/>
          </w:tcPr>
          <w:p w14:paraId="627BF06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0 – 23</w:t>
            </w:r>
          </w:p>
        </w:tc>
        <w:tc>
          <w:tcPr>
            <w:tcW w:w="1554" w:type="dxa"/>
          </w:tcPr>
          <w:p w14:paraId="47C2396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CM</w:t>
            </w:r>
          </w:p>
        </w:tc>
        <w:tc>
          <w:tcPr>
            <w:tcW w:w="1552" w:type="dxa"/>
          </w:tcPr>
          <w:p w14:paraId="012198D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r>
    </w:tbl>
    <w:bookmarkEnd w:id="338"/>
    <w:p w14:paraId="3B203D22" w14:textId="77777777" w:rsidR="007B7129" w:rsidRPr="007B7129" w:rsidRDefault="007B7129" w:rsidP="007B7129">
      <w:pPr>
        <w:spacing w:after="0" w:line="240" w:lineRule="auto"/>
        <w:rPr>
          <w:rFonts w:cs="Times New Roman"/>
          <w:szCs w:val="24"/>
        </w:rPr>
      </w:pPr>
      <w:r w:rsidRPr="007B7129">
        <w:rPr>
          <w:rFonts w:cs="Times New Roman"/>
          <w:szCs w:val="24"/>
        </w:rPr>
        <w:t xml:space="preserve">ND = no data. NR = no reaction, starting material unchanged. CM = Complex mixture. </w:t>
      </w:r>
    </w:p>
    <w:p w14:paraId="5ED620B2" w14:textId="77777777" w:rsidR="007B7129" w:rsidRPr="007B7129" w:rsidRDefault="007B7129" w:rsidP="007B7129">
      <w:pPr>
        <w:spacing w:line="240" w:lineRule="auto"/>
        <w:rPr>
          <w:rFonts w:cs="Times New Roman"/>
          <w:szCs w:val="24"/>
        </w:rPr>
      </w:pPr>
      <w:proofErr w:type="spellStart"/>
      <w:proofErr w:type="gramStart"/>
      <w:r w:rsidRPr="007B7129">
        <w:rPr>
          <w:rFonts w:cs="Times New Roman"/>
          <w:szCs w:val="24"/>
          <w:vertAlign w:val="superscript"/>
        </w:rPr>
        <w:t>a</w:t>
      </w:r>
      <w:proofErr w:type="spellEnd"/>
      <w:proofErr w:type="gramEnd"/>
      <w:r w:rsidRPr="007B7129">
        <w:rPr>
          <w:rFonts w:cs="Times New Roman"/>
          <w:szCs w:val="24"/>
          <w:vertAlign w:val="superscript"/>
        </w:rPr>
        <w:t xml:space="preserve"> </w:t>
      </w:r>
      <w:r w:rsidRPr="007B7129">
        <w:rPr>
          <w:rFonts w:cs="Times New Roman"/>
          <w:szCs w:val="24"/>
        </w:rPr>
        <w:t>Isolated yield after column chromatography.</w:t>
      </w:r>
    </w:p>
    <w:p w14:paraId="57B12800" w14:textId="77777777" w:rsidR="007B7129" w:rsidRPr="007B7129" w:rsidRDefault="007B7129" w:rsidP="007B7129">
      <w:pPr>
        <w:spacing w:line="240" w:lineRule="auto"/>
        <w:rPr>
          <w:rFonts w:cs="Times New Roman"/>
          <w:szCs w:val="24"/>
        </w:rPr>
      </w:pPr>
    </w:p>
    <w:p w14:paraId="425871F3" w14:textId="25465A2C" w:rsidR="007B7129" w:rsidRPr="007B7129" w:rsidRDefault="007B7129" w:rsidP="007B7129">
      <w:pPr>
        <w:spacing w:after="0"/>
        <w:ind w:firstLine="720"/>
      </w:pPr>
      <w:r w:rsidRPr="007B7129">
        <w:t xml:space="preserve">Treating </w:t>
      </w:r>
      <w:r w:rsidRPr="007B7129">
        <w:rPr>
          <w:b/>
          <w:bCs/>
        </w:rPr>
        <w:t>3.41</w:t>
      </w:r>
      <w:r w:rsidRPr="007B7129">
        <w:t xml:space="preserve"> with aqueous sodium hydroxide in attempts at base-promoted hydrolysis was unsuccessful, (</w:t>
      </w:r>
      <w:r w:rsidRPr="007B7129">
        <w:rPr>
          <w:b/>
          <w:bCs/>
        </w:rPr>
        <w:fldChar w:fldCharType="begin"/>
      </w:r>
      <w:r w:rsidRPr="007B7129">
        <w:rPr>
          <w:b/>
          <w:bCs/>
        </w:rPr>
        <w:instrText xml:space="preserve"> REF _Ref89122301 \h  \* MERGEFORMAT </w:instrText>
      </w:r>
      <w:r w:rsidRPr="007B7129">
        <w:rPr>
          <w:b/>
          <w:bCs/>
        </w:rPr>
      </w:r>
      <w:r w:rsidRPr="007B7129">
        <w:rPr>
          <w:b/>
          <w:bCs/>
        </w:rPr>
        <w:fldChar w:fldCharType="separate"/>
      </w:r>
      <w:r w:rsidR="00AA5AAC" w:rsidRPr="00AA5AAC">
        <w:rPr>
          <w:b/>
          <w:bCs/>
        </w:rPr>
        <w:t xml:space="preserve">Table </w:t>
      </w:r>
      <w:r w:rsidR="00AA5AAC" w:rsidRPr="00AA5AAC">
        <w:rPr>
          <w:b/>
          <w:bCs/>
          <w:noProof/>
        </w:rPr>
        <w:t>3.7</w:t>
      </w:r>
      <w:r w:rsidRPr="007B7129">
        <w:rPr>
          <w:b/>
          <w:bCs/>
        </w:rPr>
        <w:fldChar w:fldCharType="end"/>
      </w:r>
      <w:r w:rsidRPr="007B7129">
        <w:t>, entry 3). The organic base triethylamine under anhydrous conditions also resulted in no reaction (</w:t>
      </w:r>
      <w:r w:rsidRPr="007B7129">
        <w:rPr>
          <w:b/>
          <w:bCs/>
        </w:rPr>
        <w:fldChar w:fldCharType="begin"/>
      </w:r>
      <w:r w:rsidRPr="007B7129">
        <w:rPr>
          <w:b/>
          <w:bCs/>
        </w:rPr>
        <w:instrText xml:space="preserve"> REF _Ref89122301 \h  \* MERGEFORMAT </w:instrText>
      </w:r>
      <w:r w:rsidRPr="007B7129">
        <w:rPr>
          <w:b/>
          <w:bCs/>
        </w:rPr>
      </w:r>
      <w:r w:rsidRPr="007B7129">
        <w:rPr>
          <w:b/>
          <w:bCs/>
        </w:rPr>
        <w:fldChar w:fldCharType="separate"/>
      </w:r>
      <w:r w:rsidR="00AA5AAC" w:rsidRPr="00AA5AAC">
        <w:rPr>
          <w:b/>
          <w:bCs/>
        </w:rPr>
        <w:t xml:space="preserve">Table </w:t>
      </w:r>
      <w:r w:rsidR="00AA5AAC" w:rsidRPr="00AA5AAC">
        <w:rPr>
          <w:b/>
          <w:bCs/>
          <w:noProof/>
        </w:rPr>
        <w:t>3.7</w:t>
      </w:r>
      <w:r w:rsidRPr="007B7129">
        <w:rPr>
          <w:b/>
          <w:bCs/>
        </w:rPr>
        <w:fldChar w:fldCharType="end"/>
      </w:r>
      <w:r w:rsidRPr="007B7129">
        <w:t xml:space="preserve">, entry 2). Enamine </w:t>
      </w:r>
      <w:r w:rsidRPr="007B7129">
        <w:rPr>
          <w:b/>
          <w:bCs/>
        </w:rPr>
        <w:t>3.41</w:t>
      </w:r>
      <w:r w:rsidRPr="007B7129">
        <w:t xml:space="preserve"> also proved to be recalcitrant to a</w:t>
      </w:r>
      <w:r w:rsidRPr="007B7129">
        <w:rPr>
          <w:rFonts w:cs="Times New Roman"/>
          <w:szCs w:val="24"/>
        </w:rPr>
        <w:t>cid-promoted hydrolysis (</w:t>
      </w:r>
      <w:r w:rsidRPr="007B7129">
        <w:rPr>
          <w:rFonts w:cs="Times New Roman"/>
          <w:b/>
          <w:bCs/>
          <w:szCs w:val="24"/>
        </w:rPr>
        <w:fldChar w:fldCharType="begin"/>
      </w:r>
      <w:r w:rsidRPr="007B7129">
        <w:rPr>
          <w:rFonts w:cs="Times New Roman"/>
          <w:b/>
          <w:bCs/>
          <w:szCs w:val="24"/>
        </w:rPr>
        <w:instrText xml:space="preserve"> REF _Ref89122301 \h  \* MERGEFORMAT </w:instrText>
      </w:r>
      <w:r w:rsidRPr="007B7129">
        <w:rPr>
          <w:rFonts w:cs="Times New Roman"/>
          <w:b/>
          <w:bCs/>
          <w:szCs w:val="24"/>
        </w:rPr>
      </w:r>
      <w:r w:rsidRPr="007B7129">
        <w:rPr>
          <w:rFonts w:cs="Times New Roman"/>
          <w:b/>
          <w:bCs/>
          <w:szCs w:val="24"/>
        </w:rPr>
        <w:fldChar w:fldCharType="separate"/>
      </w:r>
      <w:r w:rsidR="00AA5AAC" w:rsidRPr="00AA5AAC">
        <w:rPr>
          <w:b/>
          <w:bCs/>
        </w:rPr>
        <w:t xml:space="preserve">Table </w:t>
      </w:r>
      <w:r w:rsidR="00AA5AAC" w:rsidRPr="00AA5AAC">
        <w:rPr>
          <w:b/>
          <w:bCs/>
          <w:noProof/>
        </w:rPr>
        <w:t>3.7</w:t>
      </w:r>
      <w:r w:rsidRPr="007B7129">
        <w:rPr>
          <w:rFonts w:cs="Times New Roman"/>
          <w:b/>
          <w:bCs/>
          <w:szCs w:val="24"/>
        </w:rPr>
        <w:fldChar w:fldCharType="end"/>
      </w:r>
      <w:r w:rsidRPr="007B7129">
        <w:rPr>
          <w:rFonts w:cs="Times New Roman"/>
          <w:szCs w:val="24"/>
        </w:rPr>
        <w:t xml:space="preserve">, entry 1), instead giving rise to the hydrate </w:t>
      </w:r>
      <w:r w:rsidRPr="007B7129">
        <w:rPr>
          <w:b/>
          <w:bCs/>
        </w:rPr>
        <w:t>3.</w:t>
      </w:r>
      <w:r w:rsidRPr="007B7129">
        <w:rPr>
          <w:rFonts w:cs="Times New Roman"/>
          <w:b/>
          <w:bCs/>
          <w:szCs w:val="24"/>
        </w:rPr>
        <w:t>42</w:t>
      </w:r>
      <w:r w:rsidRPr="007B7129">
        <w:rPr>
          <w:rFonts w:cs="Times New Roman"/>
          <w:szCs w:val="24"/>
        </w:rPr>
        <w:t xml:space="preserve"> (</w:t>
      </w:r>
      <w:r w:rsidRPr="007B7129">
        <w:rPr>
          <w:rFonts w:cs="Times New Roman"/>
          <w:b/>
          <w:bCs/>
          <w:szCs w:val="24"/>
        </w:rPr>
        <w:fldChar w:fldCharType="begin"/>
      </w:r>
      <w:r w:rsidRPr="007B7129">
        <w:rPr>
          <w:rFonts w:cs="Times New Roman"/>
          <w:b/>
          <w:bCs/>
          <w:szCs w:val="24"/>
        </w:rPr>
        <w:instrText xml:space="preserve"> REF _Ref89119248 \h  \* MERGEFORMAT </w:instrText>
      </w:r>
      <w:r w:rsidRPr="007B7129">
        <w:rPr>
          <w:rFonts w:cs="Times New Roman"/>
          <w:b/>
          <w:bCs/>
          <w:szCs w:val="24"/>
        </w:rPr>
      </w:r>
      <w:r w:rsidRPr="007B7129">
        <w:rPr>
          <w:rFonts w:cs="Times New Roman"/>
          <w:b/>
          <w:bCs/>
          <w:szCs w:val="24"/>
        </w:rPr>
        <w:fldChar w:fldCharType="separate"/>
      </w:r>
      <w:r w:rsidR="00AA5AAC" w:rsidRPr="00AA5AAC">
        <w:rPr>
          <w:b/>
          <w:bCs/>
        </w:rPr>
        <w:t xml:space="preserve">Scheme </w:t>
      </w:r>
      <w:r w:rsidR="00AA5AAC" w:rsidRPr="00AA5AAC">
        <w:rPr>
          <w:b/>
          <w:bCs/>
          <w:noProof/>
        </w:rPr>
        <w:t>3.</w:t>
      </w:r>
      <w:r w:rsidRPr="007B7129">
        <w:rPr>
          <w:rFonts w:cs="Times New Roman"/>
          <w:b/>
          <w:bCs/>
          <w:szCs w:val="24"/>
        </w:rPr>
        <w:fldChar w:fldCharType="end"/>
      </w:r>
      <w:r w:rsidRPr="007B7129">
        <w:rPr>
          <w:rFonts w:cs="Times New Roman"/>
          <w:szCs w:val="24"/>
        </w:rPr>
        <w:t xml:space="preserve">). No yield was calculated for the formation of </w:t>
      </w:r>
      <w:r w:rsidRPr="007B7129">
        <w:rPr>
          <w:b/>
          <w:bCs/>
        </w:rPr>
        <w:t>3.</w:t>
      </w:r>
      <w:r w:rsidRPr="007B7129">
        <w:rPr>
          <w:rFonts w:cs="Times New Roman"/>
          <w:b/>
          <w:bCs/>
          <w:szCs w:val="24"/>
        </w:rPr>
        <w:t>42</w:t>
      </w:r>
      <w:r w:rsidRPr="007B7129">
        <w:rPr>
          <w:rFonts w:cs="Times New Roman"/>
          <w:szCs w:val="24"/>
        </w:rPr>
        <w:t xml:space="preserve"> due to the inability to reproduce results on multiple occasions. </w:t>
      </w:r>
    </w:p>
    <w:p w14:paraId="7C932C8D" w14:textId="77777777" w:rsidR="00AA5AAC" w:rsidRPr="00AA5AAC" w:rsidRDefault="007B7129" w:rsidP="00AA5AAC">
      <w:pPr>
        <w:spacing w:after="0"/>
        <w:ind w:firstLine="720"/>
        <w:rPr>
          <w:b/>
          <w:bCs/>
        </w:rPr>
      </w:pPr>
      <w:r w:rsidRPr="007B7129">
        <w:rPr>
          <w:rFonts w:cs="Times New Roman"/>
          <w:szCs w:val="24"/>
        </w:rPr>
        <w:lastRenderedPageBreak/>
        <w:t xml:space="preserve">The emergence of </w:t>
      </w:r>
      <w:r w:rsidRPr="007B7129">
        <w:rPr>
          <w:b/>
          <w:bCs/>
        </w:rPr>
        <w:t>3.</w:t>
      </w:r>
      <w:r w:rsidRPr="007B7129">
        <w:rPr>
          <w:rFonts w:cs="Times New Roman"/>
          <w:b/>
          <w:bCs/>
          <w:szCs w:val="24"/>
        </w:rPr>
        <w:t>42</w:t>
      </w:r>
      <w:r w:rsidRPr="007B7129">
        <w:rPr>
          <w:rFonts w:cs="Times New Roman"/>
          <w:szCs w:val="24"/>
        </w:rPr>
        <w:t xml:space="preserve"> was puzzling at first, because I was under the impression that I was isolating </w:t>
      </w:r>
      <w:r w:rsidRPr="007B7129">
        <w:rPr>
          <w:rFonts w:cs="Times New Roman"/>
          <w:b/>
          <w:bCs/>
          <w:szCs w:val="24"/>
        </w:rPr>
        <w:t>3.41</w:t>
      </w:r>
      <w:r w:rsidRPr="007B7129">
        <w:rPr>
          <w:rFonts w:cs="Times New Roman"/>
          <w:szCs w:val="24"/>
        </w:rPr>
        <w:t xml:space="preserve"> after a </w:t>
      </w:r>
      <w:r w:rsidRPr="007B7129">
        <w:rPr>
          <w:rFonts w:cs="Times New Roman"/>
          <w:b/>
          <w:bCs/>
          <w:szCs w:val="24"/>
        </w:rPr>
        <w:t>PSR2</w:t>
      </w:r>
      <w:r w:rsidRPr="007B7129">
        <w:rPr>
          <w:rFonts w:cs="Times New Roman"/>
          <w:szCs w:val="24"/>
        </w:rPr>
        <w:t xml:space="preserve"> reaction, and TLCs of the resulting fractions showed only one compound spot, so I was expecting a pure NMR. During typical NMR analysis for compound </w:t>
      </w:r>
      <w:r w:rsidRPr="007B7129">
        <w:rPr>
          <w:b/>
          <w:bCs/>
        </w:rPr>
        <w:t>3.</w:t>
      </w:r>
      <w:r w:rsidRPr="007B7129">
        <w:rPr>
          <w:rFonts w:cs="Times New Roman"/>
          <w:b/>
          <w:bCs/>
          <w:szCs w:val="24"/>
        </w:rPr>
        <w:t>41</w:t>
      </w:r>
      <w:r w:rsidRPr="007B7129">
        <w:rPr>
          <w:rFonts w:cs="Times New Roman"/>
          <w:szCs w:val="24"/>
        </w:rPr>
        <w:t xml:space="preserve">, I consider the proton peak for C1’ as the diagnostic peak, which usually appears at about 4.58 ppm as a doublet (see </w:t>
      </w:r>
      <w:r w:rsidRPr="007B7129">
        <w:rPr>
          <w:rFonts w:cs="Times New Roman"/>
          <w:b/>
          <w:bCs/>
          <w:szCs w:val="24"/>
        </w:rPr>
        <w:fldChar w:fldCharType="begin"/>
      </w:r>
      <w:r w:rsidRPr="007B7129">
        <w:rPr>
          <w:rFonts w:cs="Times New Roman"/>
          <w:b/>
          <w:bCs/>
          <w:szCs w:val="24"/>
        </w:rPr>
        <w:instrText xml:space="preserve"> REF _Ref97221079 \h  \* MERGEFORMAT </w:instrText>
      </w:r>
      <w:r w:rsidRPr="007B7129">
        <w:rPr>
          <w:rFonts w:cs="Times New Roman"/>
          <w:b/>
          <w:bCs/>
          <w:szCs w:val="24"/>
        </w:rPr>
      </w:r>
      <w:r w:rsidRPr="007B7129">
        <w:rPr>
          <w:rFonts w:cs="Times New Roman"/>
          <w:b/>
          <w:bCs/>
          <w:szCs w:val="24"/>
        </w:rPr>
        <w:fldChar w:fldCharType="separate"/>
      </w:r>
      <w:r w:rsidR="00AA5AAC" w:rsidRPr="00AA5AAC">
        <w:rPr>
          <w:b/>
          <w:bCs/>
        </w:rPr>
        <w:br w:type="page"/>
      </w:r>
    </w:p>
    <w:p w14:paraId="513076D4" w14:textId="77777777" w:rsidR="00AA5AAC" w:rsidRPr="00AA5AAC" w:rsidRDefault="00AA5AAC" w:rsidP="00AA5AAC">
      <w:pPr>
        <w:spacing w:after="0"/>
        <w:ind w:firstLine="720"/>
        <w:rPr>
          <w:b/>
          <w:bCs/>
        </w:rPr>
      </w:pPr>
      <w:r w:rsidRPr="00AA5AAC">
        <w:rPr>
          <w:b/>
          <w:bCs/>
          <w:noProof/>
        </w:rPr>
        <w:lastRenderedPageBreak/>
        <w:t>Table</w:t>
      </w:r>
      <w:r w:rsidRPr="007B7129">
        <w:rPr>
          <w:b/>
          <w:szCs w:val="18"/>
        </w:rPr>
        <w:t xml:space="preserve"> 3.</w:t>
      </w:r>
      <w:r>
        <w:rPr>
          <w:b/>
          <w:szCs w:val="18"/>
        </w:rPr>
        <w:t>8</w:t>
      </w:r>
      <w:r w:rsidR="007B7129" w:rsidRPr="007B7129">
        <w:rPr>
          <w:rFonts w:cs="Times New Roman"/>
          <w:b/>
          <w:bCs/>
          <w:szCs w:val="24"/>
        </w:rPr>
        <w:fldChar w:fldCharType="end"/>
      </w:r>
      <w:r w:rsidR="007B7129" w:rsidRPr="007B7129">
        <w:rPr>
          <w:rFonts w:cs="Times New Roman"/>
          <w:szCs w:val="24"/>
        </w:rPr>
        <w:t xml:space="preserve">). This specific sample also produced a new triplet proton peak at about 6.02 ppm, and I found that the single TLC spot was actually two compounds with equal Rf values: </w:t>
      </w:r>
      <w:r w:rsidR="007B7129" w:rsidRPr="007B7129">
        <w:rPr>
          <w:b/>
          <w:bCs/>
        </w:rPr>
        <w:t>3.</w:t>
      </w:r>
      <w:r w:rsidR="007B7129" w:rsidRPr="007B7129">
        <w:rPr>
          <w:rFonts w:cs="Times New Roman"/>
          <w:b/>
          <w:bCs/>
          <w:szCs w:val="24"/>
        </w:rPr>
        <w:t>41</w:t>
      </w:r>
      <w:r w:rsidR="007B7129" w:rsidRPr="007B7129">
        <w:rPr>
          <w:rFonts w:cs="Times New Roman"/>
          <w:szCs w:val="24"/>
        </w:rPr>
        <w:t xml:space="preserve"> and an unknown. After producing a pure sample of this unknown, I ran a detailed NMR analysis including proton (</w:t>
      </w:r>
      <w:r w:rsidR="007B7129" w:rsidRPr="007B7129">
        <w:rPr>
          <w:rFonts w:cs="Times New Roman"/>
          <w:szCs w:val="24"/>
          <w:vertAlign w:val="superscript"/>
        </w:rPr>
        <w:t>1</w:t>
      </w:r>
      <w:r w:rsidR="007B7129" w:rsidRPr="007B7129">
        <w:rPr>
          <w:rFonts w:cs="Times New Roman"/>
          <w:szCs w:val="24"/>
        </w:rPr>
        <w:t>H) and carbon (</w:t>
      </w:r>
      <w:r w:rsidR="007B7129" w:rsidRPr="007B7129">
        <w:rPr>
          <w:rFonts w:cs="Times New Roman"/>
          <w:szCs w:val="24"/>
          <w:vertAlign w:val="superscript"/>
        </w:rPr>
        <w:t>13</w:t>
      </w:r>
      <w:r w:rsidR="007B7129" w:rsidRPr="007B7129">
        <w:rPr>
          <w:rFonts w:cs="Times New Roman"/>
          <w:szCs w:val="24"/>
        </w:rPr>
        <w:t xml:space="preserve">C) 1D NMR, COSY, HSQC, and HMBC experiments (see </w:t>
      </w:r>
      <w:r w:rsidR="007B7129" w:rsidRPr="007B7129">
        <w:rPr>
          <w:rFonts w:cs="Times New Roman"/>
          <w:b/>
          <w:bCs/>
          <w:szCs w:val="24"/>
        </w:rPr>
        <w:t>Appendix II</w:t>
      </w:r>
      <w:r w:rsidR="007B7129" w:rsidRPr="007B7129">
        <w:rPr>
          <w:rFonts w:cs="Times New Roman"/>
          <w:szCs w:val="24"/>
        </w:rPr>
        <w:t xml:space="preserve">). By HSQC, the </w:t>
      </w:r>
      <w:r w:rsidR="007B7129" w:rsidRPr="007B7129">
        <w:rPr>
          <w:rFonts w:cs="Times New Roman"/>
          <w:szCs w:val="24"/>
          <w:vertAlign w:val="superscript"/>
        </w:rPr>
        <w:t>1</w:t>
      </w:r>
      <w:r w:rsidR="007B7129" w:rsidRPr="007B7129">
        <w:rPr>
          <w:rFonts w:cs="Times New Roman"/>
          <w:szCs w:val="24"/>
        </w:rPr>
        <w:t xml:space="preserve">H at 6.02 ppm is correlated to the </w:t>
      </w:r>
      <w:r w:rsidR="007B7129" w:rsidRPr="007B7129">
        <w:rPr>
          <w:rFonts w:cs="Times New Roman"/>
          <w:szCs w:val="24"/>
          <w:vertAlign w:val="superscript"/>
        </w:rPr>
        <w:t>13</w:t>
      </w:r>
      <w:r w:rsidR="007B7129" w:rsidRPr="007B7129">
        <w:rPr>
          <w:rFonts w:cs="Times New Roman"/>
          <w:szCs w:val="24"/>
        </w:rPr>
        <w:t>C at 69.8 ppm which is assigned to C1’. In the HMBC spectrum, H1’, H4’, and H13 showed correlations to C10 (</w:t>
      </w:r>
      <w:proofErr w:type="spellStart"/>
      <w:r w:rsidR="007B7129" w:rsidRPr="007B7129">
        <w:rPr>
          <w:rFonts w:cs="Times New Roman"/>
          <w:szCs w:val="24"/>
        </w:rPr>
        <w:t>δ</w:t>
      </w:r>
      <w:r w:rsidR="007B7129" w:rsidRPr="007B7129">
        <w:rPr>
          <w:rFonts w:cs="Times New Roman"/>
          <w:szCs w:val="24"/>
          <w:vertAlign w:val="subscript"/>
        </w:rPr>
        <w:t>C</w:t>
      </w:r>
      <w:proofErr w:type="spellEnd"/>
      <w:r w:rsidR="007B7129" w:rsidRPr="007B7129">
        <w:rPr>
          <w:rFonts w:cs="Times New Roman"/>
          <w:szCs w:val="24"/>
        </w:rPr>
        <w:t xml:space="preserve"> 84.2). In addition, H11 and H4’ showed correlations to C1’ (</w:t>
      </w:r>
      <w:proofErr w:type="spellStart"/>
      <w:r w:rsidR="007B7129" w:rsidRPr="007B7129">
        <w:rPr>
          <w:rFonts w:cs="Times New Roman"/>
          <w:szCs w:val="24"/>
        </w:rPr>
        <w:t>δ</w:t>
      </w:r>
      <w:r w:rsidR="007B7129" w:rsidRPr="007B7129">
        <w:rPr>
          <w:rFonts w:cs="Times New Roman"/>
          <w:szCs w:val="24"/>
          <w:vertAlign w:val="subscript"/>
        </w:rPr>
        <w:t>C</w:t>
      </w:r>
      <w:proofErr w:type="spellEnd"/>
      <w:r w:rsidR="007B7129" w:rsidRPr="007B7129">
        <w:rPr>
          <w:rFonts w:cs="Times New Roman"/>
          <w:szCs w:val="24"/>
          <w:vertAlign w:val="subscript"/>
        </w:rPr>
        <w:t xml:space="preserve"> </w:t>
      </w:r>
      <w:r w:rsidR="007B7129" w:rsidRPr="007B7129">
        <w:rPr>
          <w:rFonts w:cs="Times New Roman"/>
          <w:szCs w:val="24"/>
        </w:rPr>
        <w:t>69.8). These key HMBC correlations are shown in</w:t>
      </w:r>
      <w:r w:rsidR="00AF3EDB">
        <w:rPr>
          <w:rFonts w:cs="Times New Roman"/>
          <w:b/>
          <w:bCs/>
          <w:szCs w:val="24"/>
        </w:rPr>
        <w:t xml:space="preserve"> </w:t>
      </w:r>
      <w:r w:rsidR="00AF3EDB" w:rsidRPr="00AF3EDB">
        <w:rPr>
          <w:rFonts w:cs="Times New Roman"/>
          <w:b/>
          <w:bCs/>
          <w:szCs w:val="24"/>
        </w:rPr>
        <w:fldChar w:fldCharType="begin"/>
      </w:r>
      <w:r w:rsidR="00AF3EDB" w:rsidRPr="00AF3EDB">
        <w:rPr>
          <w:rFonts w:cs="Times New Roman"/>
          <w:b/>
          <w:bCs/>
          <w:szCs w:val="24"/>
        </w:rPr>
        <w:instrText xml:space="preserve"> REF _Ref102583187 \h  \* MERGEFORMAT </w:instrText>
      </w:r>
      <w:r w:rsidR="00AF3EDB" w:rsidRPr="00AF3EDB">
        <w:rPr>
          <w:rFonts w:cs="Times New Roman"/>
          <w:b/>
          <w:bCs/>
          <w:szCs w:val="24"/>
        </w:rPr>
      </w:r>
      <w:r w:rsidR="00AF3EDB" w:rsidRPr="00AF3EDB">
        <w:rPr>
          <w:rFonts w:cs="Times New Roman"/>
          <w:b/>
          <w:bCs/>
          <w:szCs w:val="24"/>
        </w:rPr>
        <w:fldChar w:fldCharType="separate"/>
      </w:r>
      <w:r w:rsidRPr="00AA5AAC">
        <w:rPr>
          <w:b/>
          <w:bCs/>
        </w:rPr>
        <w:t>Figure 3.9</w:t>
      </w:r>
      <w:r w:rsidR="00AF3EDB" w:rsidRPr="00AF3EDB">
        <w:rPr>
          <w:rFonts w:cs="Times New Roman"/>
          <w:b/>
          <w:bCs/>
          <w:szCs w:val="24"/>
        </w:rPr>
        <w:fldChar w:fldCharType="end"/>
      </w:r>
      <w:r w:rsidR="007B7129" w:rsidRPr="007B7129">
        <w:rPr>
          <w:rFonts w:cs="Times New Roman"/>
          <w:szCs w:val="24"/>
        </w:rPr>
        <w:t xml:space="preserve">. Upon deeper inspection of the spectra, I assigned the structure of the unknown compound to </w:t>
      </w:r>
      <w:r w:rsidR="007B7129" w:rsidRPr="007B7129">
        <w:rPr>
          <w:b/>
          <w:bCs/>
        </w:rPr>
        <w:t>3.</w:t>
      </w:r>
      <w:r w:rsidR="007B7129" w:rsidRPr="007B7129">
        <w:rPr>
          <w:rFonts w:cs="Times New Roman"/>
          <w:b/>
          <w:bCs/>
          <w:szCs w:val="24"/>
        </w:rPr>
        <w:t>42</w:t>
      </w:r>
      <w:r w:rsidR="007B7129" w:rsidRPr="007B7129">
        <w:rPr>
          <w:rFonts w:cs="Times New Roman"/>
          <w:szCs w:val="24"/>
        </w:rPr>
        <w:t xml:space="preserve">, the hydrate of </w:t>
      </w:r>
      <w:r w:rsidR="007B7129" w:rsidRPr="007B7129">
        <w:rPr>
          <w:b/>
          <w:bCs/>
        </w:rPr>
        <w:t>3.</w:t>
      </w:r>
      <w:r w:rsidR="007B7129" w:rsidRPr="007B7129">
        <w:rPr>
          <w:rFonts w:cs="Times New Roman"/>
          <w:b/>
          <w:bCs/>
          <w:szCs w:val="24"/>
        </w:rPr>
        <w:t>41</w:t>
      </w:r>
      <w:r w:rsidR="007B7129" w:rsidRPr="007B7129">
        <w:rPr>
          <w:rFonts w:cs="Times New Roman"/>
          <w:szCs w:val="24"/>
        </w:rPr>
        <w:t xml:space="preserve"> (see spectral assignments in </w:t>
      </w:r>
      <w:r w:rsidR="007B7129" w:rsidRPr="007B7129">
        <w:rPr>
          <w:rFonts w:cs="Times New Roman"/>
          <w:b/>
          <w:bCs/>
          <w:szCs w:val="24"/>
        </w:rPr>
        <w:fldChar w:fldCharType="begin"/>
      </w:r>
      <w:r w:rsidR="007B7129" w:rsidRPr="007B7129">
        <w:rPr>
          <w:rFonts w:cs="Times New Roman"/>
          <w:b/>
          <w:bCs/>
          <w:szCs w:val="24"/>
        </w:rPr>
        <w:instrText xml:space="preserve"> REF _Ref97221079 \h  \* MERGEFORMAT </w:instrText>
      </w:r>
      <w:r w:rsidR="007B7129" w:rsidRPr="007B7129">
        <w:rPr>
          <w:rFonts w:cs="Times New Roman"/>
          <w:b/>
          <w:bCs/>
          <w:szCs w:val="24"/>
        </w:rPr>
      </w:r>
      <w:r w:rsidR="007B7129" w:rsidRPr="007B7129">
        <w:rPr>
          <w:rFonts w:cs="Times New Roman"/>
          <w:b/>
          <w:bCs/>
          <w:szCs w:val="24"/>
        </w:rPr>
        <w:fldChar w:fldCharType="separate"/>
      </w:r>
      <w:r w:rsidRPr="00AA5AAC">
        <w:rPr>
          <w:b/>
          <w:bCs/>
        </w:rPr>
        <w:br w:type="page"/>
      </w:r>
    </w:p>
    <w:p w14:paraId="56184AF9" w14:textId="293E3807" w:rsidR="007B7129" w:rsidRPr="007B7129" w:rsidRDefault="00AA5AAC" w:rsidP="007B7129">
      <w:pPr>
        <w:spacing w:after="0"/>
        <w:ind w:firstLine="720"/>
        <w:rPr>
          <w:rFonts w:cs="Times New Roman"/>
          <w:szCs w:val="24"/>
        </w:rPr>
      </w:pPr>
      <w:r w:rsidRPr="00AA5AAC">
        <w:rPr>
          <w:b/>
          <w:bCs/>
          <w:noProof/>
        </w:rPr>
        <w:lastRenderedPageBreak/>
        <w:t>Table</w:t>
      </w:r>
      <w:r w:rsidRPr="007B7129">
        <w:rPr>
          <w:b/>
          <w:szCs w:val="18"/>
        </w:rPr>
        <w:t xml:space="preserve"> 3.</w:t>
      </w:r>
      <w:r>
        <w:rPr>
          <w:b/>
          <w:szCs w:val="18"/>
        </w:rPr>
        <w:t>8</w:t>
      </w:r>
      <w:r w:rsidR="007B7129" w:rsidRPr="007B7129">
        <w:rPr>
          <w:rFonts w:cs="Times New Roman"/>
          <w:b/>
          <w:bCs/>
          <w:szCs w:val="24"/>
        </w:rPr>
        <w:fldChar w:fldCharType="end"/>
      </w:r>
      <w:r w:rsidR="007B7129" w:rsidRPr="007B7129">
        <w:rPr>
          <w:rFonts w:cs="Times New Roman"/>
          <w:szCs w:val="24"/>
        </w:rPr>
        <w:t>).</w:t>
      </w:r>
    </w:p>
    <w:p w14:paraId="7D01082C" w14:textId="77777777" w:rsidR="007B7129" w:rsidRPr="007B7129" w:rsidRDefault="007B7129" w:rsidP="007B7129">
      <w:pPr>
        <w:spacing w:after="0"/>
        <w:rPr>
          <w:rFonts w:cs="Times New Roman"/>
          <w:szCs w:val="24"/>
        </w:rPr>
      </w:pPr>
      <w:r w:rsidRPr="007B7129">
        <w:rPr>
          <w:noProof/>
        </w:rPr>
        <mc:AlternateContent>
          <mc:Choice Requires="wps">
            <w:drawing>
              <wp:inline distT="0" distB="0" distL="0" distR="0" wp14:anchorId="67ABB977" wp14:editId="4F072C3A">
                <wp:extent cx="5943600" cy="2496710"/>
                <wp:effectExtent l="0" t="0" r="19050" b="18415"/>
                <wp:docPr id="224" name="Text Box 2" descr="Structure of compound 3.42 showing the (A) atom numbering system and (B) key HMBC correlations to C1’ (blue arrows) and C10 (green arrow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96710"/>
                        </a:xfrm>
                        <a:prstGeom prst="rect">
                          <a:avLst/>
                        </a:prstGeom>
                        <a:solidFill>
                          <a:srgbClr val="FFFFFF"/>
                        </a:solidFill>
                        <a:ln w="9525">
                          <a:solidFill>
                            <a:srgbClr val="000000"/>
                          </a:solidFill>
                          <a:miter lim="800000"/>
                          <a:headEnd/>
                          <a:tailEnd/>
                        </a:ln>
                      </wps:spPr>
                      <wps:txbx>
                        <w:txbxContent>
                          <w:p w14:paraId="6B83671D" w14:textId="77777777" w:rsidR="00183BAD" w:rsidRDefault="007B7129" w:rsidP="00183BAD">
                            <w:pPr>
                              <w:keepNext/>
                              <w:spacing w:after="0"/>
                              <w:jc w:val="center"/>
                            </w:pPr>
                            <w:r>
                              <w:rPr>
                                <w:noProof/>
                              </w:rPr>
                              <w:drawing>
                                <wp:inline distT="0" distB="0" distL="0" distR="0" wp14:anchorId="52E999BF" wp14:editId="52B31243">
                                  <wp:extent cx="5751830" cy="1819910"/>
                                  <wp:effectExtent l="0" t="0" r="1270" b="8890"/>
                                  <wp:docPr id="287" name="Picture 287" descr="Structure of compound 3.42 showing the (A) atom numbering system and (B) key HMBC correlations to C1’ (blue arrows) and C10 (green arr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Structure of compound 3.42 showing the (A) atom numbering system and (B) key HMBC correlations to C1’ (blue arrows) and C10 (green arrows). "/>
                                          <pic:cNvPicPr/>
                                        </pic:nvPicPr>
                                        <pic:blipFill>
                                          <a:blip r:embed="rId300">
                                            <a:extLst>
                                              <a:ext uri="{28A0092B-C50C-407E-A947-70E740481C1C}">
                                                <a14:useLocalDpi xmlns:a14="http://schemas.microsoft.com/office/drawing/2010/main" val="0"/>
                                              </a:ext>
                                            </a:extLst>
                                          </a:blip>
                                          <a:stretch>
                                            <a:fillRect/>
                                          </a:stretch>
                                        </pic:blipFill>
                                        <pic:spPr>
                                          <a:xfrm>
                                            <a:off x="0" y="0"/>
                                            <a:ext cx="5751830" cy="1819910"/>
                                          </a:xfrm>
                                          <a:prstGeom prst="rect">
                                            <a:avLst/>
                                          </a:prstGeom>
                                        </pic:spPr>
                                      </pic:pic>
                                    </a:graphicData>
                                  </a:graphic>
                                </wp:inline>
                              </w:drawing>
                            </w:r>
                          </w:p>
                          <w:p w14:paraId="55CAF621" w14:textId="17EB3B11" w:rsidR="007B7129" w:rsidRDefault="00183BAD" w:rsidP="00DF51F5">
                            <w:pPr>
                              <w:pStyle w:val="Caption"/>
                            </w:pPr>
                            <w:bookmarkStart w:id="339" w:name="_Ref102583187"/>
                            <w:bookmarkStart w:id="340" w:name="_Toc100748316"/>
                            <w:r>
                              <w:t>Figure 3.</w:t>
                            </w:r>
                            <w:fldSimple w:instr=" SEQ Figure \* ARABIC ">
                              <w:r w:rsidR="00AA5AAC">
                                <w:rPr>
                                  <w:noProof/>
                                </w:rPr>
                                <w:t>9</w:t>
                              </w:r>
                            </w:fldSimple>
                            <w:bookmarkEnd w:id="339"/>
                            <w:r>
                              <w:t xml:space="preserve">. </w:t>
                            </w:r>
                            <w:bookmarkStart w:id="341" w:name="_Toc100243262"/>
                            <w:r w:rsidR="007B7129">
                              <w:t>Structure of compound 3.42 showing the (A) atom numbering system and (B) key HMBC correlations to C1’ (blue arrows) and C10 (green arrows).</w:t>
                            </w:r>
                            <w:bookmarkEnd w:id="340"/>
                            <w:bookmarkEnd w:id="341"/>
                            <w:r w:rsidR="007B7129">
                              <w:t xml:space="preserve"> </w:t>
                            </w:r>
                          </w:p>
                        </w:txbxContent>
                      </wps:txbx>
                      <wps:bodyPr rot="0" vert="horz" wrap="square" lIns="91440" tIns="45720" rIns="91440" bIns="45720" anchor="t" anchorCtr="0">
                        <a:noAutofit/>
                      </wps:bodyPr>
                    </wps:wsp>
                  </a:graphicData>
                </a:graphic>
              </wp:inline>
            </w:drawing>
          </mc:Choice>
          <mc:Fallback>
            <w:pict>
              <v:shape w14:anchorId="67ABB977" id="_x0000_s1095" type="#_x0000_t202" alt="Structure of compound 3.42 showing the (A) atom numbering system and (B) key HMBC correlations to C1’ (blue arrows) and C10 (green arrows). " style="width:468pt;height:19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">
                <v:textbox>
                  <w:txbxContent>
                    <w:p w14:paraId="6B83671D" w14:textId="77777777" w:rsidR="00183BAD" w:rsidRDefault="007B7129" w:rsidP="00183BAD">
                      <w:pPr>
                        <w:keepNext/>
                        <w:spacing w:after="0"/>
                        <w:jc w:val="center"/>
                      </w:pPr>
                      <w:r>
                        <w:rPr>
                          <w:noProof/>
                        </w:rPr>
                        <w:drawing>
                          <wp:inline distT="0" distB="0" distL="0" distR="0" wp14:anchorId="52E999BF" wp14:editId="52B31243">
                            <wp:extent cx="5751830" cy="1819910"/>
                            <wp:effectExtent l="0" t="0" r="1270" b="8890"/>
                            <wp:docPr id="287" name="Picture 287" descr="Structure of compound 3.42 showing the (A) atom numbering system and (B) key HMBC correlations to C1’ (blue arrows) and C10 (green arr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Structure of compound 3.42 showing the (A) atom numbering system and (B) key HMBC correlations to C1’ (blue arrows) and C10 (green arrows). "/>
                                    <pic:cNvPicPr/>
                                  </pic:nvPicPr>
                                  <pic:blipFill>
                                    <a:blip r:embed="rId300">
                                      <a:extLst>
                                        <a:ext uri="{28A0092B-C50C-407E-A947-70E740481C1C}">
                                          <a14:useLocalDpi xmlns:a14="http://schemas.microsoft.com/office/drawing/2010/main" val="0"/>
                                        </a:ext>
                                      </a:extLst>
                                    </a:blip>
                                    <a:stretch>
                                      <a:fillRect/>
                                    </a:stretch>
                                  </pic:blipFill>
                                  <pic:spPr>
                                    <a:xfrm>
                                      <a:off x="0" y="0"/>
                                      <a:ext cx="5751830" cy="1819910"/>
                                    </a:xfrm>
                                    <a:prstGeom prst="rect">
                                      <a:avLst/>
                                    </a:prstGeom>
                                  </pic:spPr>
                                </pic:pic>
                              </a:graphicData>
                            </a:graphic>
                          </wp:inline>
                        </w:drawing>
                      </w:r>
                    </w:p>
                    <w:p w14:paraId="55CAF621" w14:textId="17EB3B11" w:rsidR="007B7129" w:rsidRDefault="00183BAD" w:rsidP="00DF51F5">
                      <w:pPr>
                        <w:pStyle w:val="Caption"/>
                      </w:pPr>
                      <w:bookmarkStart w:id="342" w:name="_Ref102583187"/>
                      <w:bookmarkStart w:id="343" w:name="_Toc100748316"/>
                      <w:r>
                        <w:t>Figure 3.</w:t>
                      </w:r>
                      <w:fldSimple w:instr=" SEQ Figure \* ARABIC ">
                        <w:r w:rsidR="00AA5AAC">
                          <w:rPr>
                            <w:noProof/>
                          </w:rPr>
                          <w:t>9</w:t>
                        </w:r>
                      </w:fldSimple>
                      <w:bookmarkEnd w:id="342"/>
                      <w:r>
                        <w:t xml:space="preserve">. </w:t>
                      </w:r>
                      <w:bookmarkStart w:id="344" w:name="_Toc100243262"/>
                      <w:r w:rsidR="007B7129">
                        <w:t>Structure of compound 3.42 showing the (A) atom numbering system and (B) key HMBC correlations to C1’ (blue arrows) and C10 (green arrows).</w:t>
                      </w:r>
                      <w:bookmarkEnd w:id="343"/>
                      <w:bookmarkEnd w:id="344"/>
                      <w:r w:rsidR="007B7129">
                        <w:t xml:space="preserve"> </w:t>
                      </w:r>
                    </w:p>
                  </w:txbxContent>
                </v:textbox>
                <w10:anchorlock/>
              </v:shape>
            </w:pict>
          </mc:Fallback>
        </mc:AlternateContent>
      </w:r>
    </w:p>
    <w:p w14:paraId="2B81BD65" w14:textId="77777777" w:rsidR="00AA5AAC" w:rsidRPr="00AA5AAC" w:rsidRDefault="007B7129" w:rsidP="00AA5AAC">
      <w:pPr>
        <w:spacing w:after="0"/>
        <w:ind w:firstLine="720"/>
        <w:rPr>
          <w:b/>
          <w:szCs w:val="18"/>
        </w:rPr>
      </w:pPr>
      <w:r w:rsidRPr="007B7129">
        <w:rPr>
          <w:rFonts w:cs="Times New Roman"/>
          <w:szCs w:val="24"/>
        </w:rPr>
        <w:t xml:space="preserve">The formation of </w:t>
      </w:r>
      <w:r w:rsidRPr="007B7129">
        <w:rPr>
          <w:b/>
          <w:bCs/>
        </w:rPr>
        <w:t>3.</w:t>
      </w:r>
      <w:r w:rsidRPr="007B7129">
        <w:rPr>
          <w:rFonts w:cs="Times New Roman"/>
          <w:b/>
          <w:bCs/>
          <w:szCs w:val="24"/>
        </w:rPr>
        <w:t>42</w:t>
      </w:r>
      <w:r w:rsidRPr="007B7129">
        <w:rPr>
          <w:rFonts w:cs="Times New Roman"/>
          <w:szCs w:val="24"/>
        </w:rPr>
        <w:t xml:space="preserve"> is generally unpredictable, as </w:t>
      </w:r>
      <w:r w:rsidRPr="007B7129">
        <w:rPr>
          <w:rFonts w:cs="Times New Roman"/>
          <w:b/>
          <w:bCs/>
          <w:szCs w:val="24"/>
        </w:rPr>
        <w:t>PSR2</w:t>
      </w:r>
      <w:r w:rsidRPr="007B7129">
        <w:rPr>
          <w:rFonts w:cs="Times New Roman"/>
          <w:szCs w:val="24"/>
        </w:rPr>
        <w:t xml:space="preserve"> produces mixtures </w:t>
      </w:r>
      <w:r w:rsidRPr="007B7129">
        <w:rPr>
          <w:b/>
          <w:bCs/>
        </w:rPr>
        <w:t>3.</w:t>
      </w:r>
      <w:r w:rsidRPr="007B7129">
        <w:rPr>
          <w:rFonts w:cs="Times New Roman"/>
          <w:b/>
          <w:bCs/>
          <w:szCs w:val="24"/>
        </w:rPr>
        <w:t>41</w:t>
      </w:r>
      <w:r w:rsidRPr="007B7129">
        <w:rPr>
          <w:rFonts w:cs="Times New Roman"/>
          <w:szCs w:val="24"/>
        </w:rPr>
        <w:t xml:space="preserve"> and </w:t>
      </w:r>
      <w:r w:rsidRPr="007B7129">
        <w:rPr>
          <w:b/>
          <w:bCs/>
        </w:rPr>
        <w:t>3.</w:t>
      </w:r>
      <w:r w:rsidRPr="007B7129">
        <w:rPr>
          <w:rFonts w:cs="Times New Roman"/>
          <w:b/>
          <w:bCs/>
          <w:szCs w:val="24"/>
        </w:rPr>
        <w:t>42</w:t>
      </w:r>
      <w:r w:rsidRPr="007B7129">
        <w:rPr>
          <w:rFonts w:cs="Times New Roman"/>
          <w:szCs w:val="24"/>
        </w:rPr>
        <w:t xml:space="preserve"> in varying quantities of each depending on the batch. I believe that if the HCl/MeOH solution used in </w:t>
      </w:r>
      <w:r w:rsidRPr="007B7129">
        <w:rPr>
          <w:rFonts w:cs="Times New Roman"/>
          <w:b/>
          <w:bCs/>
          <w:szCs w:val="24"/>
        </w:rPr>
        <w:t>PSR2</w:t>
      </w:r>
      <w:r w:rsidRPr="007B7129">
        <w:rPr>
          <w:rFonts w:cs="Times New Roman"/>
          <w:szCs w:val="24"/>
        </w:rPr>
        <w:t xml:space="preserve"> is not completely anhydrous, then the formation of </w:t>
      </w:r>
      <w:r w:rsidRPr="007B7129">
        <w:rPr>
          <w:b/>
          <w:bCs/>
        </w:rPr>
        <w:t>3.</w:t>
      </w:r>
      <w:r w:rsidRPr="007B7129">
        <w:rPr>
          <w:rFonts w:cs="Times New Roman"/>
          <w:b/>
          <w:bCs/>
          <w:szCs w:val="24"/>
        </w:rPr>
        <w:t>42</w:t>
      </w:r>
      <w:r w:rsidRPr="007B7129">
        <w:rPr>
          <w:rFonts w:cs="Times New Roman"/>
          <w:szCs w:val="24"/>
        </w:rPr>
        <w:t xml:space="preserve"> becomes more prevalent. Compound </w:t>
      </w:r>
      <w:r w:rsidRPr="007B7129">
        <w:rPr>
          <w:b/>
          <w:bCs/>
        </w:rPr>
        <w:t>3.</w:t>
      </w:r>
      <w:r w:rsidRPr="007B7129">
        <w:rPr>
          <w:rFonts w:cs="Times New Roman"/>
          <w:b/>
          <w:bCs/>
          <w:szCs w:val="24"/>
        </w:rPr>
        <w:t>42</w:t>
      </w:r>
      <w:r w:rsidRPr="007B7129">
        <w:rPr>
          <w:rFonts w:cs="Times New Roman"/>
          <w:szCs w:val="24"/>
        </w:rPr>
        <w:t xml:space="preserve"> also seems to form after column purification if the silica is not deactivated by a base such as triethylamine. These two compounds more than likely participate in a dynamic equilibrium, especially when water is present. Notably, the mass for both compounds </w:t>
      </w:r>
      <w:r w:rsidRPr="007B7129">
        <w:rPr>
          <w:b/>
          <w:bCs/>
        </w:rPr>
        <w:t>3.</w:t>
      </w:r>
      <w:r w:rsidRPr="007B7129">
        <w:rPr>
          <w:rFonts w:cs="Times New Roman"/>
          <w:b/>
          <w:bCs/>
          <w:szCs w:val="24"/>
        </w:rPr>
        <w:t>41</w:t>
      </w:r>
      <w:r w:rsidRPr="007B7129">
        <w:rPr>
          <w:rFonts w:cs="Times New Roman"/>
          <w:szCs w:val="24"/>
        </w:rPr>
        <w:t xml:space="preserve"> and </w:t>
      </w:r>
      <w:r w:rsidRPr="007B7129">
        <w:rPr>
          <w:b/>
          <w:bCs/>
        </w:rPr>
        <w:t>3.</w:t>
      </w:r>
      <w:r w:rsidRPr="007B7129">
        <w:rPr>
          <w:rFonts w:cs="Times New Roman"/>
          <w:b/>
          <w:bCs/>
          <w:szCs w:val="24"/>
        </w:rPr>
        <w:t>42</w:t>
      </w:r>
      <w:r w:rsidRPr="007B7129">
        <w:rPr>
          <w:rFonts w:cs="Times New Roman"/>
          <w:szCs w:val="24"/>
        </w:rPr>
        <w:t xml:space="preserve"> will appear after high-resolution mass spectrometry (HRMS) analysis, even if the sample shows pure compound </w:t>
      </w:r>
      <w:r w:rsidRPr="007B7129">
        <w:rPr>
          <w:b/>
          <w:bCs/>
        </w:rPr>
        <w:t>3.</w:t>
      </w:r>
      <w:r w:rsidRPr="007B7129">
        <w:rPr>
          <w:rFonts w:cs="Times New Roman"/>
          <w:b/>
          <w:bCs/>
          <w:szCs w:val="24"/>
        </w:rPr>
        <w:t>41</w:t>
      </w:r>
      <w:r w:rsidRPr="007B7129">
        <w:rPr>
          <w:rFonts w:cs="Times New Roman"/>
          <w:szCs w:val="24"/>
        </w:rPr>
        <w:t xml:space="preserve"> by NMR. Compounds </w:t>
      </w:r>
      <w:r w:rsidRPr="007B7129">
        <w:rPr>
          <w:b/>
          <w:bCs/>
        </w:rPr>
        <w:t>3.</w:t>
      </w:r>
      <w:r w:rsidRPr="007B7129">
        <w:rPr>
          <w:rFonts w:cs="Times New Roman"/>
          <w:b/>
          <w:bCs/>
          <w:szCs w:val="24"/>
        </w:rPr>
        <w:t>41</w:t>
      </w:r>
      <w:r w:rsidRPr="007B7129">
        <w:rPr>
          <w:rFonts w:cs="Times New Roman"/>
          <w:szCs w:val="24"/>
        </w:rPr>
        <w:t xml:space="preserve"> and </w:t>
      </w:r>
      <w:r w:rsidRPr="007B7129">
        <w:rPr>
          <w:b/>
          <w:bCs/>
        </w:rPr>
        <w:t>3.</w:t>
      </w:r>
      <w:r w:rsidRPr="007B7129">
        <w:rPr>
          <w:rFonts w:cs="Times New Roman"/>
          <w:b/>
          <w:bCs/>
          <w:szCs w:val="24"/>
        </w:rPr>
        <w:t>42</w:t>
      </w:r>
      <w:r w:rsidRPr="007B7129">
        <w:rPr>
          <w:rFonts w:cs="Times New Roman"/>
          <w:szCs w:val="24"/>
        </w:rPr>
        <w:t xml:space="preserve"> are inseparable by HPLC, presumably because of their dynamic equilibrium, which may occur in the acidic, aqueous eluent (0.1% TFA in water/acetonitrile). Eventually, I found that the change in chemical shift of C10 provides a diagnostic to distinguish between compound </w:t>
      </w:r>
      <w:r w:rsidRPr="007B7129">
        <w:rPr>
          <w:b/>
          <w:bCs/>
        </w:rPr>
        <w:t>3.</w:t>
      </w:r>
      <w:r w:rsidRPr="007B7129">
        <w:rPr>
          <w:rFonts w:cs="Times New Roman"/>
          <w:b/>
          <w:bCs/>
          <w:szCs w:val="24"/>
        </w:rPr>
        <w:t>41</w:t>
      </w:r>
      <w:r w:rsidRPr="007B7129">
        <w:rPr>
          <w:rFonts w:cs="Times New Roman"/>
          <w:szCs w:val="24"/>
        </w:rPr>
        <w:t xml:space="preserve"> and its hydrate </w:t>
      </w:r>
      <w:r w:rsidRPr="007B7129">
        <w:rPr>
          <w:b/>
          <w:bCs/>
        </w:rPr>
        <w:t>3.</w:t>
      </w:r>
      <w:r w:rsidRPr="007B7129">
        <w:rPr>
          <w:rFonts w:cs="Times New Roman"/>
          <w:b/>
          <w:bCs/>
          <w:szCs w:val="24"/>
        </w:rPr>
        <w:t>42</w:t>
      </w:r>
      <w:r w:rsidRPr="007B7129">
        <w:rPr>
          <w:rFonts w:cs="Times New Roman"/>
          <w:szCs w:val="24"/>
        </w:rPr>
        <w:t xml:space="preserve"> (red text in </w:t>
      </w:r>
      <w:r w:rsidRPr="007B7129">
        <w:rPr>
          <w:rFonts w:cs="Times New Roman"/>
          <w:b/>
          <w:bCs/>
          <w:szCs w:val="24"/>
        </w:rPr>
        <w:fldChar w:fldCharType="begin"/>
      </w:r>
      <w:r w:rsidRPr="007B7129">
        <w:rPr>
          <w:rFonts w:cs="Times New Roman"/>
          <w:b/>
          <w:bCs/>
          <w:szCs w:val="24"/>
        </w:rPr>
        <w:instrText xml:space="preserve"> REF _Ref89124299 \h  \* MERGEFORMAT </w:instrText>
      </w:r>
      <w:r w:rsidRPr="007B7129">
        <w:rPr>
          <w:rFonts w:cs="Times New Roman"/>
          <w:b/>
          <w:bCs/>
          <w:szCs w:val="24"/>
        </w:rPr>
      </w:r>
      <w:r w:rsidRPr="007B7129">
        <w:rPr>
          <w:rFonts w:cs="Times New Roman"/>
          <w:b/>
          <w:bCs/>
          <w:szCs w:val="24"/>
        </w:rPr>
        <w:fldChar w:fldCharType="separate"/>
      </w:r>
    </w:p>
    <w:p w14:paraId="2B4B962D" w14:textId="77777777" w:rsidR="00AA5AAC" w:rsidRPr="00AA5AAC" w:rsidRDefault="00AA5AAC" w:rsidP="00AA5AAC">
      <w:pPr>
        <w:spacing w:after="0"/>
        <w:ind w:firstLine="720"/>
        <w:rPr>
          <w:b/>
          <w:szCs w:val="18"/>
        </w:rPr>
      </w:pPr>
    </w:p>
    <w:p w14:paraId="0DCCF599" w14:textId="77777777" w:rsidR="00AA5AAC" w:rsidRPr="00AA5AAC" w:rsidRDefault="00AA5AAC" w:rsidP="00AA5AAC">
      <w:pPr>
        <w:spacing w:after="0"/>
        <w:ind w:firstLine="720"/>
        <w:rPr>
          <w:b/>
          <w:szCs w:val="18"/>
        </w:rPr>
      </w:pPr>
    </w:p>
    <w:p w14:paraId="0AF6995F" w14:textId="77777777" w:rsidR="00AA5AAC" w:rsidRDefault="00AA5AAC">
      <w:pPr>
        <w:spacing w:line="259" w:lineRule="auto"/>
        <w:jc w:val="left"/>
        <w:rPr>
          <w:b/>
          <w:szCs w:val="18"/>
        </w:rPr>
      </w:pPr>
      <w:r>
        <w:rPr>
          <w:b/>
          <w:szCs w:val="18"/>
        </w:rPr>
        <w:br w:type="page"/>
      </w:r>
    </w:p>
    <w:p w14:paraId="2BA37865" w14:textId="4367E256" w:rsidR="007B7129" w:rsidRPr="007B7129" w:rsidRDefault="00AA5AAC" w:rsidP="00AC327E">
      <w:pPr>
        <w:spacing w:after="0"/>
        <w:ind w:firstLine="720"/>
        <w:rPr>
          <w:b/>
          <w:bCs/>
          <w:noProof/>
        </w:rPr>
      </w:pPr>
      <w:r w:rsidRPr="007B7129">
        <w:rPr>
          <w:b/>
          <w:szCs w:val="18"/>
        </w:rPr>
        <w:lastRenderedPageBreak/>
        <w:t>Table 3.</w:t>
      </w:r>
      <w:r>
        <w:rPr>
          <w:b/>
          <w:szCs w:val="18"/>
        </w:rPr>
        <w:t>8</w:t>
      </w:r>
      <w:r w:rsidR="007B7129" w:rsidRPr="007B7129">
        <w:rPr>
          <w:rFonts w:cs="Times New Roman"/>
          <w:b/>
          <w:bCs/>
          <w:szCs w:val="24"/>
        </w:rPr>
        <w:fldChar w:fldCharType="end"/>
      </w:r>
      <w:r w:rsidR="007B7129" w:rsidRPr="007B7129">
        <w:rPr>
          <w:rFonts w:cs="Times New Roman"/>
          <w:szCs w:val="24"/>
        </w:rPr>
        <w:t xml:space="preserve">), which is easily visible on the HMBC spectra. </w:t>
      </w:r>
    </w:p>
    <w:p w14:paraId="394E90A3" w14:textId="00BAB038" w:rsidR="007B7129" w:rsidRPr="007B7129" w:rsidRDefault="007B7129" w:rsidP="007B7129">
      <w:pPr>
        <w:spacing w:after="0"/>
        <w:ind w:firstLine="720"/>
      </w:pPr>
      <w:r w:rsidRPr="007B7129">
        <w:t xml:space="preserve">Fortunately, enamine functionalization was found possible under oxidizing conditions with </w:t>
      </w:r>
      <w:proofErr w:type="spellStart"/>
      <w:r w:rsidRPr="007B7129">
        <w:t>mCPBA</w:t>
      </w:r>
      <w:proofErr w:type="spellEnd"/>
      <w:r w:rsidRPr="007B7129">
        <w:t xml:space="preserve">, giving epoxide product </w:t>
      </w:r>
      <w:r w:rsidRPr="007B7129">
        <w:rPr>
          <w:b/>
          <w:bCs/>
        </w:rPr>
        <w:t xml:space="preserve">3.43 </w:t>
      </w:r>
      <w:r w:rsidRPr="007B7129">
        <w:t>(structure shown</w:t>
      </w:r>
      <w:r w:rsidR="00AF3EDB">
        <w:t xml:space="preserve"> in </w:t>
      </w:r>
      <w:r w:rsidR="00AF3EDB" w:rsidRPr="00AF3EDB">
        <w:rPr>
          <w:b/>
          <w:bCs/>
        </w:rPr>
        <w:fldChar w:fldCharType="begin"/>
      </w:r>
      <w:r w:rsidR="00AF3EDB" w:rsidRPr="00AF3EDB">
        <w:rPr>
          <w:b/>
          <w:bCs/>
        </w:rPr>
        <w:instrText xml:space="preserve"> REF _Ref102583215 \h </w:instrText>
      </w:r>
      <w:r w:rsidR="00AF3EDB">
        <w:rPr>
          <w:b/>
          <w:bCs/>
        </w:rPr>
        <w:instrText xml:space="preserve"> \* MERGEFORMAT </w:instrText>
      </w:r>
      <w:r w:rsidR="00AF3EDB" w:rsidRPr="00AF3EDB">
        <w:rPr>
          <w:b/>
          <w:bCs/>
        </w:rPr>
      </w:r>
      <w:r w:rsidR="00AF3EDB" w:rsidRPr="00AF3EDB">
        <w:rPr>
          <w:b/>
          <w:bCs/>
        </w:rPr>
        <w:fldChar w:fldCharType="separate"/>
      </w:r>
      <w:r w:rsidR="00AA5AAC" w:rsidRPr="00AA5AAC">
        <w:rPr>
          <w:b/>
          <w:bCs/>
        </w:rPr>
        <w:t>Figure 3.10</w:t>
      </w:r>
      <w:r w:rsidR="00AF3EDB" w:rsidRPr="00AF3EDB">
        <w:rPr>
          <w:b/>
          <w:bCs/>
        </w:rPr>
        <w:fldChar w:fldCharType="end"/>
      </w:r>
      <w:r w:rsidRPr="007B7129">
        <w:t>), albeit at a poor 7% yield (</w:t>
      </w:r>
      <w:r w:rsidRPr="007B7129">
        <w:rPr>
          <w:b/>
          <w:bCs/>
        </w:rPr>
        <w:fldChar w:fldCharType="begin"/>
      </w:r>
      <w:r w:rsidRPr="007B7129">
        <w:rPr>
          <w:b/>
          <w:bCs/>
        </w:rPr>
        <w:instrText xml:space="preserve"> REF _Ref89122301 \h  \* MERGEFORMAT </w:instrText>
      </w:r>
      <w:r w:rsidRPr="007B7129">
        <w:rPr>
          <w:b/>
          <w:bCs/>
        </w:rPr>
      </w:r>
      <w:r w:rsidRPr="007B7129">
        <w:rPr>
          <w:b/>
          <w:bCs/>
        </w:rPr>
        <w:fldChar w:fldCharType="separate"/>
      </w:r>
      <w:r w:rsidR="00AA5AAC" w:rsidRPr="00AA5AAC">
        <w:rPr>
          <w:b/>
          <w:bCs/>
        </w:rPr>
        <w:t xml:space="preserve">Table </w:t>
      </w:r>
      <w:r w:rsidR="00AA5AAC" w:rsidRPr="00AA5AAC">
        <w:rPr>
          <w:b/>
          <w:bCs/>
          <w:noProof/>
        </w:rPr>
        <w:t>3.7</w:t>
      </w:r>
      <w:r w:rsidRPr="007B7129">
        <w:rPr>
          <w:b/>
          <w:bCs/>
        </w:rPr>
        <w:fldChar w:fldCharType="end"/>
      </w:r>
      <w:r w:rsidRPr="007B7129">
        <w:t>, entry 4). Reactions employing DDQ (</w:t>
      </w:r>
      <w:r w:rsidRPr="007B7129">
        <w:rPr>
          <w:b/>
          <w:bCs/>
        </w:rPr>
        <w:fldChar w:fldCharType="begin"/>
      </w:r>
      <w:r w:rsidRPr="007B7129">
        <w:rPr>
          <w:b/>
          <w:bCs/>
        </w:rPr>
        <w:instrText xml:space="preserve"> REF _Ref89122301 \h  \* MERGEFORMAT </w:instrText>
      </w:r>
      <w:r w:rsidRPr="007B7129">
        <w:rPr>
          <w:b/>
          <w:bCs/>
        </w:rPr>
      </w:r>
      <w:r w:rsidRPr="007B7129">
        <w:rPr>
          <w:b/>
          <w:bCs/>
        </w:rPr>
        <w:fldChar w:fldCharType="separate"/>
      </w:r>
      <w:r w:rsidR="00AA5AAC" w:rsidRPr="00AA5AAC">
        <w:rPr>
          <w:b/>
          <w:bCs/>
        </w:rPr>
        <w:t xml:space="preserve">Table </w:t>
      </w:r>
      <w:r w:rsidR="00AA5AAC" w:rsidRPr="00AA5AAC">
        <w:rPr>
          <w:b/>
          <w:bCs/>
          <w:noProof/>
        </w:rPr>
        <w:t>3.7</w:t>
      </w:r>
      <w:r w:rsidRPr="007B7129">
        <w:rPr>
          <w:b/>
          <w:bCs/>
        </w:rPr>
        <w:fldChar w:fldCharType="end"/>
      </w:r>
      <w:r w:rsidRPr="007B7129">
        <w:t>, entry 7) were also investigated, as these oxidizing conditions consistently gave a single, easily isolatable product. The extensive spectroscopic characterization experiments of the DDQ reaction major product (</w:t>
      </w:r>
      <w:r w:rsidRPr="007B7129">
        <w:rPr>
          <w:b/>
          <w:bCs/>
        </w:rPr>
        <w:t>3.44</w:t>
      </w:r>
      <w:r w:rsidRPr="007B7129">
        <w:t>) will be discussed in section</w:t>
      </w:r>
      <w:r w:rsidRPr="007B7129">
        <w:rPr>
          <w:b/>
          <w:bCs/>
        </w:rPr>
        <w:t xml:space="preserve"> 3.3.6</w:t>
      </w:r>
      <w:r w:rsidRPr="007B7129">
        <w:t>.</w:t>
      </w:r>
    </w:p>
    <w:p w14:paraId="43928A8B" w14:textId="1EEFEF96" w:rsidR="007B7129" w:rsidRDefault="007B7129" w:rsidP="00EC026C">
      <w:pPr>
        <w:spacing w:after="0"/>
        <w:ind w:left="2160"/>
        <w:rPr>
          <w:noProof/>
        </w:rPr>
      </w:pPr>
      <w:r w:rsidRPr="007B7129">
        <w:rPr>
          <w:noProof/>
        </w:rPr>
        <w:t xml:space="preserve"> </w:t>
      </w:r>
      <w:r w:rsidRPr="007B7129">
        <w:rPr>
          <w:noProof/>
        </w:rPr>
        <mc:AlternateContent>
          <mc:Choice Requires="wps">
            <w:drawing>
              <wp:inline distT="0" distB="0" distL="0" distR="0" wp14:anchorId="39D17E9B" wp14:editId="34F2CF5C">
                <wp:extent cx="3355450" cy="1558290"/>
                <wp:effectExtent l="0" t="0" r="16510" b="22860"/>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0" cy="1558290"/>
                        </a:xfrm>
                        <a:prstGeom prst="rect">
                          <a:avLst/>
                        </a:prstGeom>
                        <a:solidFill>
                          <a:srgbClr val="FFFFFF"/>
                        </a:solidFill>
                        <a:ln w="9525">
                          <a:solidFill>
                            <a:srgbClr val="000000"/>
                          </a:solidFill>
                          <a:miter lim="800000"/>
                          <a:headEnd/>
                          <a:tailEnd/>
                        </a:ln>
                      </wps:spPr>
                      <wps:txbx>
                        <w:txbxContent>
                          <w:p w14:paraId="573A4F9C" w14:textId="77777777" w:rsidR="003801E1" w:rsidRDefault="007B7129" w:rsidP="003801E1">
                            <w:pPr>
                              <w:keepNext/>
                              <w:spacing w:after="0"/>
                              <w:jc w:val="center"/>
                            </w:pPr>
                            <w:r>
                              <w:object w:dxaOrig="3144" w:dyaOrig="1704" w14:anchorId="59A55FC8">
                                <v:shape id="_x0000_i1106" type="#_x0000_t75" style="width:157.55pt;height:85.55pt">
                                  <v:imagedata r:id="rId301" o:title=""/>
                                </v:shape>
                                <o:OLEObject Type="Embed" ProgID="ChemDraw.Document.6.0" ShapeID="_x0000_i1106" DrawAspect="Content" ObjectID="_1713353510" r:id="rId302"/>
                              </w:object>
                            </w:r>
                          </w:p>
                          <w:p w14:paraId="314D49DE" w14:textId="0C2CE29E" w:rsidR="007B7129" w:rsidRDefault="003801E1" w:rsidP="00DF51F5">
                            <w:pPr>
                              <w:pStyle w:val="Caption"/>
                            </w:pPr>
                            <w:bookmarkStart w:id="345" w:name="_Ref102583215"/>
                            <w:bookmarkStart w:id="346" w:name="_Toc100748317"/>
                            <w:r>
                              <w:t>Figure 3.</w:t>
                            </w:r>
                            <w:fldSimple w:instr=" SEQ Figure \* ARABIC ">
                              <w:r w:rsidR="00AA5AAC">
                                <w:rPr>
                                  <w:noProof/>
                                </w:rPr>
                                <w:t>10</w:t>
                              </w:r>
                            </w:fldSimple>
                            <w:bookmarkStart w:id="347" w:name="_Toc100243263"/>
                            <w:bookmarkEnd w:id="345"/>
                            <w:r w:rsidR="007B7129">
                              <w:t>. Structure of epoxide product 3.43.</w:t>
                            </w:r>
                            <w:bookmarkEnd w:id="346"/>
                            <w:bookmarkEnd w:id="347"/>
                            <w:r w:rsidR="007B7129">
                              <w:t xml:space="preserve"> </w:t>
                            </w:r>
                          </w:p>
                          <w:p w14:paraId="7D17A043" w14:textId="77777777" w:rsidR="007B7129" w:rsidRDefault="007B7129" w:rsidP="007B7129"/>
                        </w:txbxContent>
                      </wps:txbx>
                      <wps:bodyPr rot="0" vert="horz" wrap="square" lIns="91440" tIns="45720" rIns="91440" bIns="45720" anchor="t" anchorCtr="0">
                        <a:noAutofit/>
                      </wps:bodyPr>
                    </wps:wsp>
                  </a:graphicData>
                </a:graphic>
              </wp:inline>
            </w:drawing>
          </mc:Choice>
          <mc:Fallback>
            <w:pict>
              <v:shape w14:anchorId="39D17E9B" id="_x0000_s1096" type="#_x0000_t202" style="width:264.2pt;height:1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">
                <v:textbox>
                  <w:txbxContent>
                    <w:p w14:paraId="573A4F9C" w14:textId="77777777" w:rsidR="003801E1" w:rsidRDefault="007B7129" w:rsidP="003801E1">
                      <w:pPr>
                        <w:keepNext/>
                        <w:spacing w:after="0"/>
                        <w:jc w:val="center"/>
                      </w:pPr>
                      <w:r>
                        <w:object w:dxaOrig="3144" w:dyaOrig="1704" w14:anchorId="59A55FC8">
                          <v:shape id="_x0000_i1106" type="#_x0000_t75" style="width:157.55pt;height:85.55pt">
                            <v:imagedata r:id="rId301" o:title=""/>
                          </v:shape>
                          <o:OLEObject Type="Embed" ProgID="ChemDraw.Document.6.0" ShapeID="_x0000_i1106" DrawAspect="Content" ObjectID="_1713353510" r:id="rId303"/>
                        </w:object>
                      </w:r>
                    </w:p>
                    <w:p w14:paraId="314D49DE" w14:textId="0C2CE29E" w:rsidR="007B7129" w:rsidRDefault="003801E1" w:rsidP="00DF51F5">
                      <w:pPr>
                        <w:pStyle w:val="Caption"/>
                      </w:pPr>
                      <w:bookmarkStart w:id="348" w:name="_Ref102583215"/>
                      <w:bookmarkStart w:id="349" w:name="_Toc100748317"/>
                      <w:r>
                        <w:t>Figure 3.</w:t>
                      </w:r>
                      <w:fldSimple w:instr=" SEQ Figure \* ARABIC ">
                        <w:r w:rsidR="00AA5AAC">
                          <w:rPr>
                            <w:noProof/>
                          </w:rPr>
                          <w:t>10</w:t>
                        </w:r>
                      </w:fldSimple>
                      <w:bookmarkStart w:id="350" w:name="_Toc100243263"/>
                      <w:bookmarkEnd w:id="348"/>
                      <w:r w:rsidR="007B7129">
                        <w:t>. Structure of epoxide product 3.43.</w:t>
                      </w:r>
                      <w:bookmarkEnd w:id="349"/>
                      <w:bookmarkEnd w:id="350"/>
                      <w:r w:rsidR="007B7129">
                        <w:t xml:space="preserve"> </w:t>
                      </w:r>
                    </w:p>
                    <w:p w14:paraId="7D17A043" w14:textId="77777777" w:rsidR="007B7129" w:rsidRDefault="007B7129" w:rsidP="007B7129"/>
                  </w:txbxContent>
                </v:textbox>
                <w10:anchorlock/>
              </v:shape>
            </w:pict>
          </mc:Fallback>
        </mc:AlternateContent>
      </w:r>
      <w:bookmarkStart w:id="351" w:name="_Ref89124299"/>
    </w:p>
    <w:p w14:paraId="75C70862" w14:textId="6F998EF6" w:rsidR="00AC327E" w:rsidRDefault="00AC327E" w:rsidP="00EC026C">
      <w:pPr>
        <w:spacing w:after="0"/>
        <w:ind w:left="2160"/>
        <w:rPr>
          <w:noProof/>
        </w:rPr>
      </w:pPr>
    </w:p>
    <w:p w14:paraId="710E5AD7" w14:textId="77777777" w:rsidR="00AC327E" w:rsidRPr="007B7129" w:rsidRDefault="00AC327E" w:rsidP="00EC026C">
      <w:pPr>
        <w:spacing w:after="0"/>
        <w:ind w:left="2160"/>
      </w:pPr>
    </w:p>
    <w:p w14:paraId="5F39828E" w14:textId="77777777" w:rsidR="005C5841" w:rsidRDefault="005C5841">
      <w:pPr>
        <w:spacing w:line="259" w:lineRule="auto"/>
        <w:jc w:val="left"/>
        <w:rPr>
          <w:b/>
          <w:szCs w:val="18"/>
        </w:rPr>
      </w:pPr>
      <w:bookmarkStart w:id="352" w:name="_Ref97221079"/>
      <w:r>
        <w:rPr>
          <w:b/>
          <w:szCs w:val="18"/>
        </w:rPr>
        <w:br w:type="page"/>
      </w:r>
    </w:p>
    <w:p w14:paraId="67D9BFD9" w14:textId="0AA48B93" w:rsidR="007B7129" w:rsidRPr="007B7129" w:rsidRDefault="007B7129" w:rsidP="000624E1">
      <w:pPr>
        <w:spacing w:after="0" w:line="240" w:lineRule="auto"/>
        <w:rPr>
          <w:b/>
          <w:szCs w:val="18"/>
        </w:rPr>
      </w:pPr>
      <w:r w:rsidRPr="007B7129">
        <w:rPr>
          <w:b/>
          <w:szCs w:val="18"/>
        </w:rPr>
        <w:lastRenderedPageBreak/>
        <w:t>Table 3.</w:t>
      </w:r>
      <w:r w:rsidRPr="007B7129">
        <w:rPr>
          <w:b/>
          <w:szCs w:val="18"/>
        </w:rPr>
        <w:fldChar w:fldCharType="begin"/>
      </w:r>
      <w:r w:rsidRPr="007B7129">
        <w:rPr>
          <w:b/>
          <w:szCs w:val="18"/>
        </w:rPr>
        <w:instrText xml:space="preserve"> SEQ Table \* ARABIC </w:instrText>
      </w:r>
      <w:r w:rsidRPr="007B7129">
        <w:rPr>
          <w:b/>
          <w:szCs w:val="18"/>
        </w:rPr>
        <w:fldChar w:fldCharType="separate"/>
      </w:r>
      <w:r w:rsidR="00AA5AAC">
        <w:rPr>
          <w:b/>
          <w:noProof/>
          <w:szCs w:val="18"/>
        </w:rPr>
        <w:t>8</w:t>
      </w:r>
      <w:r w:rsidRPr="007B7129">
        <w:rPr>
          <w:b/>
          <w:noProof/>
          <w:szCs w:val="18"/>
        </w:rPr>
        <w:fldChar w:fldCharType="end"/>
      </w:r>
      <w:bookmarkEnd w:id="351"/>
      <w:bookmarkEnd w:id="352"/>
      <w:r w:rsidRPr="007B7129">
        <w:rPr>
          <w:b/>
          <w:szCs w:val="18"/>
        </w:rPr>
        <w:t>. NMR assignments for compounds 3.41 and 3.42 (d</w:t>
      </w:r>
      <w:r w:rsidRPr="007B7129">
        <w:rPr>
          <w:b/>
          <w:szCs w:val="18"/>
          <w:vertAlign w:val="subscript"/>
        </w:rPr>
        <w:t>6</w:t>
      </w:r>
      <w:r w:rsidRPr="007B7129">
        <w:rPr>
          <w:b/>
          <w:szCs w:val="18"/>
        </w:rPr>
        <w:t>-DMSO)</w:t>
      </w:r>
    </w:p>
    <w:tbl>
      <w:tblPr>
        <w:tblStyle w:val="TableGrid"/>
        <w:tblW w:w="9355" w:type="dxa"/>
        <w:tblBorders>
          <w:insideH w:val="none" w:sz="0" w:space="0" w:color="auto"/>
          <w:insideV w:val="none" w:sz="0" w:space="0" w:color="auto"/>
        </w:tblBorders>
        <w:tblLayout w:type="fixed"/>
        <w:tblLook w:val="04A0" w:firstRow="1" w:lastRow="0" w:firstColumn="1" w:lastColumn="0" w:noHBand="0" w:noVBand="1"/>
      </w:tblPr>
      <w:tblGrid>
        <w:gridCol w:w="1345"/>
        <w:gridCol w:w="1080"/>
        <w:gridCol w:w="1350"/>
        <w:gridCol w:w="2070"/>
        <w:gridCol w:w="1350"/>
        <w:gridCol w:w="2160"/>
      </w:tblGrid>
      <w:tr w:rsidR="007B7129" w:rsidRPr="007B7129" w14:paraId="084F9E75" w14:textId="77777777" w:rsidTr="00562397">
        <w:tc>
          <w:tcPr>
            <w:tcW w:w="9355" w:type="dxa"/>
            <w:gridSpan w:val="6"/>
            <w:tcBorders>
              <w:bottom w:val="single" w:sz="4" w:space="0" w:color="auto"/>
            </w:tcBorders>
          </w:tcPr>
          <w:p w14:paraId="27A1E15E" w14:textId="77777777" w:rsidR="007B7129" w:rsidRPr="007B7129" w:rsidRDefault="007B7129" w:rsidP="007B7129">
            <w:pPr>
              <w:spacing w:line="240" w:lineRule="auto"/>
              <w:contextualSpacing/>
              <w:jc w:val="center"/>
              <w:rPr>
                <w:rFonts w:cs="Times New Roman"/>
                <w:b/>
                <w:noProof/>
                <w:color w:val="000000"/>
                <w:szCs w:val="24"/>
                <w:shd w:val="clear" w:color="auto" w:fill="FFFFFF"/>
              </w:rPr>
            </w:pPr>
            <w:r w:rsidRPr="007B7129">
              <w:rPr>
                <w:rFonts w:cs="Times New Roman"/>
                <w:b/>
                <w:noProof/>
                <w:color w:val="000000"/>
                <w:szCs w:val="24"/>
                <w:shd w:val="clear" w:color="auto" w:fill="FFFFFF"/>
              </w:rPr>
              <w:drawing>
                <wp:inline distT="0" distB="0" distL="0" distR="0" wp14:anchorId="6209C819" wp14:editId="3AD06E7B">
                  <wp:extent cx="5803265" cy="1344295"/>
                  <wp:effectExtent l="0" t="0" r="6985" b="0"/>
                  <wp:docPr id="281" name="Picture 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a:extLst>
                              <a:ext uri="{C183D7F6-B498-43B3-948B-1728B52AA6E4}">
                                <adec:decorative xmlns:adec="http://schemas.microsoft.com/office/drawing/2017/decorative" val="1"/>
                              </a:ext>
                            </a:extLst>
                          </pic:cNvPr>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803265" cy="1344295"/>
                          </a:xfrm>
                          <a:prstGeom prst="rect">
                            <a:avLst/>
                          </a:prstGeom>
                        </pic:spPr>
                      </pic:pic>
                    </a:graphicData>
                  </a:graphic>
                </wp:inline>
              </w:drawing>
            </w:r>
          </w:p>
        </w:tc>
      </w:tr>
      <w:tr w:rsidR="007B7129" w:rsidRPr="007B7129" w14:paraId="73E69D44" w14:textId="77777777" w:rsidTr="00562397">
        <w:tc>
          <w:tcPr>
            <w:tcW w:w="1345" w:type="dxa"/>
            <w:vMerge w:val="restart"/>
            <w:tcBorders>
              <w:top w:val="single" w:sz="4" w:space="0" w:color="auto"/>
              <w:right w:val="single" w:sz="4" w:space="0" w:color="auto"/>
            </w:tcBorders>
            <w:shd w:val="clear" w:color="auto" w:fill="auto"/>
            <w:vAlign w:val="bottom"/>
          </w:tcPr>
          <w:p w14:paraId="717E90AB"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Segment</w:t>
            </w:r>
          </w:p>
        </w:tc>
        <w:tc>
          <w:tcPr>
            <w:tcW w:w="1080" w:type="dxa"/>
            <w:vMerge w:val="restart"/>
            <w:tcBorders>
              <w:top w:val="single" w:sz="4" w:space="0" w:color="auto"/>
              <w:left w:val="single" w:sz="4" w:space="0" w:color="auto"/>
              <w:right w:val="single" w:sz="4" w:space="0" w:color="auto"/>
            </w:tcBorders>
            <w:shd w:val="clear" w:color="auto" w:fill="auto"/>
            <w:vAlign w:val="bottom"/>
          </w:tcPr>
          <w:p w14:paraId="1F80E9BB" w14:textId="77777777" w:rsidR="007B7129" w:rsidRPr="007B7129" w:rsidRDefault="007B7129" w:rsidP="007B7129">
            <w:pPr>
              <w:spacing w:line="240" w:lineRule="auto"/>
              <w:contextualSpacing/>
              <w:jc w:val="left"/>
              <w:rPr>
                <w:rFonts w:cs="Times New Roman"/>
                <w:color w:val="000000"/>
                <w:szCs w:val="24"/>
                <w:shd w:val="clear" w:color="auto" w:fill="FFFFFF"/>
              </w:rPr>
            </w:pPr>
            <w:r w:rsidRPr="007B7129">
              <w:rPr>
                <w:rFonts w:cs="Times New Roman"/>
                <w:color w:val="000000"/>
                <w:szCs w:val="24"/>
                <w:shd w:val="clear" w:color="auto" w:fill="FFFFFF"/>
              </w:rPr>
              <w:t>Position</w:t>
            </w:r>
          </w:p>
        </w:tc>
        <w:tc>
          <w:tcPr>
            <w:tcW w:w="3420" w:type="dxa"/>
            <w:gridSpan w:val="2"/>
            <w:tcBorders>
              <w:top w:val="single" w:sz="4" w:space="0" w:color="auto"/>
              <w:left w:val="single" w:sz="4" w:space="0" w:color="auto"/>
              <w:bottom w:val="single" w:sz="4" w:space="0" w:color="auto"/>
            </w:tcBorders>
            <w:shd w:val="clear" w:color="auto" w:fill="E7E6E6" w:themeFill="background2"/>
          </w:tcPr>
          <w:p w14:paraId="2F937D4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 xml:space="preserve">Enamine </w:t>
            </w:r>
            <w:bookmarkStart w:id="353" w:name="_Hlk100553479"/>
            <w:r w:rsidRPr="007B7129">
              <w:rPr>
                <w:rFonts w:cs="Times New Roman"/>
                <w:color w:val="000000"/>
                <w:szCs w:val="24"/>
                <w:shd w:val="clear" w:color="auto" w:fill="FFFFFF"/>
              </w:rPr>
              <w:t>3.</w:t>
            </w:r>
            <w:bookmarkEnd w:id="353"/>
            <w:r w:rsidRPr="007B7129">
              <w:rPr>
                <w:rFonts w:cs="Times New Roman"/>
                <w:color w:val="000000"/>
                <w:szCs w:val="24"/>
                <w:shd w:val="clear" w:color="auto" w:fill="FFFFFF"/>
              </w:rPr>
              <w:t>41</w:t>
            </w:r>
          </w:p>
        </w:tc>
        <w:tc>
          <w:tcPr>
            <w:tcW w:w="3510" w:type="dxa"/>
            <w:gridSpan w:val="2"/>
            <w:tcBorders>
              <w:top w:val="single" w:sz="4" w:space="0" w:color="auto"/>
              <w:left w:val="single" w:sz="4" w:space="0" w:color="auto"/>
              <w:bottom w:val="single" w:sz="4" w:space="0" w:color="auto"/>
            </w:tcBorders>
            <w:shd w:val="clear" w:color="auto" w:fill="E7E6E6" w:themeFill="background2"/>
          </w:tcPr>
          <w:p w14:paraId="4839FE8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Enamine-OH 3.42</w:t>
            </w:r>
          </w:p>
        </w:tc>
      </w:tr>
      <w:tr w:rsidR="007B7129" w:rsidRPr="007B7129" w14:paraId="404F851D" w14:textId="77777777" w:rsidTr="00562397">
        <w:tc>
          <w:tcPr>
            <w:tcW w:w="1345" w:type="dxa"/>
            <w:vMerge/>
            <w:tcBorders>
              <w:bottom w:val="single" w:sz="4" w:space="0" w:color="auto"/>
              <w:right w:val="single" w:sz="4" w:space="0" w:color="auto"/>
            </w:tcBorders>
            <w:shd w:val="clear" w:color="auto" w:fill="E7E6E6" w:themeFill="background2"/>
          </w:tcPr>
          <w:p w14:paraId="712C2F30"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vMerge/>
            <w:tcBorders>
              <w:left w:val="single" w:sz="4" w:space="0" w:color="auto"/>
              <w:bottom w:val="single" w:sz="4" w:space="0" w:color="auto"/>
              <w:right w:val="single" w:sz="4" w:space="0" w:color="auto"/>
            </w:tcBorders>
            <w:shd w:val="clear" w:color="auto" w:fill="E7E6E6" w:themeFill="background2"/>
          </w:tcPr>
          <w:p w14:paraId="471B3D72"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B1125BD" w14:textId="77777777" w:rsidR="007B7129" w:rsidRPr="007B7129" w:rsidRDefault="007B7129" w:rsidP="007B7129">
            <w:pPr>
              <w:spacing w:line="240" w:lineRule="auto"/>
              <w:contextualSpacing/>
              <w:jc w:val="left"/>
              <w:rPr>
                <w:rFonts w:cs="Times New Roman"/>
                <w:color w:val="000000"/>
                <w:szCs w:val="24"/>
                <w:shd w:val="clear" w:color="auto" w:fill="FFFFFF"/>
              </w:rPr>
            </w:pPr>
            <w:proofErr w:type="spellStart"/>
            <w:r w:rsidRPr="007B7129">
              <w:rPr>
                <w:rFonts w:cs="Times New Roman"/>
                <w:color w:val="000000"/>
                <w:szCs w:val="24"/>
                <w:shd w:val="clear" w:color="auto" w:fill="FFFFFF"/>
              </w:rPr>
              <w:t>δC</w:t>
            </w:r>
            <w:proofErr w:type="spellEnd"/>
            <w:r w:rsidRPr="007B7129">
              <w:rPr>
                <w:rFonts w:cs="Times New Roman"/>
                <w:color w:val="000000"/>
                <w:szCs w:val="24"/>
                <w:shd w:val="clear" w:color="auto" w:fill="FFFFFF"/>
              </w:rPr>
              <w:t xml:space="preserve"> (ppm), type</w:t>
            </w:r>
          </w:p>
        </w:tc>
        <w:tc>
          <w:tcPr>
            <w:tcW w:w="2070" w:type="dxa"/>
            <w:tcBorders>
              <w:top w:val="single" w:sz="4" w:space="0" w:color="auto"/>
              <w:left w:val="single" w:sz="4" w:space="0" w:color="auto"/>
              <w:bottom w:val="single" w:sz="4" w:space="0" w:color="auto"/>
            </w:tcBorders>
            <w:shd w:val="clear" w:color="auto" w:fill="auto"/>
            <w:vAlign w:val="bottom"/>
          </w:tcPr>
          <w:p w14:paraId="5BE1B001" w14:textId="77777777" w:rsidR="007B7129" w:rsidRPr="007B7129" w:rsidRDefault="007B7129" w:rsidP="007B7129">
            <w:pPr>
              <w:spacing w:line="240" w:lineRule="auto"/>
              <w:contextualSpacing/>
              <w:jc w:val="left"/>
              <w:rPr>
                <w:rFonts w:cs="Times New Roman"/>
                <w:color w:val="000000"/>
                <w:szCs w:val="24"/>
                <w:shd w:val="clear" w:color="auto" w:fill="FFFFFF"/>
              </w:rPr>
            </w:pPr>
            <w:proofErr w:type="spellStart"/>
            <w:r w:rsidRPr="007B7129">
              <w:rPr>
                <w:rFonts w:cs="Times New Roman"/>
                <w:color w:val="000000"/>
                <w:szCs w:val="24"/>
                <w:shd w:val="clear" w:color="auto" w:fill="FFFFFF"/>
              </w:rPr>
              <w:t>δH</w:t>
            </w:r>
            <w:proofErr w:type="spellEnd"/>
            <w:r w:rsidRPr="007B7129">
              <w:rPr>
                <w:rFonts w:cs="Times New Roman"/>
                <w:color w:val="000000"/>
                <w:szCs w:val="24"/>
                <w:shd w:val="clear" w:color="auto" w:fill="FFFFFF"/>
              </w:rPr>
              <w:t xml:space="preserve"> (ppm)</w:t>
            </w:r>
          </w:p>
        </w:tc>
        <w:tc>
          <w:tcPr>
            <w:tcW w:w="1350" w:type="dxa"/>
            <w:tcBorders>
              <w:top w:val="single" w:sz="4" w:space="0" w:color="auto"/>
              <w:left w:val="single" w:sz="4" w:space="0" w:color="auto"/>
              <w:bottom w:val="single" w:sz="4" w:space="0" w:color="auto"/>
            </w:tcBorders>
            <w:shd w:val="clear" w:color="auto" w:fill="auto"/>
            <w:vAlign w:val="bottom"/>
          </w:tcPr>
          <w:p w14:paraId="7C2A0960" w14:textId="77777777" w:rsidR="007B7129" w:rsidRPr="007B7129" w:rsidRDefault="007B7129" w:rsidP="007B7129">
            <w:pPr>
              <w:spacing w:line="240" w:lineRule="auto"/>
              <w:contextualSpacing/>
              <w:jc w:val="left"/>
              <w:rPr>
                <w:rFonts w:cs="Times New Roman"/>
                <w:color w:val="000000"/>
                <w:szCs w:val="24"/>
                <w:shd w:val="clear" w:color="auto" w:fill="FFFFFF"/>
              </w:rPr>
            </w:pPr>
            <w:proofErr w:type="spellStart"/>
            <w:r w:rsidRPr="007B7129">
              <w:rPr>
                <w:rFonts w:cs="Times New Roman"/>
                <w:color w:val="000000"/>
                <w:szCs w:val="24"/>
                <w:shd w:val="clear" w:color="auto" w:fill="FFFFFF"/>
              </w:rPr>
              <w:t>δC</w:t>
            </w:r>
            <w:proofErr w:type="spellEnd"/>
            <w:r w:rsidRPr="007B7129">
              <w:rPr>
                <w:rFonts w:cs="Times New Roman"/>
                <w:color w:val="000000"/>
                <w:szCs w:val="24"/>
                <w:shd w:val="clear" w:color="auto" w:fill="FFFFFF"/>
              </w:rPr>
              <w:t xml:space="preserve"> (ppm), type</w:t>
            </w:r>
          </w:p>
        </w:tc>
        <w:tc>
          <w:tcPr>
            <w:tcW w:w="2160" w:type="dxa"/>
            <w:tcBorders>
              <w:top w:val="single" w:sz="4" w:space="0" w:color="auto"/>
              <w:left w:val="single" w:sz="4" w:space="0" w:color="auto"/>
              <w:bottom w:val="single" w:sz="4" w:space="0" w:color="auto"/>
            </w:tcBorders>
            <w:shd w:val="clear" w:color="auto" w:fill="auto"/>
            <w:vAlign w:val="bottom"/>
          </w:tcPr>
          <w:p w14:paraId="73B6A11B" w14:textId="77777777" w:rsidR="007B7129" w:rsidRPr="007B7129" w:rsidRDefault="007B7129" w:rsidP="007B7129">
            <w:pPr>
              <w:spacing w:line="240" w:lineRule="auto"/>
              <w:contextualSpacing/>
              <w:jc w:val="left"/>
              <w:rPr>
                <w:rFonts w:cs="Times New Roman"/>
                <w:color w:val="000000"/>
                <w:szCs w:val="24"/>
                <w:shd w:val="clear" w:color="auto" w:fill="FFFFFF"/>
              </w:rPr>
            </w:pPr>
            <w:proofErr w:type="spellStart"/>
            <w:r w:rsidRPr="007B7129">
              <w:rPr>
                <w:rFonts w:cs="Times New Roman"/>
                <w:color w:val="000000"/>
                <w:szCs w:val="24"/>
                <w:shd w:val="clear" w:color="auto" w:fill="FFFFFF"/>
              </w:rPr>
              <w:t>δH</w:t>
            </w:r>
            <w:proofErr w:type="spellEnd"/>
            <w:r w:rsidRPr="007B7129">
              <w:rPr>
                <w:rFonts w:cs="Times New Roman"/>
                <w:color w:val="000000"/>
                <w:szCs w:val="24"/>
                <w:shd w:val="clear" w:color="auto" w:fill="FFFFFF"/>
              </w:rPr>
              <w:t xml:space="preserve"> (ppm)</w:t>
            </w:r>
          </w:p>
        </w:tc>
      </w:tr>
      <w:tr w:rsidR="007B7129" w:rsidRPr="007B7129" w14:paraId="67704801" w14:textId="77777777" w:rsidTr="00562397">
        <w:tc>
          <w:tcPr>
            <w:tcW w:w="1345" w:type="dxa"/>
            <w:vMerge w:val="restart"/>
            <w:tcBorders>
              <w:top w:val="single" w:sz="4" w:space="0" w:color="auto"/>
              <w:right w:val="single" w:sz="4" w:space="0" w:color="auto"/>
            </w:tcBorders>
          </w:tcPr>
          <w:p w14:paraId="45B29090" w14:textId="77777777" w:rsidR="007B7129" w:rsidRPr="007B7129" w:rsidRDefault="007B7129" w:rsidP="007B7129">
            <w:pPr>
              <w:spacing w:line="240" w:lineRule="auto"/>
              <w:contextualSpacing/>
              <w:jc w:val="center"/>
              <w:rPr>
                <w:rFonts w:cs="Times New Roman"/>
                <w:color w:val="000000"/>
                <w:szCs w:val="24"/>
                <w:shd w:val="clear" w:color="auto" w:fill="FFFFFF"/>
              </w:rPr>
            </w:pPr>
            <w:r w:rsidRPr="007B7129">
              <w:rPr>
                <w:rFonts w:cs="Times New Roman"/>
                <w:color w:val="000000"/>
                <w:szCs w:val="24"/>
                <w:shd w:val="clear" w:color="auto" w:fill="FFFFFF"/>
              </w:rPr>
              <w:t>β-carboline A</w:t>
            </w:r>
          </w:p>
        </w:tc>
        <w:tc>
          <w:tcPr>
            <w:tcW w:w="1080" w:type="dxa"/>
            <w:tcBorders>
              <w:top w:val="single" w:sz="4" w:space="0" w:color="auto"/>
              <w:left w:val="single" w:sz="4" w:space="0" w:color="auto"/>
              <w:bottom w:val="nil"/>
              <w:right w:val="single" w:sz="4" w:space="0" w:color="auto"/>
            </w:tcBorders>
          </w:tcPr>
          <w:p w14:paraId="6E60B4C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w:t>
            </w:r>
          </w:p>
        </w:tc>
        <w:tc>
          <w:tcPr>
            <w:tcW w:w="1350" w:type="dxa"/>
            <w:tcBorders>
              <w:top w:val="single" w:sz="4" w:space="0" w:color="auto"/>
              <w:left w:val="single" w:sz="4" w:space="0" w:color="auto"/>
              <w:bottom w:val="nil"/>
              <w:right w:val="single" w:sz="4" w:space="0" w:color="auto"/>
            </w:tcBorders>
          </w:tcPr>
          <w:p w14:paraId="0F04600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132.8, C</w:t>
            </w:r>
          </w:p>
        </w:tc>
        <w:tc>
          <w:tcPr>
            <w:tcW w:w="2070" w:type="dxa"/>
            <w:tcBorders>
              <w:top w:val="single" w:sz="4" w:space="0" w:color="auto"/>
              <w:left w:val="single" w:sz="4" w:space="0" w:color="auto"/>
            </w:tcBorders>
          </w:tcPr>
          <w:p w14:paraId="35E3F03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1350" w:type="dxa"/>
            <w:tcBorders>
              <w:top w:val="single" w:sz="4" w:space="0" w:color="auto"/>
              <w:left w:val="single" w:sz="4" w:space="0" w:color="auto"/>
            </w:tcBorders>
          </w:tcPr>
          <w:p w14:paraId="048420E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133.6, C</w:t>
            </w:r>
          </w:p>
        </w:tc>
        <w:tc>
          <w:tcPr>
            <w:tcW w:w="2160" w:type="dxa"/>
            <w:tcBorders>
              <w:top w:val="single" w:sz="4" w:space="0" w:color="auto"/>
              <w:left w:val="single" w:sz="4" w:space="0" w:color="auto"/>
            </w:tcBorders>
          </w:tcPr>
          <w:p w14:paraId="5BEE7E4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54B8037A" w14:textId="77777777" w:rsidTr="00562397">
        <w:tc>
          <w:tcPr>
            <w:tcW w:w="1345" w:type="dxa"/>
            <w:vMerge/>
            <w:tcBorders>
              <w:right w:val="single" w:sz="4" w:space="0" w:color="auto"/>
            </w:tcBorders>
          </w:tcPr>
          <w:p w14:paraId="59874E1D"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36CCA32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1a</w:t>
            </w:r>
          </w:p>
        </w:tc>
        <w:tc>
          <w:tcPr>
            <w:tcW w:w="1350" w:type="dxa"/>
            <w:tcBorders>
              <w:top w:val="nil"/>
              <w:left w:val="single" w:sz="4" w:space="0" w:color="auto"/>
              <w:bottom w:val="nil"/>
              <w:right w:val="single" w:sz="4" w:space="0" w:color="auto"/>
            </w:tcBorders>
          </w:tcPr>
          <w:p w14:paraId="639ACE6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145.4, C</w:t>
            </w:r>
          </w:p>
        </w:tc>
        <w:tc>
          <w:tcPr>
            <w:tcW w:w="2070" w:type="dxa"/>
            <w:tcBorders>
              <w:left w:val="single" w:sz="4" w:space="0" w:color="auto"/>
            </w:tcBorders>
          </w:tcPr>
          <w:p w14:paraId="44EC2B3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1350" w:type="dxa"/>
            <w:tcBorders>
              <w:left w:val="single" w:sz="4" w:space="0" w:color="auto"/>
            </w:tcBorders>
          </w:tcPr>
          <w:p w14:paraId="3342BDD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144.3, C</w:t>
            </w:r>
          </w:p>
        </w:tc>
        <w:tc>
          <w:tcPr>
            <w:tcW w:w="2160" w:type="dxa"/>
            <w:tcBorders>
              <w:left w:val="single" w:sz="4" w:space="0" w:color="auto"/>
            </w:tcBorders>
          </w:tcPr>
          <w:p w14:paraId="227A9BC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25BFC7CC" w14:textId="77777777" w:rsidTr="00562397">
        <w:tc>
          <w:tcPr>
            <w:tcW w:w="1345" w:type="dxa"/>
            <w:vMerge/>
            <w:tcBorders>
              <w:bottom w:val="nil"/>
              <w:right w:val="single" w:sz="4" w:space="0" w:color="auto"/>
            </w:tcBorders>
          </w:tcPr>
          <w:p w14:paraId="326A50C3"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33A922D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3</w:t>
            </w:r>
          </w:p>
        </w:tc>
        <w:tc>
          <w:tcPr>
            <w:tcW w:w="1350" w:type="dxa"/>
            <w:tcBorders>
              <w:top w:val="nil"/>
              <w:left w:val="single" w:sz="4" w:space="0" w:color="auto"/>
              <w:bottom w:val="nil"/>
              <w:right w:val="single" w:sz="4" w:space="0" w:color="auto"/>
            </w:tcBorders>
          </w:tcPr>
          <w:p w14:paraId="7AA9FE9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137.7, CH</w:t>
            </w:r>
          </w:p>
        </w:tc>
        <w:tc>
          <w:tcPr>
            <w:tcW w:w="2070" w:type="dxa"/>
            <w:tcBorders>
              <w:left w:val="single" w:sz="4" w:space="0" w:color="auto"/>
            </w:tcBorders>
          </w:tcPr>
          <w:p w14:paraId="669A114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8.32 (d)</w:t>
            </w:r>
          </w:p>
        </w:tc>
        <w:tc>
          <w:tcPr>
            <w:tcW w:w="1350" w:type="dxa"/>
            <w:tcBorders>
              <w:left w:val="single" w:sz="4" w:space="0" w:color="auto"/>
            </w:tcBorders>
          </w:tcPr>
          <w:p w14:paraId="3F95797B"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137.9, CH</w:t>
            </w:r>
          </w:p>
        </w:tc>
        <w:tc>
          <w:tcPr>
            <w:tcW w:w="2160" w:type="dxa"/>
            <w:tcBorders>
              <w:left w:val="single" w:sz="4" w:space="0" w:color="auto"/>
            </w:tcBorders>
          </w:tcPr>
          <w:p w14:paraId="64622F5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8.28 (d)</w:t>
            </w:r>
          </w:p>
        </w:tc>
      </w:tr>
      <w:tr w:rsidR="007B7129" w:rsidRPr="007B7129" w14:paraId="15630F4E" w14:textId="77777777" w:rsidTr="00562397">
        <w:tc>
          <w:tcPr>
            <w:tcW w:w="1345" w:type="dxa"/>
            <w:tcBorders>
              <w:top w:val="nil"/>
              <w:bottom w:val="nil"/>
              <w:right w:val="single" w:sz="4" w:space="0" w:color="auto"/>
            </w:tcBorders>
          </w:tcPr>
          <w:p w14:paraId="49609BC0"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1A43E8E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4</w:t>
            </w:r>
          </w:p>
          <w:p w14:paraId="3A4A725B"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4a</w:t>
            </w:r>
          </w:p>
        </w:tc>
        <w:tc>
          <w:tcPr>
            <w:tcW w:w="1350" w:type="dxa"/>
            <w:tcBorders>
              <w:top w:val="nil"/>
              <w:left w:val="single" w:sz="4" w:space="0" w:color="auto"/>
              <w:bottom w:val="nil"/>
              <w:right w:val="single" w:sz="4" w:space="0" w:color="auto"/>
            </w:tcBorders>
          </w:tcPr>
          <w:p w14:paraId="5511ECB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121.3, CH</w:t>
            </w:r>
          </w:p>
          <w:p w14:paraId="2BB40D2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140.4, C</w:t>
            </w:r>
          </w:p>
        </w:tc>
        <w:tc>
          <w:tcPr>
            <w:tcW w:w="2070" w:type="dxa"/>
            <w:tcBorders>
              <w:left w:val="single" w:sz="4" w:space="0" w:color="auto"/>
            </w:tcBorders>
          </w:tcPr>
          <w:p w14:paraId="3568E8E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8.21 (d)</w:t>
            </w:r>
          </w:p>
          <w:p w14:paraId="14BCDDE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1350" w:type="dxa"/>
            <w:tcBorders>
              <w:left w:val="single" w:sz="4" w:space="0" w:color="auto"/>
            </w:tcBorders>
          </w:tcPr>
          <w:p w14:paraId="2C99F94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114.1, CH</w:t>
            </w:r>
          </w:p>
          <w:p w14:paraId="29FC02A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139.3, C</w:t>
            </w:r>
          </w:p>
        </w:tc>
        <w:tc>
          <w:tcPr>
            <w:tcW w:w="2160" w:type="dxa"/>
            <w:tcBorders>
              <w:left w:val="single" w:sz="4" w:space="0" w:color="auto"/>
            </w:tcBorders>
          </w:tcPr>
          <w:p w14:paraId="43FE00C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7.94 (d)</w:t>
            </w:r>
          </w:p>
          <w:p w14:paraId="026FC84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488AC242" w14:textId="77777777" w:rsidTr="00562397">
        <w:tc>
          <w:tcPr>
            <w:tcW w:w="1345" w:type="dxa"/>
            <w:tcBorders>
              <w:top w:val="nil"/>
              <w:bottom w:val="nil"/>
              <w:right w:val="single" w:sz="4" w:space="0" w:color="auto"/>
            </w:tcBorders>
          </w:tcPr>
          <w:p w14:paraId="144EF011"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335C86A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5</w:t>
            </w:r>
          </w:p>
          <w:p w14:paraId="7FA6A3A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5a</w:t>
            </w:r>
          </w:p>
        </w:tc>
        <w:tc>
          <w:tcPr>
            <w:tcW w:w="1350" w:type="dxa"/>
            <w:tcBorders>
              <w:top w:val="nil"/>
              <w:left w:val="single" w:sz="4" w:space="0" w:color="auto"/>
              <w:bottom w:val="nil"/>
              <w:right w:val="single" w:sz="4" w:space="0" w:color="auto"/>
            </w:tcBorders>
          </w:tcPr>
          <w:p w14:paraId="36E07E6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113.7, CH</w:t>
            </w:r>
          </w:p>
          <w:p w14:paraId="5D5F101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141.1, C</w:t>
            </w:r>
          </w:p>
        </w:tc>
        <w:tc>
          <w:tcPr>
            <w:tcW w:w="2070" w:type="dxa"/>
            <w:tcBorders>
              <w:left w:val="single" w:sz="4" w:space="0" w:color="auto"/>
            </w:tcBorders>
          </w:tcPr>
          <w:p w14:paraId="22F9ED5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8.05 (d)</w:t>
            </w:r>
          </w:p>
          <w:p w14:paraId="691232E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1350" w:type="dxa"/>
            <w:tcBorders>
              <w:left w:val="single" w:sz="4" w:space="0" w:color="auto"/>
            </w:tcBorders>
          </w:tcPr>
          <w:p w14:paraId="7A370EF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122.5. CH</w:t>
            </w:r>
          </w:p>
          <w:p w14:paraId="2D463E8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141.7, C</w:t>
            </w:r>
          </w:p>
        </w:tc>
        <w:tc>
          <w:tcPr>
            <w:tcW w:w="2160" w:type="dxa"/>
            <w:tcBorders>
              <w:left w:val="single" w:sz="4" w:space="0" w:color="auto"/>
            </w:tcBorders>
          </w:tcPr>
          <w:p w14:paraId="7AD8787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8.22 (d)</w:t>
            </w:r>
          </w:p>
          <w:p w14:paraId="5D92170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2BC69C2F" w14:textId="77777777" w:rsidTr="00562397">
        <w:tc>
          <w:tcPr>
            <w:tcW w:w="1345" w:type="dxa"/>
            <w:tcBorders>
              <w:top w:val="nil"/>
              <w:bottom w:val="nil"/>
              <w:right w:val="single" w:sz="4" w:space="0" w:color="auto"/>
            </w:tcBorders>
          </w:tcPr>
          <w:p w14:paraId="0E4B3FD6"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77DCB0C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w:t>
            </w:r>
          </w:p>
        </w:tc>
        <w:tc>
          <w:tcPr>
            <w:tcW w:w="1350" w:type="dxa"/>
            <w:tcBorders>
              <w:top w:val="nil"/>
              <w:left w:val="single" w:sz="4" w:space="0" w:color="auto"/>
              <w:bottom w:val="nil"/>
              <w:right w:val="single" w:sz="4" w:space="0" w:color="auto"/>
            </w:tcBorders>
          </w:tcPr>
          <w:p w14:paraId="6875EF4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117.4, CH</w:t>
            </w:r>
          </w:p>
        </w:tc>
        <w:tc>
          <w:tcPr>
            <w:tcW w:w="2070" w:type="dxa"/>
            <w:tcBorders>
              <w:left w:val="single" w:sz="4" w:space="0" w:color="auto"/>
            </w:tcBorders>
          </w:tcPr>
          <w:p w14:paraId="0F69206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7.37 (t)</w:t>
            </w:r>
          </w:p>
        </w:tc>
        <w:tc>
          <w:tcPr>
            <w:tcW w:w="1350" w:type="dxa"/>
            <w:tcBorders>
              <w:left w:val="single" w:sz="4" w:space="0" w:color="auto"/>
            </w:tcBorders>
          </w:tcPr>
          <w:p w14:paraId="4F0BFBC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119.7, CH</w:t>
            </w:r>
          </w:p>
        </w:tc>
        <w:tc>
          <w:tcPr>
            <w:tcW w:w="2160" w:type="dxa"/>
            <w:tcBorders>
              <w:left w:val="single" w:sz="4" w:space="0" w:color="auto"/>
            </w:tcBorders>
          </w:tcPr>
          <w:p w14:paraId="19C8147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7.26 (m)</w:t>
            </w:r>
          </w:p>
        </w:tc>
      </w:tr>
      <w:tr w:rsidR="007B7129" w:rsidRPr="007B7129" w14:paraId="44A4EA11" w14:textId="77777777" w:rsidTr="00562397">
        <w:tc>
          <w:tcPr>
            <w:tcW w:w="1345" w:type="dxa"/>
            <w:tcBorders>
              <w:top w:val="nil"/>
              <w:bottom w:val="nil"/>
              <w:right w:val="single" w:sz="4" w:space="0" w:color="auto"/>
            </w:tcBorders>
          </w:tcPr>
          <w:p w14:paraId="7D628752"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47EE433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w:t>
            </w:r>
          </w:p>
        </w:tc>
        <w:tc>
          <w:tcPr>
            <w:tcW w:w="1350" w:type="dxa"/>
            <w:tcBorders>
              <w:top w:val="nil"/>
              <w:left w:val="single" w:sz="4" w:space="0" w:color="auto"/>
              <w:bottom w:val="nil"/>
              <w:right w:val="single" w:sz="4" w:space="0" w:color="auto"/>
            </w:tcBorders>
          </w:tcPr>
          <w:p w14:paraId="1A9624B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127.7, CH</w:t>
            </w:r>
          </w:p>
        </w:tc>
        <w:tc>
          <w:tcPr>
            <w:tcW w:w="2070" w:type="dxa"/>
            <w:tcBorders>
              <w:left w:val="single" w:sz="4" w:space="0" w:color="auto"/>
            </w:tcBorders>
          </w:tcPr>
          <w:p w14:paraId="0D0C85F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7.49 (</w:t>
            </w:r>
            <w:proofErr w:type="spellStart"/>
            <w:r w:rsidRPr="007B7129">
              <w:rPr>
                <w:rFonts w:cs="Times New Roman"/>
                <w:color w:val="000000"/>
                <w:szCs w:val="24"/>
                <w:shd w:val="clear" w:color="auto" w:fill="FFFFFF"/>
              </w:rPr>
              <w:t>ddd</w:t>
            </w:r>
            <w:proofErr w:type="spellEnd"/>
            <w:r w:rsidRPr="007B7129">
              <w:rPr>
                <w:rFonts w:cs="Times New Roman"/>
                <w:color w:val="000000"/>
                <w:szCs w:val="24"/>
                <w:shd w:val="clear" w:color="auto" w:fill="FFFFFF"/>
              </w:rPr>
              <w:t>)</w:t>
            </w:r>
          </w:p>
        </w:tc>
        <w:tc>
          <w:tcPr>
            <w:tcW w:w="1350" w:type="dxa"/>
            <w:tcBorders>
              <w:left w:val="single" w:sz="4" w:space="0" w:color="auto"/>
            </w:tcBorders>
          </w:tcPr>
          <w:p w14:paraId="347BE84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128.3. CH</w:t>
            </w:r>
          </w:p>
        </w:tc>
        <w:tc>
          <w:tcPr>
            <w:tcW w:w="2160" w:type="dxa"/>
            <w:tcBorders>
              <w:left w:val="single" w:sz="4" w:space="0" w:color="auto"/>
            </w:tcBorders>
          </w:tcPr>
          <w:p w14:paraId="108B220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7.58 (m)</w:t>
            </w:r>
          </w:p>
        </w:tc>
      </w:tr>
      <w:tr w:rsidR="007B7129" w:rsidRPr="007B7129" w14:paraId="616E5FBC" w14:textId="77777777" w:rsidTr="00562397">
        <w:tc>
          <w:tcPr>
            <w:tcW w:w="1345" w:type="dxa"/>
            <w:tcBorders>
              <w:top w:val="nil"/>
              <w:bottom w:val="nil"/>
              <w:right w:val="single" w:sz="4" w:space="0" w:color="auto"/>
            </w:tcBorders>
          </w:tcPr>
          <w:p w14:paraId="05B45643"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725DF1C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w:t>
            </w:r>
          </w:p>
          <w:p w14:paraId="191123E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8a</w:t>
            </w:r>
          </w:p>
        </w:tc>
        <w:tc>
          <w:tcPr>
            <w:tcW w:w="1350" w:type="dxa"/>
            <w:tcBorders>
              <w:top w:val="nil"/>
              <w:left w:val="single" w:sz="4" w:space="0" w:color="auto"/>
              <w:bottom w:val="nil"/>
              <w:right w:val="single" w:sz="4" w:space="0" w:color="auto"/>
            </w:tcBorders>
          </w:tcPr>
          <w:p w14:paraId="419C239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112.5, CH</w:t>
            </w:r>
          </w:p>
          <w:p w14:paraId="1E0F738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128.1, C</w:t>
            </w:r>
          </w:p>
        </w:tc>
        <w:tc>
          <w:tcPr>
            <w:tcW w:w="2070" w:type="dxa"/>
            <w:tcBorders>
              <w:left w:val="single" w:sz="4" w:space="0" w:color="auto"/>
              <w:bottom w:val="nil"/>
            </w:tcBorders>
          </w:tcPr>
          <w:p w14:paraId="51CF3FE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7.67 (d)</w:t>
            </w:r>
          </w:p>
          <w:p w14:paraId="16D28C0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1350" w:type="dxa"/>
            <w:tcBorders>
              <w:left w:val="single" w:sz="4" w:space="0" w:color="auto"/>
              <w:bottom w:val="nil"/>
            </w:tcBorders>
          </w:tcPr>
          <w:p w14:paraId="2652DAF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110.0, CH</w:t>
            </w:r>
          </w:p>
          <w:p w14:paraId="53A6D0DB"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121.0, C</w:t>
            </w:r>
          </w:p>
        </w:tc>
        <w:tc>
          <w:tcPr>
            <w:tcW w:w="2160" w:type="dxa"/>
            <w:tcBorders>
              <w:left w:val="single" w:sz="4" w:space="0" w:color="auto"/>
              <w:bottom w:val="nil"/>
            </w:tcBorders>
          </w:tcPr>
          <w:p w14:paraId="41A731F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7.70 (d)</w:t>
            </w:r>
          </w:p>
          <w:p w14:paraId="46345A0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31BE41A8" w14:textId="77777777" w:rsidTr="00562397">
        <w:tc>
          <w:tcPr>
            <w:tcW w:w="1345" w:type="dxa"/>
            <w:tcBorders>
              <w:top w:val="nil"/>
              <w:bottom w:val="single" w:sz="4" w:space="0" w:color="auto"/>
              <w:right w:val="single" w:sz="4" w:space="0" w:color="auto"/>
            </w:tcBorders>
          </w:tcPr>
          <w:p w14:paraId="625B9B0B"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single" w:sz="4" w:space="0" w:color="auto"/>
              <w:right w:val="single" w:sz="4" w:space="0" w:color="auto"/>
            </w:tcBorders>
          </w:tcPr>
          <w:p w14:paraId="6F57D67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9N</w:t>
            </w:r>
          </w:p>
        </w:tc>
        <w:tc>
          <w:tcPr>
            <w:tcW w:w="1350" w:type="dxa"/>
            <w:tcBorders>
              <w:top w:val="nil"/>
              <w:left w:val="single" w:sz="4" w:space="0" w:color="auto"/>
              <w:bottom w:val="single" w:sz="4" w:space="0" w:color="auto"/>
              <w:right w:val="single" w:sz="4" w:space="0" w:color="auto"/>
            </w:tcBorders>
          </w:tcPr>
          <w:p w14:paraId="17CBEC3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2070" w:type="dxa"/>
            <w:tcBorders>
              <w:top w:val="nil"/>
              <w:left w:val="single" w:sz="4" w:space="0" w:color="auto"/>
              <w:bottom w:val="single" w:sz="4" w:space="0" w:color="auto"/>
            </w:tcBorders>
          </w:tcPr>
          <w:p w14:paraId="053221C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10.99 (s)</w:t>
            </w:r>
          </w:p>
        </w:tc>
        <w:tc>
          <w:tcPr>
            <w:tcW w:w="1350" w:type="dxa"/>
            <w:tcBorders>
              <w:top w:val="nil"/>
              <w:left w:val="single" w:sz="4" w:space="0" w:color="auto"/>
              <w:bottom w:val="single" w:sz="4" w:space="0" w:color="auto"/>
            </w:tcBorders>
          </w:tcPr>
          <w:p w14:paraId="6F456A7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2160" w:type="dxa"/>
            <w:tcBorders>
              <w:top w:val="nil"/>
              <w:left w:val="single" w:sz="4" w:space="0" w:color="auto"/>
              <w:bottom w:val="single" w:sz="4" w:space="0" w:color="auto"/>
            </w:tcBorders>
          </w:tcPr>
          <w:p w14:paraId="5512150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10.64 (s)</w:t>
            </w:r>
          </w:p>
        </w:tc>
      </w:tr>
      <w:tr w:rsidR="007B7129" w:rsidRPr="007B7129" w14:paraId="076A2CAB" w14:textId="77777777" w:rsidTr="00562397">
        <w:tc>
          <w:tcPr>
            <w:tcW w:w="1345" w:type="dxa"/>
            <w:vMerge w:val="restart"/>
            <w:tcBorders>
              <w:top w:val="single" w:sz="4" w:space="0" w:color="auto"/>
              <w:right w:val="single" w:sz="4" w:space="0" w:color="auto"/>
            </w:tcBorders>
          </w:tcPr>
          <w:p w14:paraId="6AE98AC4" w14:textId="77777777" w:rsidR="007B7129" w:rsidRPr="007B7129" w:rsidRDefault="007B7129" w:rsidP="007B7129">
            <w:pPr>
              <w:spacing w:line="240" w:lineRule="auto"/>
              <w:contextualSpacing/>
              <w:jc w:val="center"/>
              <w:rPr>
                <w:rFonts w:cs="Times New Roman"/>
                <w:color w:val="000000"/>
                <w:szCs w:val="24"/>
                <w:shd w:val="clear" w:color="auto" w:fill="FFFFFF"/>
              </w:rPr>
            </w:pPr>
            <w:r w:rsidRPr="007B7129">
              <w:rPr>
                <w:rFonts w:cs="Times New Roman"/>
                <w:color w:val="000000"/>
                <w:szCs w:val="24"/>
                <w:shd w:val="clear" w:color="auto" w:fill="FFFFFF"/>
              </w:rPr>
              <w:t>β-carboline B</w:t>
            </w:r>
          </w:p>
        </w:tc>
        <w:tc>
          <w:tcPr>
            <w:tcW w:w="1080" w:type="dxa"/>
            <w:tcBorders>
              <w:top w:val="single" w:sz="4" w:space="0" w:color="auto"/>
              <w:left w:val="single" w:sz="4" w:space="0" w:color="auto"/>
              <w:bottom w:val="nil"/>
              <w:right w:val="single" w:sz="4" w:space="0" w:color="auto"/>
            </w:tcBorders>
          </w:tcPr>
          <w:p w14:paraId="1C7D7F0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w:t>
            </w:r>
          </w:p>
          <w:p w14:paraId="157E48AB"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1a’</w:t>
            </w:r>
          </w:p>
        </w:tc>
        <w:tc>
          <w:tcPr>
            <w:tcW w:w="1350" w:type="dxa"/>
            <w:tcBorders>
              <w:top w:val="single" w:sz="4" w:space="0" w:color="auto"/>
              <w:left w:val="single" w:sz="4" w:space="0" w:color="auto"/>
              <w:bottom w:val="nil"/>
              <w:right w:val="single" w:sz="4" w:space="0" w:color="auto"/>
            </w:tcBorders>
          </w:tcPr>
          <w:p w14:paraId="28B692E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53.5, CH</w:t>
            </w:r>
          </w:p>
          <w:p w14:paraId="7F2E660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136.1, C</w:t>
            </w:r>
          </w:p>
        </w:tc>
        <w:tc>
          <w:tcPr>
            <w:tcW w:w="2070" w:type="dxa"/>
            <w:tcBorders>
              <w:top w:val="single" w:sz="4" w:space="0" w:color="auto"/>
              <w:left w:val="single" w:sz="4" w:space="0" w:color="auto"/>
            </w:tcBorders>
          </w:tcPr>
          <w:p w14:paraId="320D310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4.58 (d)</w:t>
            </w:r>
          </w:p>
          <w:p w14:paraId="3F1D9CA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1350" w:type="dxa"/>
            <w:tcBorders>
              <w:top w:val="single" w:sz="4" w:space="0" w:color="auto"/>
              <w:left w:val="single" w:sz="4" w:space="0" w:color="auto"/>
            </w:tcBorders>
          </w:tcPr>
          <w:p w14:paraId="6E0F695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69.8, CH</w:t>
            </w:r>
          </w:p>
          <w:p w14:paraId="604A058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136.1, C</w:t>
            </w:r>
          </w:p>
        </w:tc>
        <w:tc>
          <w:tcPr>
            <w:tcW w:w="2160" w:type="dxa"/>
            <w:tcBorders>
              <w:top w:val="single" w:sz="4" w:space="0" w:color="auto"/>
              <w:left w:val="single" w:sz="4" w:space="0" w:color="auto"/>
            </w:tcBorders>
          </w:tcPr>
          <w:p w14:paraId="12C3DA4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6.02 (t)</w:t>
            </w:r>
          </w:p>
          <w:p w14:paraId="7E9A7AE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11C8FAF9" w14:textId="77777777" w:rsidTr="00562397">
        <w:tc>
          <w:tcPr>
            <w:tcW w:w="1345" w:type="dxa"/>
            <w:vMerge/>
            <w:tcBorders>
              <w:right w:val="single" w:sz="4" w:space="0" w:color="auto"/>
            </w:tcBorders>
          </w:tcPr>
          <w:p w14:paraId="0F403E84"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2EAB0FB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3’</w:t>
            </w:r>
          </w:p>
        </w:tc>
        <w:tc>
          <w:tcPr>
            <w:tcW w:w="1350" w:type="dxa"/>
            <w:tcBorders>
              <w:top w:val="nil"/>
              <w:left w:val="single" w:sz="4" w:space="0" w:color="auto"/>
              <w:bottom w:val="nil"/>
              <w:right w:val="single" w:sz="4" w:space="0" w:color="auto"/>
            </w:tcBorders>
          </w:tcPr>
          <w:p w14:paraId="7387B1E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45.3, CH2</w:t>
            </w:r>
          </w:p>
        </w:tc>
        <w:tc>
          <w:tcPr>
            <w:tcW w:w="2070" w:type="dxa"/>
            <w:tcBorders>
              <w:left w:val="single" w:sz="4" w:space="0" w:color="auto"/>
            </w:tcBorders>
          </w:tcPr>
          <w:p w14:paraId="37C1E35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2.93 (m), 2.99 (m)</w:t>
            </w:r>
          </w:p>
        </w:tc>
        <w:tc>
          <w:tcPr>
            <w:tcW w:w="1350" w:type="dxa"/>
            <w:tcBorders>
              <w:left w:val="single" w:sz="4" w:space="0" w:color="auto"/>
            </w:tcBorders>
          </w:tcPr>
          <w:p w14:paraId="243C097B"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25.2, CH2</w:t>
            </w:r>
          </w:p>
        </w:tc>
        <w:tc>
          <w:tcPr>
            <w:tcW w:w="2160" w:type="dxa"/>
            <w:tcBorders>
              <w:left w:val="single" w:sz="4" w:space="0" w:color="auto"/>
            </w:tcBorders>
          </w:tcPr>
          <w:p w14:paraId="2E446AFB"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2.87 (m), 2.97 (m)</w:t>
            </w:r>
          </w:p>
        </w:tc>
      </w:tr>
      <w:tr w:rsidR="007B7129" w:rsidRPr="007B7129" w14:paraId="55516DCB" w14:textId="77777777" w:rsidTr="00562397">
        <w:tc>
          <w:tcPr>
            <w:tcW w:w="1345" w:type="dxa"/>
            <w:vMerge/>
            <w:tcBorders>
              <w:bottom w:val="nil"/>
              <w:right w:val="single" w:sz="4" w:space="0" w:color="auto"/>
            </w:tcBorders>
          </w:tcPr>
          <w:p w14:paraId="6650E97D"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491A41B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4’</w:t>
            </w:r>
          </w:p>
          <w:p w14:paraId="0F58EDF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4a’</w:t>
            </w:r>
          </w:p>
        </w:tc>
        <w:tc>
          <w:tcPr>
            <w:tcW w:w="1350" w:type="dxa"/>
            <w:tcBorders>
              <w:top w:val="nil"/>
              <w:left w:val="single" w:sz="4" w:space="0" w:color="auto"/>
              <w:bottom w:val="nil"/>
              <w:right w:val="single" w:sz="4" w:space="0" w:color="auto"/>
            </w:tcBorders>
          </w:tcPr>
          <w:p w14:paraId="61AEE63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21.4, CH2</w:t>
            </w:r>
          </w:p>
          <w:p w14:paraId="0DC1B32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118.3, C</w:t>
            </w:r>
          </w:p>
        </w:tc>
        <w:tc>
          <w:tcPr>
            <w:tcW w:w="2070" w:type="dxa"/>
            <w:tcBorders>
              <w:left w:val="single" w:sz="4" w:space="0" w:color="auto"/>
            </w:tcBorders>
          </w:tcPr>
          <w:p w14:paraId="5B01BDD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2.71 (m), 2.53 (m)</w:t>
            </w:r>
          </w:p>
          <w:p w14:paraId="6CDD04E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1350" w:type="dxa"/>
            <w:tcBorders>
              <w:left w:val="single" w:sz="4" w:space="0" w:color="auto"/>
            </w:tcBorders>
          </w:tcPr>
          <w:p w14:paraId="7611C7F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46.6, CH2</w:t>
            </w:r>
          </w:p>
          <w:p w14:paraId="2330410B"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112.4, C</w:t>
            </w:r>
          </w:p>
        </w:tc>
        <w:tc>
          <w:tcPr>
            <w:tcW w:w="2160" w:type="dxa"/>
            <w:tcBorders>
              <w:left w:val="single" w:sz="4" w:space="0" w:color="auto"/>
            </w:tcBorders>
          </w:tcPr>
          <w:p w14:paraId="0D3C0A6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1.85 (m), 3.21 (m)</w:t>
            </w:r>
          </w:p>
          <w:p w14:paraId="5367EF3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7EB09EDE" w14:textId="77777777" w:rsidTr="00562397">
        <w:tc>
          <w:tcPr>
            <w:tcW w:w="1345" w:type="dxa"/>
            <w:tcBorders>
              <w:top w:val="nil"/>
              <w:bottom w:val="nil"/>
              <w:right w:val="single" w:sz="4" w:space="0" w:color="auto"/>
            </w:tcBorders>
          </w:tcPr>
          <w:p w14:paraId="2FEDE9E7"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5532FEA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5’</w:t>
            </w:r>
          </w:p>
          <w:p w14:paraId="205F842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5a’</w:t>
            </w:r>
          </w:p>
        </w:tc>
        <w:tc>
          <w:tcPr>
            <w:tcW w:w="1350" w:type="dxa"/>
            <w:tcBorders>
              <w:top w:val="nil"/>
              <w:left w:val="single" w:sz="4" w:space="0" w:color="auto"/>
              <w:bottom w:val="nil"/>
              <w:right w:val="single" w:sz="4" w:space="0" w:color="auto"/>
            </w:tcBorders>
          </w:tcPr>
          <w:p w14:paraId="0B5D132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119.2, CH</w:t>
            </w:r>
          </w:p>
          <w:p w14:paraId="0CB469E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135.8, C</w:t>
            </w:r>
          </w:p>
        </w:tc>
        <w:tc>
          <w:tcPr>
            <w:tcW w:w="2070" w:type="dxa"/>
            <w:tcBorders>
              <w:left w:val="single" w:sz="4" w:space="0" w:color="auto"/>
            </w:tcBorders>
          </w:tcPr>
          <w:p w14:paraId="004EA4C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7.22 (t)</w:t>
            </w:r>
          </w:p>
          <w:p w14:paraId="6412FC3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1350" w:type="dxa"/>
            <w:tcBorders>
              <w:left w:val="single" w:sz="4" w:space="0" w:color="auto"/>
            </w:tcBorders>
          </w:tcPr>
          <w:p w14:paraId="4762B91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122.2, CH</w:t>
            </w:r>
          </w:p>
          <w:p w14:paraId="3163EA9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111.2, C</w:t>
            </w:r>
          </w:p>
        </w:tc>
        <w:tc>
          <w:tcPr>
            <w:tcW w:w="2160" w:type="dxa"/>
            <w:tcBorders>
              <w:left w:val="single" w:sz="4" w:space="0" w:color="auto"/>
            </w:tcBorders>
          </w:tcPr>
          <w:p w14:paraId="612C96D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6.99 (m)</w:t>
            </w:r>
          </w:p>
          <w:p w14:paraId="06A4E34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09C873CD" w14:textId="77777777" w:rsidTr="00562397">
        <w:tc>
          <w:tcPr>
            <w:tcW w:w="1345" w:type="dxa"/>
            <w:tcBorders>
              <w:top w:val="nil"/>
              <w:bottom w:val="nil"/>
              <w:right w:val="single" w:sz="4" w:space="0" w:color="auto"/>
            </w:tcBorders>
          </w:tcPr>
          <w:p w14:paraId="58CB96B2"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156101C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w:t>
            </w:r>
          </w:p>
        </w:tc>
        <w:tc>
          <w:tcPr>
            <w:tcW w:w="1350" w:type="dxa"/>
            <w:tcBorders>
              <w:top w:val="nil"/>
              <w:left w:val="single" w:sz="4" w:space="0" w:color="auto"/>
              <w:bottom w:val="nil"/>
              <w:right w:val="single" w:sz="4" w:space="0" w:color="auto"/>
            </w:tcBorders>
          </w:tcPr>
          <w:p w14:paraId="458F1F3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111.0, CH</w:t>
            </w:r>
          </w:p>
        </w:tc>
        <w:tc>
          <w:tcPr>
            <w:tcW w:w="2070" w:type="dxa"/>
            <w:tcBorders>
              <w:left w:val="single" w:sz="4" w:space="0" w:color="auto"/>
            </w:tcBorders>
          </w:tcPr>
          <w:p w14:paraId="1EAC6F1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7.35 (t)</w:t>
            </w:r>
          </w:p>
        </w:tc>
        <w:tc>
          <w:tcPr>
            <w:tcW w:w="1350" w:type="dxa"/>
            <w:tcBorders>
              <w:left w:val="single" w:sz="4" w:space="0" w:color="auto"/>
            </w:tcBorders>
          </w:tcPr>
          <w:p w14:paraId="582ED2D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118.2. CH</w:t>
            </w:r>
          </w:p>
        </w:tc>
        <w:tc>
          <w:tcPr>
            <w:tcW w:w="2160" w:type="dxa"/>
            <w:tcBorders>
              <w:left w:val="single" w:sz="4" w:space="0" w:color="auto"/>
            </w:tcBorders>
          </w:tcPr>
          <w:p w14:paraId="175A99B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7.31 (d)</w:t>
            </w:r>
          </w:p>
        </w:tc>
      </w:tr>
      <w:tr w:rsidR="007B7129" w:rsidRPr="007B7129" w14:paraId="292EC74D" w14:textId="77777777" w:rsidTr="00562397">
        <w:tc>
          <w:tcPr>
            <w:tcW w:w="1345" w:type="dxa"/>
            <w:tcBorders>
              <w:top w:val="nil"/>
              <w:bottom w:val="nil"/>
              <w:right w:val="single" w:sz="4" w:space="0" w:color="auto"/>
            </w:tcBorders>
          </w:tcPr>
          <w:p w14:paraId="6A0F4348"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669509C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w:t>
            </w:r>
          </w:p>
        </w:tc>
        <w:tc>
          <w:tcPr>
            <w:tcW w:w="1350" w:type="dxa"/>
            <w:tcBorders>
              <w:top w:val="nil"/>
              <w:left w:val="single" w:sz="4" w:space="0" w:color="auto"/>
              <w:bottom w:val="nil"/>
              <w:right w:val="single" w:sz="4" w:space="0" w:color="auto"/>
            </w:tcBorders>
          </w:tcPr>
          <w:p w14:paraId="7EA420D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118.1, CH</w:t>
            </w:r>
          </w:p>
        </w:tc>
        <w:tc>
          <w:tcPr>
            <w:tcW w:w="2070" w:type="dxa"/>
            <w:tcBorders>
              <w:left w:val="single" w:sz="4" w:space="0" w:color="auto"/>
            </w:tcBorders>
          </w:tcPr>
          <w:p w14:paraId="798C5E8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6.96 (t)</w:t>
            </w:r>
          </w:p>
        </w:tc>
        <w:tc>
          <w:tcPr>
            <w:tcW w:w="1350" w:type="dxa"/>
            <w:tcBorders>
              <w:left w:val="single" w:sz="4" w:space="0" w:color="auto"/>
            </w:tcBorders>
          </w:tcPr>
          <w:p w14:paraId="191412A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117.7, C</w:t>
            </w:r>
          </w:p>
        </w:tc>
        <w:tc>
          <w:tcPr>
            <w:tcW w:w="2160" w:type="dxa"/>
            <w:tcBorders>
              <w:left w:val="single" w:sz="4" w:space="0" w:color="auto"/>
            </w:tcBorders>
          </w:tcPr>
          <w:p w14:paraId="321D4D6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6.78 (t)</w:t>
            </w:r>
          </w:p>
        </w:tc>
      </w:tr>
      <w:tr w:rsidR="007B7129" w:rsidRPr="007B7129" w14:paraId="73DD5762" w14:textId="77777777" w:rsidTr="00562397">
        <w:tc>
          <w:tcPr>
            <w:tcW w:w="1345" w:type="dxa"/>
            <w:tcBorders>
              <w:top w:val="nil"/>
              <w:bottom w:val="nil"/>
              <w:right w:val="single" w:sz="4" w:space="0" w:color="auto"/>
            </w:tcBorders>
          </w:tcPr>
          <w:p w14:paraId="02A0A3E0"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67BB861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w:t>
            </w:r>
          </w:p>
          <w:p w14:paraId="2014FA2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8a’</w:t>
            </w:r>
          </w:p>
        </w:tc>
        <w:tc>
          <w:tcPr>
            <w:tcW w:w="1350" w:type="dxa"/>
            <w:tcBorders>
              <w:top w:val="nil"/>
              <w:left w:val="single" w:sz="4" w:space="0" w:color="auto"/>
              <w:bottom w:val="nil"/>
              <w:right w:val="single" w:sz="4" w:space="0" w:color="auto"/>
            </w:tcBorders>
          </w:tcPr>
          <w:p w14:paraId="5FCD7F0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120.5, CH</w:t>
            </w:r>
          </w:p>
          <w:p w14:paraId="69905AE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126.6, C</w:t>
            </w:r>
          </w:p>
        </w:tc>
        <w:tc>
          <w:tcPr>
            <w:tcW w:w="2070" w:type="dxa"/>
            <w:tcBorders>
              <w:left w:val="single" w:sz="4" w:space="0" w:color="auto"/>
              <w:bottom w:val="nil"/>
            </w:tcBorders>
          </w:tcPr>
          <w:p w14:paraId="61FD5FA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7.05 (m)</w:t>
            </w:r>
          </w:p>
          <w:p w14:paraId="504BB24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1350" w:type="dxa"/>
            <w:tcBorders>
              <w:left w:val="single" w:sz="4" w:space="0" w:color="auto"/>
              <w:bottom w:val="nil"/>
            </w:tcBorders>
          </w:tcPr>
          <w:p w14:paraId="03025BFB"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120.7, CH</w:t>
            </w:r>
          </w:p>
          <w:p w14:paraId="0C8F630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127.0, C</w:t>
            </w:r>
          </w:p>
        </w:tc>
        <w:tc>
          <w:tcPr>
            <w:tcW w:w="2160" w:type="dxa"/>
            <w:tcBorders>
              <w:left w:val="single" w:sz="4" w:space="0" w:color="auto"/>
              <w:bottom w:val="nil"/>
            </w:tcBorders>
          </w:tcPr>
          <w:p w14:paraId="73D7023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6.95 (m)</w:t>
            </w:r>
          </w:p>
          <w:p w14:paraId="1A7E21A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0DE35AB8" w14:textId="77777777" w:rsidTr="00562397">
        <w:tc>
          <w:tcPr>
            <w:tcW w:w="1345" w:type="dxa"/>
            <w:tcBorders>
              <w:top w:val="nil"/>
              <w:bottom w:val="single" w:sz="4" w:space="0" w:color="auto"/>
              <w:right w:val="single" w:sz="4" w:space="0" w:color="auto"/>
            </w:tcBorders>
          </w:tcPr>
          <w:p w14:paraId="0D6E3D65"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single" w:sz="4" w:space="0" w:color="auto"/>
              <w:right w:val="single" w:sz="4" w:space="0" w:color="auto"/>
            </w:tcBorders>
          </w:tcPr>
          <w:p w14:paraId="593609A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9N’</w:t>
            </w:r>
          </w:p>
        </w:tc>
        <w:tc>
          <w:tcPr>
            <w:tcW w:w="1350" w:type="dxa"/>
            <w:tcBorders>
              <w:top w:val="nil"/>
              <w:left w:val="single" w:sz="4" w:space="0" w:color="auto"/>
              <w:bottom w:val="single" w:sz="4" w:space="0" w:color="auto"/>
              <w:right w:val="single" w:sz="4" w:space="0" w:color="auto"/>
            </w:tcBorders>
          </w:tcPr>
          <w:p w14:paraId="091D543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2070" w:type="dxa"/>
            <w:tcBorders>
              <w:top w:val="nil"/>
              <w:left w:val="single" w:sz="4" w:space="0" w:color="auto"/>
              <w:bottom w:val="single" w:sz="4" w:space="0" w:color="auto"/>
            </w:tcBorders>
          </w:tcPr>
          <w:p w14:paraId="45338D5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10.99 (s)</w:t>
            </w:r>
          </w:p>
        </w:tc>
        <w:tc>
          <w:tcPr>
            <w:tcW w:w="1350" w:type="dxa"/>
            <w:tcBorders>
              <w:top w:val="nil"/>
              <w:left w:val="single" w:sz="4" w:space="0" w:color="auto"/>
              <w:bottom w:val="single" w:sz="4" w:space="0" w:color="auto"/>
            </w:tcBorders>
          </w:tcPr>
          <w:p w14:paraId="65C1ABD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2160" w:type="dxa"/>
            <w:tcBorders>
              <w:top w:val="nil"/>
              <w:left w:val="single" w:sz="4" w:space="0" w:color="auto"/>
              <w:bottom w:val="single" w:sz="4" w:space="0" w:color="auto"/>
            </w:tcBorders>
          </w:tcPr>
          <w:p w14:paraId="51E9B57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10.64 (s)</w:t>
            </w:r>
          </w:p>
        </w:tc>
      </w:tr>
      <w:tr w:rsidR="007B7129" w:rsidRPr="007B7129" w14:paraId="07BA69CD" w14:textId="77777777" w:rsidTr="00562397">
        <w:tc>
          <w:tcPr>
            <w:tcW w:w="1345" w:type="dxa"/>
            <w:vMerge w:val="restart"/>
            <w:tcBorders>
              <w:top w:val="single" w:sz="4" w:space="0" w:color="auto"/>
              <w:right w:val="single" w:sz="4" w:space="0" w:color="auto"/>
            </w:tcBorders>
          </w:tcPr>
          <w:p w14:paraId="661BF911" w14:textId="77777777" w:rsidR="007B7129" w:rsidRPr="007B7129" w:rsidRDefault="007B7129" w:rsidP="007B7129">
            <w:pPr>
              <w:spacing w:line="240" w:lineRule="auto"/>
              <w:contextualSpacing/>
              <w:jc w:val="center"/>
              <w:rPr>
                <w:rFonts w:cs="Times New Roman"/>
                <w:color w:val="000000"/>
                <w:szCs w:val="24"/>
                <w:shd w:val="clear" w:color="auto" w:fill="FFFFFF"/>
              </w:rPr>
            </w:pPr>
            <w:r w:rsidRPr="007B7129">
              <w:rPr>
                <w:rFonts w:cs="Times New Roman"/>
                <w:color w:val="000000"/>
                <w:szCs w:val="24"/>
                <w:shd w:val="clear" w:color="auto" w:fill="FFFFFF"/>
              </w:rPr>
              <w:t>Linker</w:t>
            </w:r>
          </w:p>
        </w:tc>
        <w:tc>
          <w:tcPr>
            <w:tcW w:w="1080" w:type="dxa"/>
            <w:tcBorders>
              <w:top w:val="single" w:sz="4" w:space="0" w:color="auto"/>
              <w:left w:val="single" w:sz="4" w:space="0" w:color="auto"/>
              <w:bottom w:val="nil"/>
              <w:right w:val="single" w:sz="4" w:space="0" w:color="auto"/>
            </w:tcBorders>
          </w:tcPr>
          <w:p w14:paraId="5A2EF22B" w14:textId="77777777" w:rsidR="007B7129" w:rsidRPr="007B7129" w:rsidRDefault="007B7129" w:rsidP="007B7129">
            <w:pPr>
              <w:spacing w:line="240" w:lineRule="auto"/>
              <w:contextualSpacing/>
              <w:rPr>
                <w:rFonts w:cs="Times New Roman"/>
                <w:color w:val="FF0000"/>
                <w:szCs w:val="24"/>
                <w:shd w:val="clear" w:color="auto" w:fill="FFFFFF"/>
              </w:rPr>
            </w:pPr>
            <w:r w:rsidRPr="007B7129">
              <w:rPr>
                <w:rFonts w:cs="Times New Roman"/>
                <w:color w:val="FF0000"/>
                <w:szCs w:val="24"/>
                <w:shd w:val="clear" w:color="auto" w:fill="FFFFFF"/>
              </w:rPr>
              <w:t>10</w:t>
            </w:r>
          </w:p>
        </w:tc>
        <w:tc>
          <w:tcPr>
            <w:tcW w:w="1350" w:type="dxa"/>
            <w:tcBorders>
              <w:top w:val="single" w:sz="4" w:space="0" w:color="auto"/>
              <w:left w:val="single" w:sz="4" w:space="0" w:color="auto"/>
              <w:bottom w:val="nil"/>
              <w:right w:val="single" w:sz="4" w:space="0" w:color="auto"/>
            </w:tcBorders>
          </w:tcPr>
          <w:p w14:paraId="560D322A" w14:textId="77777777" w:rsidR="007B7129" w:rsidRPr="007B7129" w:rsidRDefault="007B7129" w:rsidP="007B7129">
            <w:pPr>
              <w:spacing w:line="240" w:lineRule="auto"/>
              <w:contextualSpacing/>
              <w:rPr>
                <w:rFonts w:cs="Times New Roman"/>
                <w:color w:val="FF0000"/>
                <w:szCs w:val="24"/>
                <w:shd w:val="clear" w:color="auto" w:fill="FFFFFF"/>
              </w:rPr>
            </w:pPr>
            <w:r w:rsidRPr="007B7129">
              <w:rPr>
                <w:rFonts w:cs="Times New Roman"/>
                <w:color w:val="FF0000"/>
                <w:szCs w:val="24"/>
                <w:shd w:val="clear" w:color="auto" w:fill="FFFFFF"/>
              </w:rPr>
              <w:t>107.3, C</w:t>
            </w:r>
          </w:p>
        </w:tc>
        <w:tc>
          <w:tcPr>
            <w:tcW w:w="2070" w:type="dxa"/>
            <w:tcBorders>
              <w:top w:val="single" w:sz="4" w:space="0" w:color="auto"/>
              <w:left w:val="single" w:sz="4" w:space="0" w:color="auto"/>
            </w:tcBorders>
          </w:tcPr>
          <w:p w14:paraId="534A473A" w14:textId="77777777" w:rsidR="007B7129" w:rsidRPr="007B7129" w:rsidRDefault="007B7129" w:rsidP="007B7129">
            <w:pPr>
              <w:spacing w:line="240" w:lineRule="auto"/>
              <w:contextualSpacing/>
              <w:rPr>
                <w:rFonts w:cs="Times New Roman"/>
                <w:color w:val="FF0000"/>
                <w:szCs w:val="24"/>
                <w:shd w:val="clear" w:color="auto" w:fill="FFFFFF"/>
              </w:rPr>
            </w:pPr>
            <w:r w:rsidRPr="007B7129">
              <w:rPr>
                <w:rFonts w:cs="Times New Roman"/>
                <w:color w:val="FF0000"/>
                <w:szCs w:val="24"/>
                <w:shd w:val="clear" w:color="auto" w:fill="FFFFFF"/>
              </w:rPr>
              <w:t>-</w:t>
            </w:r>
          </w:p>
        </w:tc>
        <w:tc>
          <w:tcPr>
            <w:tcW w:w="1350" w:type="dxa"/>
            <w:tcBorders>
              <w:top w:val="single" w:sz="4" w:space="0" w:color="auto"/>
              <w:left w:val="single" w:sz="4" w:space="0" w:color="auto"/>
            </w:tcBorders>
          </w:tcPr>
          <w:p w14:paraId="639B7155" w14:textId="77777777" w:rsidR="007B7129" w:rsidRPr="007B7129" w:rsidRDefault="007B7129" w:rsidP="007B7129">
            <w:pPr>
              <w:spacing w:line="240" w:lineRule="auto"/>
              <w:contextualSpacing/>
              <w:rPr>
                <w:rFonts w:cs="Times New Roman"/>
                <w:color w:val="FF0000"/>
                <w:szCs w:val="24"/>
                <w:shd w:val="clear" w:color="auto" w:fill="FFFFFF"/>
              </w:rPr>
            </w:pPr>
            <w:r w:rsidRPr="007B7129">
              <w:rPr>
                <w:rFonts w:cs="Times New Roman"/>
                <w:color w:val="FF0000"/>
                <w:szCs w:val="24"/>
                <w:shd w:val="clear" w:color="auto" w:fill="FFFFFF"/>
              </w:rPr>
              <w:t>84.2, C</w:t>
            </w:r>
          </w:p>
        </w:tc>
        <w:tc>
          <w:tcPr>
            <w:tcW w:w="2160" w:type="dxa"/>
            <w:tcBorders>
              <w:top w:val="single" w:sz="4" w:space="0" w:color="auto"/>
              <w:left w:val="single" w:sz="4" w:space="0" w:color="auto"/>
            </w:tcBorders>
          </w:tcPr>
          <w:p w14:paraId="5D57ADFB" w14:textId="77777777" w:rsidR="007B7129" w:rsidRPr="007B7129" w:rsidRDefault="007B7129" w:rsidP="007B7129">
            <w:pPr>
              <w:spacing w:line="240" w:lineRule="auto"/>
              <w:contextualSpacing/>
              <w:rPr>
                <w:rFonts w:cs="Times New Roman"/>
                <w:color w:val="FF0000"/>
                <w:szCs w:val="24"/>
                <w:shd w:val="clear" w:color="auto" w:fill="FFFFFF"/>
              </w:rPr>
            </w:pPr>
            <w:r w:rsidRPr="007B7129">
              <w:rPr>
                <w:rFonts w:cs="Times New Roman"/>
                <w:color w:val="FF0000"/>
                <w:szCs w:val="24"/>
                <w:shd w:val="clear" w:color="auto" w:fill="FFFFFF"/>
              </w:rPr>
              <w:t>-</w:t>
            </w:r>
          </w:p>
        </w:tc>
      </w:tr>
      <w:tr w:rsidR="007B7129" w:rsidRPr="007B7129" w14:paraId="50FAF572" w14:textId="77777777" w:rsidTr="00562397">
        <w:tc>
          <w:tcPr>
            <w:tcW w:w="1345" w:type="dxa"/>
            <w:vMerge/>
            <w:tcBorders>
              <w:right w:val="single" w:sz="4" w:space="0" w:color="auto"/>
            </w:tcBorders>
          </w:tcPr>
          <w:p w14:paraId="15799B5E"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754A19F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w:t>
            </w:r>
          </w:p>
        </w:tc>
        <w:tc>
          <w:tcPr>
            <w:tcW w:w="1350" w:type="dxa"/>
            <w:tcBorders>
              <w:top w:val="nil"/>
              <w:left w:val="single" w:sz="4" w:space="0" w:color="auto"/>
              <w:bottom w:val="nil"/>
              <w:right w:val="single" w:sz="4" w:space="0" w:color="auto"/>
            </w:tcBorders>
          </w:tcPr>
          <w:p w14:paraId="36D3417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110.3, CH</w:t>
            </w:r>
          </w:p>
        </w:tc>
        <w:tc>
          <w:tcPr>
            <w:tcW w:w="2070" w:type="dxa"/>
            <w:tcBorders>
              <w:left w:val="single" w:sz="4" w:space="0" w:color="auto"/>
            </w:tcBorders>
          </w:tcPr>
          <w:p w14:paraId="6183748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5.61 (m)</w:t>
            </w:r>
          </w:p>
        </w:tc>
        <w:tc>
          <w:tcPr>
            <w:tcW w:w="1350" w:type="dxa"/>
            <w:tcBorders>
              <w:left w:val="single" w:sz="4" w:space="0" w:color="auto"/>
            </w:tcBorders>
          </w:tcPr>
          <w:p w14:paraId="0B1A5A6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39.1, CH2</w:t>
            </w:r>
          </w:p>
        </w:tc>
        <w:tc>
          <w:tcPr>
            <w:tcW w:w="2160" w:type="dxa"/>
            <w:tcBorders>
              <w:left w:val="single" w:sz="4" w:space="0" w:color="auto"/>
            </w:tcBorders>
          </w:tcPr>
          <w:p w14:paraId="0D09EDF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1.88 (m), 2.08 (m)</w:t>
            </w:r>
          </w:p>
        </w:tc>
      </w:tr>
      <w:tr w:rsidR="007B7129" w:rsidRPr="007B7129" w14:paraId="35B25389" w14:textId="77777777" w:rsidTr="00562397">
        <w:tc>
          <w:tcPr>
            <w:tcW w:w="1345" w:type="dxa"/>
            <w:vMerge/>
            <w:tcBorders>
              <w:bottom w:val="nil"/>
              <w:right w:val="single" w:sz="4" w:space="0" w:color="auto"/>
            </w:tcBorders>
          </w:tcPr>
          <w:p w14:paraId="46A6F2A7"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nil"/>
              <w:right w:val="single" w:sz="4" w:space="0" w:color="auto"/>
            </w:tcBorders>
          </w:tcPr>
          <w:p w14:paraId="0DB7BB2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w:t>
            </w:r>
          </w:p>
        </w:tc>
        <w:tc>
          <w:tcPr>
            <w:tcW w:w="1350" w:type="dxa"/>
            <w:tcBorders>
              <w:top w:val="nil"/>
              <w:left w:val="single" w:sz="4" w:space="0" w:color="auto"/>
              <w:bottom w:val="nil"/>
              <w:right w:val="single" w:sz="4" w:space="0" w:color="auto"/>
            </w:tcBorders>
          </w:tcPr>
          <w:p w14:paraId="5C93696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22.9, CH2</w:t>
            </w:r>
          </w:p>
        </w:tc>
        <w:tc>
          <w:tcPr>
            <w:tcW w:w="2070" w:type="dxa"/>
            <w:tcBorders>
              <w:left w:val="single" w:sz="4" w:space="0" w:color="auto"/>
            </w:tcBorders>
          </w:tcPr>
          <w:p w14:paraId="1E3FBB5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2.32 (m), 2.42 (m)</w:t>
            </w:r>
          </w:p>
        </w:tc>
        <w:tc>
          <w:tcPr>
            <w:tcW w:w="1350" w:type="dxa"/>
            <w:tcBorders>
              <w:left w:val="single" w:sz="4" w:space="0" w:color="auto"/>
            </w:tcBorders>
          </w:tcPr>
          <w:p w14:paraId="0E03869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18.5, CH2</w:t>
            </w:r>
          </w:p>
        </w:tc>
        <w:tc>
          <w:tcPr>
            <w:tcW w:w="2160" w:type="dxa"/>
            <w:tcBorders>
              <w:left w:val="single" w:sz="4" w:space="0" w:color="auto"/>
            </w:tcBorders>
          </w:tcPr>
          <w:p w14:paraId="384E7A3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0.69 (m), 1.59 (d)</w:t>
            </w:r>
          </w:p>
        </w:tc>
      </w:tr>
      <w:tr w:rsidR="007B7129" w:rsidRPr="007B7129" w14:paraId="30E4ED3A" w14:textId="77777777" w:rsidTr="00562397">
        <w:tc>
          <w:tcPr>
            <w:tcW w:w="1345" w:type="dxa"/>
            <w:tcBorders>
              <w:top w:val="nil"/>
              <w:bottom w:val="single" w:sz="4" w:space="0" w:color="auto"/>
              <w:right w:val="single" w:sz="4" w:space="0" w:color="auto"/>
            </w:tcBorders>
          </w:tcPr>
          <w:p w14:paraId="153B8F48"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080" w:type="dxa"/>
            <w:tcBorders>
              <w:top w:val="nil"/>
              <w:left w:val="single" w:sz="4" w:space="0" w:color="auto"/>
              <w:bottom w:val="single" w:sz="4" w:space="0" w:color="auto"/>
              <w:right w:val="single" w:sz="4" w:space="0" w:color="auto"/>
            </w:tcBorders>
          </w:tcPr>
          <w:p w14:paraId="28F46ED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w:t>
            </w:r>
          </w:p>
        </w:tc>
        <w:tc>
          <w:tcPr>
            <w:tcW w:w="1350" w:type="dxa"/>
            <w:tcBorders>
              <w:top w:val="nil"/>
              <w:left w:val="single" w:sz="4" w:space="0" w:color="auto"/>
              <w:bottom w:val="single" w:sz="4" w:space="0" w:color="auto"/>
              <w:right w:val="single" w:sz="4" w:space="0" w:color="auto"/>
            </w:tcBorders>
          </w:tcPr>
          <w:p w14:paraId="444CCBA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24.4, CH2</w:t>
            </w:r>
          </w:p>
        </w:tc>
        <w:tc>
          <w:tcPr>
            <w:tcW w:w="2070" w:type="dxa"/>
            <w:tcBorders>
              <w:left w:val="single" w:sz="4" w:space="0" w:color="auto"/>
            </w:tcBorders>
          </w:tcPr>
          <w:p w14:paraId="512CA8B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1.97 (m), 2.28 (m)</w:t>
            </w:r>
          </w:p>
        </w:tc>
        <w:tc>
          <w:tcPr>
            <w:tcW w:w="1350" w:type="dxa"/>
            <w:tcBorders>
              <w:left w:val="single" w:sz="4" w:space="0" w:color="auto"/>
            </w:tcBorders>
          </w:tcPr>
          <w:p w14:paraId="395079E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30.5, CH2</w:t>
            </w:r>
          </w:p>
        </w:tc>
        <w:tc>
          <w:tcPr>
            <w:tcW w:w="2160" w:type="dxa"/>
            <w:tcBorders>
              <w:left w:val="single" w:sz="4" w:space="0" w:color="auto"/>
            </w:tcBorders>
          </w:tcPr>
          <w:p w14:paraId="5F61401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1.97 (d), 2.13 (m)</w:t>
            </w:r>
          </w:p>
        </w:tc>
      </w:tr>
    </w:tbl>
    <w:p w14:paraId="6C6ABF28" w14:textId="77777777" w:rsidR="007B7129" w:rsidRPr="007B7129" w:rsidRDefault="007B7129" w:rsidP="00E138C0">
      <w:pPr>
        <w:spacing w:after="0"/>
      </w:pPr>
    </w:p>
    <w:p w14:paraId="1EBE0106" w14:textId="77777777" w:rsidR="005C5841" w:rsidRDefault="005C5841">
      <w:pPr>
        <w:spacing w:line="259" w:lineRule="auto"/>
        <w:jc w:val="left"/>
        <w:rPr>
          <w:rFonts w:cs="Times New Roman"/>
          <w:b/>
          <w:color w:val="000000"/>
          <w:szCs w:val="24"/>
          <w:shd w:val="clear" w:color="auto" w:fill="FFFFFF"/>
        </w:rPr>
      </w:pPr>
      <w:bookmarkStart w:id="354" w:name="_Toc97337859"/>
      <w:bookmarkStart w:id="355" w:name="_Toc100241914"/>
      <w:r>
        <w:br w:type="page"/>
      </w:r>
    </w:p>
    <w:p w14:paraId="5634585E" w14:textId="116D074E" w:rsidR="007B7129" w:rsidRPr="007B7129" w:rsidRDefault="007B7129" w:rsidP="00EC026C">
      <w:pPr>
        <w:pStyle w:val="Subsection"/>
      </w:pPr>
      <w:bookmarkStart w:id="356" w:name="_Toc102586278"/>
      <w:r w:rsidRPr="007B7129">
        <w:lastRenderedPageBreak/>
        <w:t>3.3.6 Discovery and structural characterization of compound 3.44.</w:t>
      </w:r>
      <w:bookmarkEnd w:id="354"/>
      <w:bookmarkEnd w:id="355"/>
      <w:bookmarkEnd w:id="356"/>
    </w:p>
    <w:p w14:paraId="312EEB49" w14:textId="24DE726E" w:rsidR="007B7129" w:rsidRPr="007B7129" w:rsidRDefault="007B7129" w:rsidP="007B7129">
      <w:pPr>
        <w:spacing w:after="0"/>
        <w:ind w:firstLine="720"/>
        <w:rPr>
          <w:rFonts w:cs="Times New Roman"/>
          <w:szCs w:val="24"/>
        </w:rPr>
      </w:pPr>
      <w:r w:rsidRPr="007B7129">
        <w:rPr>
          <w:rFonts w:cs="Times New Roman"/>
          <w:szCs w:val="24"/>
        </w:rPr>
        <w:t xml:space="preserve">An attempt was made to oxidize </w:t>
      </w:r>
      <w:r w:rsidRPr="007B7129">
        <w:rPr>
          <w:rFonts w:cs="Times New Roman"/>
          <w:b/>
          <w:bCs/>
        </w:rPr>
        <w:t>3.</w:t>
      </w:r>
      <w:r w:rsidRPr="007B7129">
        <w:rPr>
          <w:rFonts w:cs="Times New Roman"/>
          <w:b/>
          <w:bCs/>
          <w:szCs w:val="24"/>
        </w:rPr>
        <w:t>41</w:t>
      </w:r>
      <w:r w:rsidRPr="007B7129">
        <w:rPr>
          <w:rFonts w:cs="Times New Roman"/>
          <w:szCs w:val="24"/>
        </w:rPr>
        <w:t xml:space="preserve"> into its aromatic congener </w:t>
      </w:r>
      <w:r w:rsidRPr="007B7129">
        <w:rPr>
          <w:rFonts w:cs="Times New Roman"/>
          <w:b/>
          <w:bCs/>
        </w:rPr>
        <w:t>3.</w:t>
      </w:r>
      <w:r w:rsidRPr="007B7129">
        <w:rPr>
          <w:rFonts w:cs="Times New Roman"/>
          <w:b/>
          <w:bCs/>
          <w:szCs w:val="24"/>
        </w:rPr>
        <w:t xml:space="preserve">41a </w:t>
      </w:r>
      <w:r w:rsidRPr="007B7129">
        <w:rPr>
          <w:rFonts w:cs="Times New Roman"/>
          <w:szCs w:val="24"/>
        </w:rPr>
        <w:t>(</w:t>
      </w:r>
      <w:r w:rsidRPr="007B7129">
        <w:rPr>
          <w:rFonts w:cs="Times New Roman"/>
          <w:b/>
          <w:bCs/>
          <w:szCs w:val="24"/>
        </w:rPr>
        <w:fldChar w:fldCharType="begin"/>
      </w:r>
      <w:r w:rsidRPr="007B7129">
        <w:rPr>
          <w:rFonts w:cs="Times New Roman"/>
          <w:b/>
          <w:bCs/>
          <w:szCs w:val="24"/>
        </w:rPr>
        <w:instrText xml:space="preserve"> REF _Ref97240713 \h  \* MERGEFORMAT </w:instrText>
      </w:r>
      <w:r w:rsidRPr="007B7129">
        <w:rPr>
          <w:rFonts w:cs="Times New Roman"/>
          <w:b/>
          <w:bCs/>
          <w:szCs w:val="24"/>
        </w:rPr>
      </w:r>
      <w:r w:rsidRPr="007B7129">
        <w:rPr>
          <w:rFonts w:cs="Times New Roman"/>
          <w:b/>
          <w:bCs/>
          <w:szCs w:val="24"/>
        </w:rPr>
        <w:fldChar w:fldCharType="separate"/>
      </w:r>
      <w:r w:rsidR="00AA5AAC" w:rsidRPr="00AA5AAC">
        <w:rPr>
          <w:b/>
          <w:bCs/>
        </w:rPr>
        <w:t xml:space="preserve">Scheme </w:t>
      </w:r>
      <w:r w:rsidR="00AA5AAC" w:rsidRPr="00AA5AAC">
        <w:rPr>
          <w:b/>
          <w:bCs/>
          <w:noProof/>
        </w:rPr>
        <w:t>3.</w:t>
      </w:r>
      <w:r w:rsidRPr="007B7129">
        <w:rPr>
          <w:rFonts w:cs="Times New Roman"/>
          <w:b/>
          <w:bCs/>
          <w:szCs w:val="24"/>
        </w:rPr>
        <w:fldChar w:fldCharType="end"/>
      </w:r>
      <w:r w:rsidRPr="007B7129">
        <w:rPr>
          <w:rFonts w:cs="Times New Roman"/>
          <w:szCs w:val="24"/>
        </w:rPr>
        <w:t xml:space="preserve">), which contains the carbon and nitrogen scaffold of </w:t>
      </w:r>
      <w:r w:rsidRPr="007B7129">
        <w:rPr>
          <w:rFonts w:cs="Times New Roman"/>
          <w:i/>
          <w:iCs/>
          <w:szCs w:val="24"/>
        </w:rPr>
        <w:t>Picrasma</w:t>
      </w:r>
      <w:r w:rsidRPr="007B7129">
        <w:rPr>
          <w:rFonts w:cs="Times New Roman"/>
          <w:szCs w:val="24"/>
        </w:rPr>
        <w:t xml:space="preserve"> alkaloids </w:t>
      </w:r>
      <w:r w:rsidRPr="007B7129">
        <w:rPr>
          <w:rFonts w:cs="Times New Roman"/>
          <w:b/>
          <w:bCs/>
        </w:rPr>
        <w:t>3.</w:t>
      </w:r>
      <w:r w:rsidRPr="007B7129">
        <w:rPr>
          <w:rFonts w:cs="Times New Roman"/>
          <w:b/>
          <w:bCs/>
          <w:szCs w:val="24"/>
        </w:rPr>
        <w:t>7</w:t>
      </w:r>
      <w:r w:rsidRPr="007B7129">
        <w:rPr>
          <w:rFonts w:cs="Times New Roman"/>
          <w:szCs w:val="24"/>
        </w:rPr>
        <w:t xml:space="preserve"> – </w:t>
      </w:r>
      <w:r w:rsidRPr="007B7129">
        <w:rPr>
          <w:rFonts w:cs="Times New Roman"/>
          <w:b/>
          <w:bCs/>
        </w:rPr>
        <w:t>3.</w:t>
      </w:r>
      <w:r w:rsidRPr="007B7129">
        <w:rPr>
          <w:rFonts w:cs="Times New Roman"/>
          <w:b/>
          <w:bCs/>
          <w:szCs w:val="24"/>
        </w:rPr>
        <w:t>12</w:t>
      </w:r>
      <w:r w:rsidRPr="007B7129">
        <w:rPr>
          <w:rFonts w:cs="Times New Roman"/>
          <w:szCs w:val="24"/>
        </w:rPr>
        <w:t xml:space="preserve">. Since DDQ exhibited some success in the oxidative aromatization in </w:t>
      </w:r>
      <w:r w:rsidRPr="007B7129">
        <w:rPr>
          <w:rFonts w:cs="Times New Roman"/>
          <w:b/>
          <w:bCs/>
          <w:szCs w:val="24"/>
        </w:rPr>
        <w:t>Step 2</w:t>
      </w:r>
      <w:r w:rsidRPr="007B7129">
        <w:rPr>
          <w:rFonts w:cs="Times New Roman"/>
          <w:szCs w:val="24"/>
        </w:rPr>
        <w:t xml:space="preserve"> (see section </w:t>
      </w:r>
      <w:r w:rsidRPr="007B7129">
        <w:rPr>
          <w:rFonts w:cs="Times New Roman"/>
          <w:b/>
          <w:bCs/>
          <w:szCs w:val="24"/>
        </w:rPr>
        <w:t>3.3.2</w:t>
      </w:r>
      <w:r w:rsidRPr="007B7129">
        <w:rPr>
          <w:rFonts w:cs="Times New Roman"/>
          <w:szCs w:val="24"/>
        </w:rPr>
        <w:t>), and is known to assist in aromatization reactions of nitrogen heterocycles,</w:t>
      </w:r>
      <w:r w:rsidRPr="007B7129">
        <w:rPr>
          <w:rFonts w:cs="Times New Roman"/>
          <w:szCs w:val="24"/>
        </w:rPr>
        <w:fldChar w:fldCharType="begin"/>
      </w:r>
      <w:r w:rsidRPr="007B7129">
        <w:rPr>
          <w:rFonts w:cs="Times New Roman"/>
          <w:szCs w:val="24"/>
        </w:rPr>
        <w:instrText xml:space="preserve"> ADDIN ZOTERO_ITEM CSL_CITATION {"citationID":"ipXr1tVk","properties":{"formattedCitation":"\\super 51,77,78\\nosupersub{}","plainCitation":"51,77,78","noteIndex":0},"citationItems":[{"id":295,"uris":["http://zotero.org/users/6503767/items/LQSQFTYQ"],"itemData":{"id":295,"type":"article-journal","abstract":"The limited treatment options against inﬂuenza virus along with the growing public health concerns regarding the continuous emergence of drug-resistant viruses make essential the development of new anti-ﬂu agents with novel mechanisms of action. One of the most attractive targets is the interaction between two subunits of the RNA-dependent RNA polymerase, PA and PB1. Herein we report the rational design of hybrid compounds starting from a 3-cyano-4,6-diphenylpyridine scaffold recently identiﬁed as disruptor of PA-PB1 interactions. Guided by the previously reported SAR data, a library of amino acid derivatives was synthesized. The biological evaluation led to the identiﬁcation of new PA-PB1 inhibitors, that do not show appreciable toxicity. Molecular modeling shed further lights on the inhibition mechanism of these compounds.","container-title":"European Journal of Medicinal Chemistry","DOI":"10.1016/j.ejmech.2018.08.032","ISSN":"02235234","journalAbbreviation":"European Journal of Medicinal Chemistry","language":"en","page":"743-758","source":"DOI.org (Crossref)","title":"Synthesis and biological evaluation of a library of hybrid derivatives as inhibitors of influenza virus PA-PB1 interaction","volume":"157","author":[{"family":"D'Agostino","given":"Ilaria"},{"family":"Giacchello","given":"Ilaria"},{"family":"Nannetti","given":"Giulio"},{"family":"Fallacara","given":"Anna Lucia"},{"family":"Deodato","given":"Davide"},{"family":"Musumeci","given":"Francesca"},{"family":"Grossi","given":"Giancarlo"},{"family":"Palù","given":"Giorgio"},{"family":"Cau","given":"Ylenia"},{"family":"Trist","given":"Iuni Margaret"},{"family":"Loregian","given":"Arianna"},{"family":"Schenone","given":"Silvia"},{"family":"Botta","given":"Maurizio"}],"issued":{"date-parts":[["2018",9]]}}},{"id":635,"uris":["http://zotero.org/users/6503767/items/PRQFX7G7"],"itemData":{"id":635,"type":"article-journal","container-title":"HETEROCYCLES","DOI":"10.3987/COM-13-12911","ISSN":"0385-5414","issue":"3","journalAbbreviation":"HETEROCYCLES","language":"en","page":"725","source":"DOI.org (Crossref)","title":"Oxidation and Aromatization of the Enantiopure Piperidine Derived from (R)-(-)-2-Phenylglycinol to (1’R)-(-)-1-(2’-Hydroxy-1’-phenylethyl)-1H-pyridin-2-one","volume":"89","author":[{"family":"R. Juárez","given":"Jorge"},{"family":"Castro","given":"Alejandro"},{"family":"Romero","given":"Oscar"},{"family":"L. Terán","given":"Joel"},{"family":"Gnecco","given":"Dino"},{"family":"Orea","given":"Laura"},{"family":"Mendoza","given":"Angel"}],"issued":{"date-parts":[["2014"]]}}},{"id":415,"uris":["http://zotero.org/users/6503767/items/GBX4TDCB"],"itemData":{"id":415,"type":"article-journal","abstract":"2,3-Dichloro-5,6-dicyano-1,4-benzoquinone (DDQ) is the most widely used quinone with a high reduction potential, and it commonly mediates hydride transfer reactions and shows three accessible oxidation states: quinone (oxidized), semiquinone (one-electron-reduced), and hydroquinone (two-electron-reduced). DDQ has found broad utility as a stoichiometric oxidant in the functionalization of activated C–H bonds and the dehydrogenation of saturated C–C, C–O, and C–N bonds. The cost and toxicity of DDQ triggered recent efforts to develop methods that employ catalytic quantities of DDQ in combination with alternative stoichiometric oxidants. The aerobic catalytic approach was established for the selective oxidation of non-sterically hindered electron-rich benzyl methyl ethers and benzylic alcohols, and effectively extended to the oxidative deprotection of p-methoxybenzyl ethers to generate the alcohols in high selectivity. A combination of DDQ and protic acid is known to oxidize several aromatic donors to the corresponding cation radicals. The excited-state DDQ converts benzyls, heteroarenes, fluoroarenes, benzene, and olefins into their radical cation forms as well as chloride and other anions into their respective radicals. These reactive intermediates have been employed for the generation of C–C and C–X (N, O, or Cl) bonds in the synthesis of valuable natural products and organic compounds. To the best of our knowledge, however, there is still no review article exclusively describing the applications of DDQ in organic synthesis. Therefore, in the present review, we provide an overview of DDQ-induced organic transformations with their scope, limitations and the proposed reaction mechanisms.","container-title":"RSC Advances","DOI":"10.1039/D1RA04575J","ISSN":"2046-2069","issue":"47","journalAbbreviation":"RSC Adv.","language":"en","note":"publisher: The Royal Society of Chemistry","page":"29826-29858","source":"pubs.rsc.org","title":"DDQ as a versatile and easily recyclable oxidant: a systematic review","title-short":"DDQ as a versatile and easily recyclable oxidant","volume":"11","author":[{"family":"Alsharif","given":"Meshari A."},{"family":"Raja","given":"Qandeel Alam"},{"family":"Majeed","given":"Nida Abdul"},{"family":"Jassas","given":"Rabab S."},{"family":"Alsimaree","given":"Abdulrahman A."},{"family":"Sadiq","given":"Amina"},{"family":"Naeem","given":"Nafeesa"},{"family":"Mughal","given":"Ehsan Ullah"},{"family":"Alsantali","given":"Reem I."},{"family":"Moussa","given":"Ziad"},{"family":"Ahmed","given":"Saleh A."}],"issued":{"date-parts":[["2021",9,1]]}}}],"schema":"https://github.com/citation-style-language/schema/raw/master/csl-citation.json"}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51,77,78</w:t>
      </w:r>
      <w:r w:rsidRPr="007B7129">
        <w:rPr>
          <w:rFonts w:cs="Times New Roman"/>
          <w:szCs w:val="24"/>
        </w:rPr>
        <w:fldChar w:fldCharType="end"/>
      </w:r>
      <w:r w:rsidRPr="007B7129">
        <w:rPr>
          <w:rFonts w:cs="Times New Roman"/>
          <w:szCs w:val="24"/>
        </w:rPr>
        <w:t xml:space="preserve"> I expected DDQ to aromatize β-carboline </w:t>
      </w:r>
      <w:r w:rsidRPr="007B7129">
        <w:rPr>
          <w:rFonts w:cs="Times New Roman"/>
          <w:b/>
          <w:bCs/>
          <w:szCs w:val="24"/>
        </w:rPr>
        <w:t>B</w:t>
      </w:r>
      <w:r w:rsidRPr="007B7129">
        <w:rPr>
          <w:rFonts w:cs="Times New Roman"/>
          <w:szCs w:val="24"/>
        </w:rPr>
        <w:t xml:space="preserve"> in </w:t>
      </w:r>
      <w:r w:rsidRPr="007B7129">
        <w:rPr>
          <w:rFonts w:cs="Times New Roman"/>
          <w:b/>
          <w:bCs/>
        </w:rPr>
        <w:t>3.</w:t>
      </w:r>
      <w:r w:rsidRPr="007B7129">
        <w:rPr>
          <w:rFonts w:cs="Times New Roman"/>
          <w:b/>
          <w:bCs/>
          <w:szCs w:val="24"/>
        </w:rPr>
        <w:t>41</w:t>
      </w:r>
      <w:r w:rsidRPr="007B7129">
        <w:rPr>
          <w:rFonts w:cs="Times New Roman"/>
          <w:szCs w:val="24"/>
        </w:rPr>
        <w:t xml:space="preserve"> to provide the charged species </w:t>
      </w:r>
      <w:r w:rsidRPr="007B7129">
        <w:rPr>
          <w:rFonts w:cs="Times New Roman"/>
          <w:b/>
          <w:bCs/>
          <w:szCs w:val="24"/>
        </w:rPr>
        <w:t>3.41a</w:t>
      </w:r>
      <w:r w:rsidRPr="007B7129">
        <w:rPr>
          <w:rFonts w:cs="Times New Roman"/>
          <w:szCs w:val="24"/>
        </w:rPr>
        <w:t xml:space="preserve">. </w:t>
      </w:r>
    </w:p>
    <w:p w14:paraId="700520E4" w14:textId="77777777" w:rsidR="007B7129" w:rsidRPr="007B7129" w:rsidRDefault="007B7129" w:rsidP="007B7129">
      <w:pPr>
        <w:spacing w:after="0"/>
        <w:ind w:firstLine="720"/>
        <w:rPr>
          <w:rFonts w:cs="Times New Roman"/>
          <w:szCs w:val="24"/>
        </w:rPr>
      </w:pPr>
      <w:r w:rsidRPr="007B7129">
        <w:rPr>
          <w:rFonts w:cs="Times New Roman"/>
          <w:noProof/>
          <w:szCs w:val="24"/>
        </w:rPr>
        <mc:AlternateContent>
          <mc:Choice Requires="wps">
            <w:drawing>
              <wp:inline distT="0" distB="0" distL="0" distR="0" wp14:anchorId="53BE1125" wp14:editId="3DA48C96">
                <wp:extent cx="4800600" cy="1623060"/>
                <wp:effectExtent l="0" t="0" r="19050" b="15240"/>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623060"/>
                        </a:xfrm>
                        <a:prstGeom prst="rect">
                          <a:avLst/>
                        </a:prstGeom>
                        <a:solidFill>
                          <a:srgbClr val="FFFFFF"/>
                        </a:solidFill>
                        <a:ln w="9525">
                          <a:solidFill>
                            <a:srgbClr val="000000"/>
                          </a:solidFill>
                          <a:miter lim="800000"/>
                          <a:headEnd/>
                          <a:tailEnd/>
                        </a:ln>
                      </wps:spPr>
                      <wps:txbx>
                        <w:txbxContent>
                          <w:p w14:paraId="4D957C31" w14:textId="77777777" w:rsidR="007B7129" w:rsidRDefault="007B7129" w:rsidP="007B7129">
                            <w:pPr>
                              <w:keepNext/>
                            </w:pPr>
                            <w:r>
                              <w:object w:dxaOrig="7008" w:dyaOrig="1574" w14:anchorId="668669CB">
                                <v:shape id="_x0000_i1107" type="#_x0000_t75" style="width:350.65pt;height:79pt">
                                  <v:imagedata r:id="rId305" o:title=""/>
                                </v:shape>
                                <o:OLEObject Type="Embed" ProgID="ChemDraw.Document.6.0" ShapeID="_x0000_i1107" DrawAspect="Content" ObjectID="_1713353511" r:id="rId306"/>
                              </w:object>
                            </w:r>
                          </w:p>
                          <w:p w14:paraId="7ACA4FC5" w14:textId="79F3139D" w:rsidR="007B7129" w:rsidRDefault="007B7129" w:rsidP="00DF51F5">
                            <w:pPr>
                              <w:pStyle w:val="Caption"/>
                            </w:pPr>
                            <w:bookmarkStart w:id="357" w:name="_Ref97240713"/>
                            <w:r>
                              <w:t>Scheme 3.</w:t>
                            </w:r>
                            <w:bookmarkEnd w:id="357"/>
                            <w:r w:rsidR="00AC327E">
                              <w:t>13</w:t>
                            </w:r>
                            <w:r>
                              <w:t>. Hypothesized outcome of DDQ oxidation of enamine 3.41.</w:t>
                            </w:r>
                          </w:p>
                        </w:txbxContent>
                      </wps:txbx>
                      <wps:bodyPr rot="0" vert="horz" wrap="square" lIns="91440" tIns="45720" rIns="91440" bIns="45720" anchor="t" anchorCtr="0">
                        <a:noAutofit/>
                      </wps:bodyPr>
                    </wps:wsp>
                  </a:graphicData>
                </a:graphic>
              </wp:inline>
            </w:drawing>
          </mc:Choice>
          <mc:Fallback>
            <w:pict>
              <v:shape w14:anchorId="53BE1125" id="_x0000_s1097" type="#_x0000_t202" style="width:378pt;height:12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">
                <v:textbox>
                  <w:txbxContent>
                    <w:p w14:paraId="4D957C31" w14:textId="77777777" w:rsidR="007B7129" w:rsidRDefault="007B7129" w:rsidP="007B7129">
                      <w:pPr>
                        <w:keepNext/>
                      </w:pPr>
                      <w:r>
                        <w:object w:dxaOrig="7008" w:dyaOrig="1574" w14:anchorId="668669CB">
                          <v:shape id="_x0000_i1107" type="#_x0000_t75" style="width:350.65pt;height:79pt">
                            <v:imagedata r:id="rId305" o:title=""/>
                          </v:shape>
                          <o:OLEObject Type="Embed" ProgID="ChemDraw.Document.6.0" ShapeID="_x0000_i1107" DrawAspect="Content" ObjectID="_1713353511" r:id="rId307"/>
                        </w:object>
                      </w:r>
                    </w:p>
                    <w:p w14:paraId="7ACA4FC5" w14:textId="79F3139D" w:rsidR="007B7129" w:rsidRDefault="007B7129" w:rsidP="00DF51F5">
                      <w:pPr>
                        <w:pStyle w:val="Caption"/>
                      </w:pPr>
                      <w:bookmarkStart w:id="358" w:name="_Ref97240713"/>
                      <w:r>
                        <w:t>Scheme 3.</w:t>
                      </w:r>
                      <w:bookmarkEnd w:id="358"/>
                      <w:r w:rsidR="00AC327E">
                        <w:t>13</w:t>
                      </w:r>
                      <w:r>
                        <w:t>. Hypothesized outcome of DDQ oxidation of enamine 3.41.</w:t>
                      </w:r>
                    </w:p>
                  </w:txbxContent>
                </v:textbox>
                <w10:anchorlock/>
              </v:shape>
            </w:pict>
          </mc:Fallback>
        </mc:AlternateContent>
      </w:r>
    </w:p>
    <w:p w14:paraId="0FCBAEB6" w14:textId="77777777" w:rsidR="007B7129" w:rsidRPr="007B7129" w:rsidRDefault="007B7129" w:rsidP="007B7129">
      <w:pPr>
        <w:spacing w:after="0"/>
        <w:ind w:firstLine="720"/>
        <w:rPr>
          <w:rFonts w:cs="Times New Roman"/>
          <w:szCs w:val="24"/>
        </w:rPr>
      </w:pPr>
      <w:r w:rsidRPr="007B7129">
        <w:rPr>
          <w:rFonts w:cs="Times New Roman"/>
          <w:szCs w:val="24"/>
        </w:rPr>
        <w:t xml:space="preserve">The reaction of </w:t>
      </w:r>
      <w:r w:rsidRPr="007B7129">
        <w:rPr>
          <w:rFonts w:cs="Times New Roman"/>
          <w:b/>
          <w:bCs/>
          <w:szCs w:val="24"/>
        </w:rPr>
        <w:t>3.41</w:t>
      </w:r>
      <w:r w:rsidRPr="007B7129">
        <w:rPr>
          <w:rFonts w:cs="Times New Roman"/>
          <w:szCs w:val="24"/>
        </w:rPr>
        <w:t xml:space="preserve"> with DDQ in DCM at 23 ̊C for 12 h provides a single product that is easily purified with silica gel chromatography. These results were encouraging at first, because of the straightforward purification and when analyzing this product by HRMS, the mass ES+ </w:t>
      </w:r>
      <w:r w:rsidRPr="007B7129">
        <w:rPr>
          <w:rFonts w:cs="Times New Roman"/>
          <w:i/>
          <w:iCs/>
          <w:szCs w:val="24"/>
        </w:rPr>
        <w:t>m/z</w:t>
      </w:r>
      <w:r w:rsidRPr="007B7129">
        <w:rPr>
          <w:rFonts w:cs="Times New Roman"/>
          <w:szCs w:val="24"/>
        </w:rPr>
        <w:t xml:space="preserve"> 389.176 (calculated for C</w:t>
      </w:r>
      <w:r w:rsidRPr="007B7129">
        <w:rPr>
          <w:rFonts w:cs="Times New Roman"/>
          <w:szCs w:val="24"/>
          <w:vertAlign w:val="subscript"/>
        </w:rPr>
        <w:t>26</w:t>
      </w:r>
      <w:r w:rsidRPr="007B7129">
        <w:rPr>
          <w:rFonts w:cs="Times New Roman"/>
          <w:szCs w:val="24"/>
        </w:rPr>
        <w:t>H</w:t>
      </w:r>
      <w:r w:rsidRPr="007B7129">
        <w:rPr>
          <w:rFonts w:cs="Times New Roman"/>
          <w:szCs w:val="24"/>
          <w:vertAlign w:val="subscript"/>
        </w:rPr>
        <w:t>21</w:t>
      </w:r>
      <w:r w:rsidRPr="007B7129">
        <w:rPr>
          <w:rFonts w:cs="Times New Roman"/>
          <w:szCs w:val="24"/>
        </w:rPr>
        <w:t>N</w:t>
      </w:r>
      <w:r w:rsidRPr="007B7129">
        <w:rPr>
          <w:rFonts w:cs="Times New Roman"/>
          <w:szCs w:val="24"/>
          <w:vertAlign w:val="subscript"/>
        </w:rPr>
        <w:t>4</w:t>
      </w:r>
      <w:r w:rsidRPr="007B7129">
        <w:rPr>
          <w:rFonts w:cs="Times New Roman"/>
          <w:szCs w:val="24"/>
          <w:vertAlign w:val="superscript"/>
        </w:rPr>
        <w:t>+</w:t>
      </w:r>
      <w:r w:rsidRPr="007B7129">
        <w:rPr>
          <w:rFonts w:cs="Times New Roman"/>
          <w:szCs w:val="24"/>
        </w:rPr>
        <w:t xml:space="preserve"> is 389.18) was found. The mass ES+ </w:t>
      </w:r>
      <w:r w:rsidRPr="007B7129">
        <w:rPr>
          <w:rFonts w:cs="Times New Roman"/>
          <w:i/>
          <w:iCs/>
          <w:szCs w:val="24"/>
        </w:rPr>
        <w:t>m/z</w:t>
      </w:r>
      <w:r w:rsidRPr="007B7129">
        <w:rPr>
          <w:rFonts w:cs="Times New Roman"/>
          <w:szCs w:val="24"/>
        </w:rPr>
        <w:t xml:space="preserve"> 407.187 was also found, however, which was originally thought to evidence for the presence of a </w:t>
      </w:r>
      <w:r w:rsidRPr="007B7129">
        <w:rPr>
          <w:rFonts w:cs="Times New Roman"/>
          <w:b/>
          <w:bCs/>
          <w:szCs w:val="24"/>
        </w:rPr>
        <w:t>3.41a</w:t>
      </w:r>
      <w:r w:rsidRPr="007B7129">
        <w:rPr>
          <w:rFonts w:cs="Times New Roman"/>
          <w:szCs w:val="24"/>
        </w:rPr>
        <w:t xml:space="preserve">-hydrate. Upon NMR analysis, however, it was clear that the sample contained a mixture of diastereomers, while </w:t>
      </w:r>
      <w:r w:rsidRPr="007B7129">
        <w:rPr>
          <w:rFonts w:cs="Times New Roman"/>
          <w:b/>
          <w:bCs/>
          <w:szCs w:val="24"/>
        </w:rPr>
        <w:t>3.41a</w:t>
      </w:r>
      <w:r w:rsidRPr="007B7129">
        <w:rPr>
          <w:rFonts w:cs="Times New Roman"/>
          <w:szCs w:val="24"/>
        </w:rPr>
        <w:t xml:space="preserve"> should only have been a racemic mixture, and the structure of </w:t>
      </w:r>
      <w:r w:rsidRPr="007B7129">
        <w:rPr>
          <w:rFonts w:cs="Times New Roman"/>
          <w:b/>
          <w:bCs/>
          <w:szCs w:val="24"/>
        </w:rPr>
        <w:t>3.41a</w:t>
      </w:r>
      <w:r w:rsidRPr="007B7129">
        <w:rPr>
          <w:rFonts w:cs="Times New Roman"/>
          <w:szCs w:val="24"/>
        </w:rPr>
        <w:t xml:space="preserve"> was not confirmed by the NMR spectra. This prompted an extensive literature review of DDQ reactions and some mechanistic brainstorming. </w:t>
      </w:r>
    </w:p>
    <w:p w14:paraId="13FA348B" w14:textId="77777777" w:rsidR="007B7129" w:rsidRPr="007B7129" w:rsidRDefault="007B7129" w:rsidP="007B7129">
      <w:pPr>
        <w:spacing w:after="0"/>
        <w:rPr>
          <w:rFonts w:cs="Times New Roman"/>
          <w:szCs w:val="24"/>
        </w:rPr>
      </w:pPr>
      <w:r w:rsidRPr="007B7129">
        <w:rPr>
          <w:rFonts w:cs="Times New Roman"/>
          <w:noProof/>
          <w:szCs w:val="24"/>
        </w:rPr>
        <w:lastRenderedPageBreak/>
        <mc:AlternateContent>
          <mc:Choice Requires="wps">
            <w:drawing>
              <wp:inline distT="0" distB="0" distL="0" distR="0" wp14:anchorId="6CB22FA8" wp14:editId="0ADB1FB8">
                <wp:extent cx="5943600" cy="3259455"/>
                <wp:effectExtent l="0" t="0" r="19050" b="17145"/>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59455"/>
                        </a:xfrm>
                        <a:prstGeom prst="rect">
                          <a:avLst/>
                        </a:prstGeom>
                        <a:solidFill>
                          <a:srgbClr val="FFFFFF"/>
                        </a:solidFill>
                        <a:ln w="9525">
                          <a:solidFill>
                            <a:srgbClr val="000000"/>
                          </a:solidFill>
                          <a:miter lim="800000"/>
                          <a:headEnd/>
                          <a:tailEnd/>
                        </a:ln>
                      </wps:spPr>
                      <wps:txbx>
                        <w:txbxContent>
                          <w:p w14:paraId="589860DF" w14:textId="77777777" w:rsidR="007B7129" w:rsidRDefault="007B7129" w:rsidP="007B7129">
                            <w:pPr>
                              <w:keepNext/>
                              <w:spacing w:after="0"/>
                              <w:jc w:val="center"/>
                            </w:pPr>
                            <w:r>
                              <w:object w:dxaOrig="7764" w:dyaOrig="4447" w14:anchorId="7E0D202D">
                                <v:shape id="_x0000_i1108" type="#_x0000_t75" style="width:387.6pt;height:221.6pt">
                                  <v:imagedata r:id="rId308" o:title=""/>
                                </v:shape>
                                <o:OLEObject Type="Embed" ProgID="ChemDraw.Document.6.0" ShapeID="_x0000_i1108" DrawAspect="Content" ObjectID="_1713353512" r:id="rId309"/>
                              </w:object>
                            </w:r>
                          </w:p>
                          <w:p w14:paraId="68C93508" w14:textId="73CDB6FB" w:rsidR="007B7129" w:rsidRDefault="007B7129" w:rsidP="00DF51F5">
                            <w:pPr>
                              <w:pStyle w:val="Caption"/>
                            </w:pPr>
                            <w:bookmarkStart w:id="359" w:name="_Ref97242119"/>
                            <w:r>
                              <w:t>Scheme 3.</w:t>
                            </w:r>
                            <w:bookmarkEnd w:id="359"/>
                            <w:r w:rsidR="00AC327E">
                              <w:t>14</w:t>
                            </w:r>
                            <w:r>
                              <w:t xml:space="preserve">. Proposed mechanism for the formation of compound 3.44. </w:t>
                            </w:r>
                          </w:p>
                        </w:txbxContent>
                      </wps:txbx>
                      <wps:bodyPr rot="0" vert="horz" wrap="square" lIns="91440" tIns="45720" rIns="91440" bIns="45720" anchor="t" anchorCtr="0">
                        <a:noAutofit/>
                      </wps:bodyPr>
                    </wps:wsp>
                  </a:graphicData>
                </a:graphic>
              </wp:inline>
            </w:drawing>
          </mc:Choice>
          <mc:Fallback>
            <w:pict>
              <v:shape w14:anchorId="6CB22FA8" id="_x0000_s1098" type="#_x0000_t202" style="width:468pt;height:25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">
                <v:textbox>
                  <w:txbxContent>
                    <w:p w14:paraId="589860DF" w14:textId="77777777" w:rsidR="007B7129" w:rsidRDefault="007B7129" w:rsidP="007B7129">
                      <w:pPr>
                        <w:keepNext/>
                        <w:spacing w:after="0"/>
                        <w:jc w:val="center"/>
                      </w:pPr>
                      <w:r>
                        <w:object w:dxaOrig="7764" w:dyaOrig="4447" w14:anchorId="7E0D202D">
                          <v:shape id="_x0000_i1108" type="#_x0000_t75" style="width:387.6pt;height:221.6pt">
                            <v:imagedata r:id="rId308" o:title=""/>
                          </v:shape>
                          <o:OLEObject Type="Embed" ProgID="ChemDraw.Document.6.0" ShapeID="_x0000_i1108" DrawAspect="Content" ObjectID="_1713353512" r:id="rId310"/>
                        </w:object>
                      </w:r>
                    </w:p>
                    <w:p w14:paraId="68C93508" w14:textId="73CDB6FB" w:rsidR="007B7129" w:rsidRDefault="007B7129" w:rsidP="00DF51F5">
                      <w:pPr>
                        <w:pStyle w:val="Caption"/>
                      </w:pPr>
                      <w:bookmarkStart w:id="360" w:name="_Ref97242119"/>
                      <w:r>
                        <w:t>Scheme 3.</w:t>
                      </w:r>
                      <w:bookmarkEnd w:id="360"/>
                      <w:r w:rsidR="00AC327E">
                        <w:t>14</w:t>
                      </w:r>
                      <w:r>
                        <w:t xml:space="preserve">. Proposed mechanism for the formation of compound 3.44. </w:t>
                      </w:r>
                    </w:p>
                  </w:txbxContent>
                </v:textbox>
                <w10:anchorlock/>
              </v:shape>
            </w:pict>
          </mc:Fallback>
        </mc:AlternateContent>
      </w:r>
    </w:p>
    <w:p w14:paraId="00BE635C" w14:textId="4D8F2905" w:rsidR="007B7129" w:rsidRPr="007B7129" w:rsidRDefault="007B7129" w:rsidP="007B7129">
      <w:pPr>
        <w:spacing w:after="0"/>
        <w:ind w:firstLine="720"/>
        <w:rPr>
          <w:rFonts w:cs="Times New Roman"/>
          <w:szCs w:val="24"/>
        </w:rPr>
      </w:pPr>
      <w:r w:rsidRPr="007B7129">
        <w:rPr>
          <w:rFonts w:cs="Times New Roman"/>
          <w:szCs w:val="24"/>
        </w:rPr>
        <w:t>Benzylic C-H bond oxidations are known to occur with DDQ reactions,</w:t>
      </w:r>
      <w:r w:rsidRPr="007B7129">
        <w:rPr>
          <w:rFonts w:cs="Times New Roman"/>
          <w:szCs w:val="24"/>
        </w:rPr>
        <w:fldChar w:fldCharType="begin"/>
      </w:r>
      <w:r w:rsidRPr="007B7129">
        <w:rPr>
          <w:rFonts w:cs="Times New Roman"/>
          <w:szCs w:val="24"/>
        </w:rPr>
        <w:instrText xml:space="preserve"> ADDIN ZOTERO_ITEM CSL_CITATION {"citationID":"qyT7rm0q","properties":{"formattedCitation":"\\super 79\\nosupersub{}","plainCitation":"79","noteIndex":0},"citationItems":[{"id":636,"uris":["http://zotero.org/users/6503767/items/2MMN34L6"],"itemData":{"id":636,"type":"article-journal","abstract":"C–H activation of the methyl group of toluene and related ArCH3 derivatives by 2,3-dichloro-4,5-dicyano-1,4-benzoquinone (DDQ) gives insertion products, ArCH2O[C6Cl2(CN)2]OH via a rate-determining hydride abstraction by DDQ. The resulting benzylic ether can undergo reactions with phosphines to give benzylic phosphonium salts (Wittig reagents) and with phosphites to give phosphonate esters (Horner–Wadsworth–Emmons reagents).","container-title":"New Journal of Chemistry","DOI":"10.1039/C2NJ40021A","ISSN":"1369-9261","issue":"5","journalAbbreviation":"New J. Chem.","language":"en","note":"publisher: The Royal Society of Chemistry","page":"1141-1144","source":"pubs-rsc-org.ezproxy.lib.ou.edu","title":"Oxidative functionalization of benzylic C–H bonds by DDQ","volume":"36","author":[{"family":"Batista","given":"Victor S."},{"family":"Crabtree","given":"Robert H."},{"family":"Konezny","given":"Steven J."},{"family":"Luca","given":"Oana R."},{"family":"Praetorius","given":"Jeremy M."}],"issued":{"date-parts":[["2012",5,1]]}}}],"schema":"https://github.com/citation-style-language/schema/raw/master/csl-citation.json"}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79</w:t>
      </w:r>
      <w:r w:rsidRPr="007B7129">
        <w:rPr>
          <w:rFonts w:cs="Times New Roman"/>
          <w:szCs w:val="24"/>
        </w:rPr>
        <w:fldChar w:fldCharType="end"/>
      </w:r>
      <w:r w:rsidRPr="007B7129">
        <w:rPr>
          <w:rFonts w:cs="Times New Roman"/>
          <w:szCs w:val="24"/>
        </w:rPr>
        <w:t xml:space="preserve"> and DDQ is known to oxidize the THBC 4-position to form 4-oxo-THBC.</w:t>
      </w:r>
      <w:r w:rsidRPr="007B7129">
        <w:rPr>
          <w:rFonts w:cs="Times New Roman"/>
          <w:szCs w:val="24"/>
        </w:rPr>
        <w:fldChar w:fldCharType="begin"/>
      </w:r>
      <w:r w:rsidRPr="007B7129">
        <w:rPr>
          <w:rFonts w:cs="Times New Roman"/>
          <w:szCs w:val="24"/>
        </w:rPr>
        <w:instrText xml:space="preserve"> ADDIN ZOTERO_ITEM CSL_CITATION {"citationID":"In5peFU4","properties":{"formattedCitation":"\\super 31\\nosupersub{}","plainCitation":"31","noteIndex":0},"citationItems":[{"id":351,"uris":["http://zotero.org/users/6503767/items/S8STCQRN"],"itemData":{"id":351,"type":"article-journal","container-title":"The Journal of Organic Chemistry","DOI":"10.1021/jo00270a029","ISSN":"0022-3263, 1520-6904","issue":"9","journalAbbreviation":"J. Org. Chem.","language":"en","page":"2170-2178","source":"DOI.org (Crossref)","title":"DDQ oxidations in the indole area. Synthesis of 4-alkoxy-.beta.-carbolines including the natural products crenatine and 1-methoxycanthin-6-one","volume":"54","author":[{"family":"Hagen","given":"Timothy J."},{"family":"Narayanan","given":"Krishnaswamy"},{"family":"Names","given":"Jeffrey"},{"family":"Cook","given":"James M."}],"issued":{"date-parts":[["1989",4]]}}}],"schema":"https://github.com/citation-style-language/schema/raw/master/csl-citation.json"}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31</w:t>
      </w:r>
      <w:r w:rsidRPr="007B7129">
        <w:rPr>
          <w:rFonts w:cs="Times New Roman"/>
          <w:szCs w:val="24"/>
        </w:rPr>
        <w:fldChar w:fldCharType="end"/>
      </w:r>
      <w:r w:rsidRPr="007B7129">
        <w:rPr>
          <w:rFonts w:cs="Times New Roman"/>
          <w:szCs w:val="24"/>
        </w:rPr>
        <w:t xml:space="preserve"> There is also evidence of the ability of DDQ to promote oxidative cyclizations.</w:t>
      </w:r>
      <w:r w:rsidRPr="007B7129">
        <w:rPr>
          <w:rFonts w:cs="Times New Roman"/>
          <w:szCs w:val="24"/>
        </w:rPr>
        <w:fldChar w:fldCharType="begin"/>
      </w:r>
      <w:r w:rsidRPr="007B7129">
        <w:rPr>
          <w:rFonts w:cs="Times New Roman"/>
          <w:szCs w:val="24"/>
        </w:rPr>
        <w:instrText xml:space="preserve"> ADDIN ZOTERO_ITEM CSL_CITATION {"citationID":"1peiXAcM","properties":{"formattedCitation":"\\super 78\\nosupersub{}","plainCitation":"78","noteIndex":0},"citationItems":[{"id":415,"uris":["http://zotero.org/users/6503767/items/GBX4TDCB"],"itemData":{"id":415,"type":"article-journal","abstract":"2,3-Dichloro-5,6-dicyano-1,4-benzoquinone (DDQ) is the most widely used quinone with a high reduction potential, and it commonly mediates hydride transfer reactions and shows three accessible oxidation states: quinone (oxidized), semiquinone (one-electron-reduced), and hydroquinone (two-electron-reduced). DDQ has found broad utility as a stoichiometric oxidant in the functionalization of activated C–H bonds and the dehydrogenation of saturated C–C, C–O, and C–N bonds. The cost and toxicity of DDQ triggered recent efforts to develop methods that employ catalytic quantities of DDQ in combination with alternative stoichiometric oxidants. The aerobic catalytic approach was established for the selective oxidation of non-sterically hindered electron-rich benzyl methyl ethers and benzylic alcohols, and effectively extended to the oxidative deprotection of p-methoxybenzyl ethers to generate the alcohols in high selectivity. A combination of DDQ and protic acid is known to oxidize several aromatic donors to the corresponding cation radicals. The excited-state DDQ converts benzyls, heteroarenes, fluoroarenes, benzene, and olefins into their radical cation forms as well as chloride and other anions into their respective radicals. These reactive intermediates have been employed for the generation of C–C and C–X (N, O, or Cl) bonds in the synthesis of valuable natural products and organic compounds. To the best of our knowledge, however, there is still no review article exclusively describing the applications of DDQ in organic synthesis. Therefore, in the present review, we provide an overview of DDQ-induced organic transformations with their scope, limitations and the proposed reaction mechanisms.","container-title":"RSC Advances","DOI":"10.1039/D1RA04575J","ISSN":"2046-2069","issue":"47","journalAbbreviation":"RSC Adv.","language":"en","note":"publisher: The Royal Society of Chemistry","page":"29826-29858","source":"pubs.rsc.org","title":"DDQ as a versatile and easily recyclable oxidant: a systematic review","title-short":"DDQ as a versatile and easily recyclable oxidant","volume":"11","author":[{"family":"Alsharif","given":"Meshari A."},{"family":"Raja","given":"Qandeel Alam"},{"family":"Majeed","given":"Nida Abdul"},{"family":"Jassas","given":"Rabab S."},{"family":"Alsimaree","given":"Abdulrahman A."},{"family":"Sadiq","given":"Amina"},{"family":"Naeem","given":"Nafeesa"},{"family":"Mughal","given":"Ehsan Ullah"},{"family":"Alsantali","given":"Reem I."},{"family":"Moussa","given":"Ziad"},{"family":"Ahmed","given":"Saleh A."}],"issued":{"date-parts":[["2021",9,1]]}}}],"schema":"https://github.com/citation-style-language/schema/raw/master/csl-citation.json"}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78</w:t>
      </w:r>
      <w:r w:rsidRPr="007B7129">
        <w:rPr>
          <w:rFonts w:cs="Times New Roman"/>
          <w:szCs w:val="24"/>
        </w:rPr>
        <w:fldChar w:fldCharType="end"/>
      </w:r>
      <w:r w:rsidRPr="007B7129">
        <w:rPr>
          <w:rFonts w:cs="Times New Roman"/>
          <w:szCs w:val="24"/>
        </w:rPr>
        <w:t xml:space="preserve"> Thus, the mechanism for the formation of </w:t>
      </w:r>
      <w:r w:rsidRPr="007B7129">
        <w:rPr>
          <w:rFonts w:cs="Times New Roman"/>
          <w:b/>
          <w:bCs/>
          <w:szCs w:val="24"/>
        </w:rPr>
        <w:t>3.44</w:t>
      </w:r>
      <w:r w:rsidRPr="007B7129">
        <w:rPr>
          <w:rFonts w:cs="Times New Roman"/>
          <w:szCs w:val="24"/>
        </w:rPr>
        <w:t xml:space="preserve"> is proposed in </w:t>
      </w:r>
      <w:r w:rsidRPr="007B7129">
        <w:rPr>
          <w:rFonts w:cs="Times New Roman"/>
          <w:b/>
          <w:bCs/>
          <w:szCs w:val="24"/>
        </w:rPr>
        <w:fldChar w:fldCharType="begin"/>
      </w:r>
      <w:r w:rsidRPr="007B7129">
        <w:rPr>
          <w:rFonts w:cs="Times New Roman"/>
          <w:b/>
          <w:bCs/>
          <w:szCs w:val="24"/>
        </w:rPr>
        <w:instrText xml:space="preserve"> REF _Ref97242119 \h  \* MERGEFORMAT </w:instrText>
      </w:r>
      <w:r w:rsidRPr="007B7129">
        <w:rPr>
          <w:rFonts w:cs="Times New Roman"/>
          <w:b/>
          <w:bCs/>
          <w:szCs w:val="24"/>
        </w:rPr>
      </w:r>
      <w:r w:rsidRPr="007B7129">
        <w:rPr>
          <w:rFonts w:cs="Times New Roman"/>
          <w:b/>
          <w:bCs/>
          <w:szCs w:val="24"/>
        </w:rPr>
        <w:fldChar w:fldCharType="separate"/>
      </w:r>
      <w:r w:rsidR="00AA5AAC" w:rsidRPr="00AA5AAC">
        <w:rPr>
          <w:b/>
          <w:bCs/>
        </w:rPr>
        <w:t xml:space="preserve">Scheme </w:t>
      </w:r>
      <w:r w:rsidR="00AA5AAC" w:rsidRPr="00AA5AAC">
        <w:rPr>
          <w:b/>
          <w:bCs/>
          <w:noProof/>
        </w:rPr>
        <w:t>3.</w:t>
      </w:r>
      <w:r w:rsidRPr="007B7129">
        <w:rPr>
          <w:rFonts w:cs="Times New Roman"/>
          <w:b/>
          <w:bCs/>
          <w:szCs w:val="24"/>
        </w:rPr>
        <w:fldChar w:fldCharType="end"/>
      </w:r>
      <w:r w:rsidR="0025271B">
        <w:rPr>
          <w:rFonts w:cs="Times New Roman"/>
          <w:b/>
          <w:bCs/>
          <w:szCs w:val="24"/>
        </w:rPr>
        <w:t>14</w:t>
      </w:r>
      <w:r w:rsidRPr="007B7129">
        <w:rPr>
          <w:rFonts w:cs="Times New Roman"/>
          <w:szCs w:val="24"/>
        </w:rPr>
        <w:t xml:space="preserve">. Briefly, oxidation of the </w:t>
      </w:r>
      <w:proofErr w:type="spellStart"/>
      <w:r w:rsidRPr="007B7129">
        <w:rPr>
          <w:rFonts w:cs="Times New Roman"/>
          <w:szCs w:val="24"/>
        </w:rPr>
        <w:t>indoloquinolizine</w:t>
      </w:r>
      <w:proofErr w:type="spellEnd"/>
      <w:r w:rsidRPr="007B7129">
        <w:rPr>
          <w:rFonts w:cs="Times New Roman"/>
          <w:szCs w:val="24"/>
        </w:rPr>
        <w:t xml:space="preserve"> at the pseudo-benzylic position in addition to enamine tautomerization to the iminium ion </w:t>
      </w:r>
      <w:r w:rsidRPr="007B7129">
        <w:rPr>
          <w:rFonts w:cs="Times New Roman"/>
          <w:b/>
          <w:bCs/>
          <w:szCs w:val="24"/>
        </w:rPr>
        <w:t>3.44’</w:t>
      </w:r>
      <w:r w:rsidRPr="007B7129">
        <w:rPr>
          <w:rFonts w:cs="Times New Roman"/>
          <w:szCs w:val="24"/>
        </w:rPr>
        <w:t xml:space="preserve"> would allow for cyclization and the formation of a fused 5-membered ring. At first glance, the structure of </w:t>
      </w:r>
      <w:r w:rsidRPr="007B7129">
        <w:rPr>
          <w:rFonts w:cs="Times New Roman"/>
          <w:b/>
          <w:bCs/>
          <w:szCs w:val="24"/>
        </w:rPr>
        <w:t>3.44</w:t>
      </w:r>
      <w:r w:rsidRPr="007B7129">
        <w:rPr>
          <w:rFonts w:cs="Times New Roman"/>
          <w:szCs w:val="24"/>
        </w:rPr>
        <w:t xml:space="preserve"> appears sterically strained and unstable due to the hemiaminal that is formed. However, the (6-6-5)-fused heterocyclic octahydro-2</w:t>
      </w:r>
      <w:r w:rsidRPr="007B7129">
        <w:rPr>
          <w:rFonts w:cs="Times New Roman"/>
          <w:i/>
          <w:iCs/>
          <w:szCs w:val="24"/>
        </w:rPr>
        <w:t>H</w:t>
      </w:r>
      <w:r w:rsidRPr="007B7129">
        <w:rPr>
          <w:rFonts w:cs="Times New Roman"/>
          <w:szCs w:val="24"/>
        </w:rPr>
        <w:t>-3,6-epoxyquinolizine skeleton is found in the iboga class of natural products</w:t>
      </w:r>
      <w:r w:rsidRPr="007B7129">
        <w:rPr>
          <w:rFonts w:cs="Times New Roman"/>
          <w:szCs w:val="24"/>
        </w:rPr>
        <w:fldChar w:fldCharType="begin"/>
      </w:r>
      <w:r w:rsidRPr="007B7129">
        <w:rPr>
          <w:rFonts w:cs="Times New Roman"/>
          <w:szCs w:val="24"/>
        </w:rPr>
        <w:instrText xml:space="preserve"> ADDIN ZOTERO_ITEM CSL_CITATION {"citationID":"KpeI8mr2","properties":{"formattedCitation":"\\super 80\\nosupersub{}","plainCitation":"80","noteIndex":0},"citationItems":[{"id":412,"uris":["http://zotero.org/users/6503767/items/U2R8M9G8"],"itemData":{"id":412,"type":"article-journal","abstract":"Seven new iboga-type alkaloids, ervaoffines A–D (1–4), (7S)-3-oxoibogaine hydroxyindolenine (5), ibogaine-5,6-dione (6), and 19-epi-5-oxovoacristine (7), and 10 known alkaloids were isolated from Ervatamia officinalis. The absolute configurations of 1–7 were determined through X-ray diffraction and electronic circular dichroism (ECD) analyses. Ervaoffines A and B represent the first iboga-type pseudoindoxyl alkaloids in which the C-2 spiro carbon configuration is opposite to that of other members of this class, such as iboluteine (8). The relationship between the absolute configuration of the spiro carbons and the Cotton effect in the ECD spectrum is established for the first time for iboga-type pseudoindoxyl and oxindole alkaloids. Additionally, a plausible biogenetic pathway for these alkaloids is proposed.","container-title":"Journal of Natural Products","DOI":"10.1021/np500240b","ISSN":"0163-3864","issue":"8","journalAbbreviation":"J. Nat. Prod.","note":"publisher: American Chemical Society","page":"1839-1846","source":"ACS Publications","title":"Iboga-Type Alkaloids from Ervatamia officinalis","volume":"77","author":[{"family":"Tang","given":"Ben-Qin"},{"family":"Wang","given":"Wen-Jing"},{"family":"Huang","given":"Xiao-Jun"},{"family":"Li","given":"Guo-Qiang"},{"family":"Wang","given":"Lei"},{"family":"Jiang","given":"Ren-Wang"},{"family":"Yang","given":"Ting-Ting"},{"family":"Shi","given":"Lei"},{"family":"Zhang","given":"Xiao-Qi"},{"family":"Ye","given":"Wen-Cai"}],"issued":{"date-parts":[["2014",8,22]]}}}],"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80</w:t>
      </w:r>
      <w:r w:rsidRPr="007B7129">
        <w:rPr>
          <w:rFonts w:cs="Times New Roman"/>
          <w:szCs w:val="24"/>
        </w:rPr>
        <w:fldChar w:fldCharType="end"/>
      </w:r>
      <w:r w:rsidRPr="007B7129">
        <w:rPr>
          <w:rFonts w:cs="Times New Roman"/>
          <w:szCs w:val="24"/>
        </w:rPr>
        <w:t xml:space="preserve"> which contradicts its unstable appearance. The existence of </w:t>
      </w:r>
      <w:r w:rsidRPr="007B7129">
        <w:rPr>
          <w:rFonts w:cs="Times New Roman"/>
          <w:b/>
          <w:bCs/>
          <w:szCs w:val="24"/>
        </w:rPr>
        <w:t>3.44</w:t>
      </w:r>
      <w:r w:rsidRPr="007B7129">
        <w:rPr>
          <w:rFonts w:cs="Times New Roman"/>
          <w:szCs w:val="24"/>
        </w:rPr>
        <w:t xml:space="preserve"> is also corroborated with the aforementioned HRMS data. This, along with the thorough NMR analysis provided below, is evidence of the formation of compound </w:t>
      </w:r>
      <w:r w:rsidRPr="007B7129">
        <w:rPr>
          <w:rFonts w:cs="Times New Roman"/>
          <w:b/>
          <w:bCs/>
          <w:szCs w:val="24"/>
        </w:rPr>
        <w:t>3.44</w:t>
      </w:r>
      <w:r w:rsidRPr="007B7129">
        <w:rPr>
          <w:rFonts w:cs="Times New Roman"/>
          <w:szCs w:val="24"/>
        </w:rPr>
        <w:t>.</w:t>
      </w:r>
    </w:p>
    <w:p w14:paraId="37095178" w14:textId="77777777" w:rsidR="00AA5AAC" w:rsidRPr="00AA5AAC" w:rsidRDefault="007B7129" w:rsidP="00AA5AAC">
      <w:pPr>
        <w:ind w:firstLine="720"/>
        <w:rPr>
          <w:b/>
          <w:szCs w:val="18"/>
        </w:rPr>
      </w:pPr>
      <w:r w:rsidRPr="007B7129">
        <w:rPr>
          <w:rFonts w:cs="Times New Roman"/>
          <w:szCs w:val="24"/>
        </w:rPr>
        <w:t xml:space="preserve">The structure of </w:t>
      </w:r>
      <w:r w:rsidRPr="007B7129">
        <w:rPr>
          <w:rFonts w:cs="Times New Roman"/>
          <w:b/>
          <w:bCs/>
          <w:szCs w:val="24"/>
        </w:rPr>
        <w:t>3.44</w:t>
      </w:r>
      <w:r w:rsidRPr="007B7129">
        <w:rPr>
          <w:rFonts w:cs="Times New Roman"/>
          <w:szCs w:val="24"/>
        </w:rPr>
        <w:t xml:space="preserve"> was confirmed by </w:t>
      </w:r>
      <w:r w:rsidRPr="007B7129">
        <w:rPr>
          <w:rFonts w:cs="Times New Roman"/>
          <w:szCs w:val="24"/>
          <w:vertAlign w:val="superscript"/>
        </w:rPr>
        <w:t>1</w:t>
      </w:r>
      <w:r w:rsidRPr="007B7129">
        <w:rPr>
          <w:rFonts w:cs="Times New Roman"/>
          <w:szCs w:val="24"/>
        </w:rPr>
        <w:t xml:space="preserve">H and </w:t>
      </w:r>
      <w:r w:rsidRPr="007B7129">
        <w:rPr>
          <w:rFonts w:cs="Times New Roman"/>
          <w:szCs w:val="24"/>
          <w:vertAlign w:val="superscript"/>
        </w:rPr>
        <w:t>13</w:t>
      </w:r>
      <w:r w:rsidRPr="007B7129">
        <w:rPr>
          <w:rFonts w:cs="Times New Roman"/>
          <w:szCs w:val="24"/>
        </w:rPr>
        <w:t>C 1D NMR, HSQC, HMBC, HSQC-TOCSY, and TOCSY 2D NMR, and HRMS. Key COSY, HSQC, and TOCSY correlations are shown in</w:t>
      </w:r>
      <w:r w:rsidR="00AF3EDB">
        <w:rPr>
          <w:rFonts w:cs="Times New Roman"/>
          <w:b/>
          <w:bCs/>
          <w:szCs w:val="24"/>
        </w:rPr>
        <w:t xml:space="preserve"> </w:t>
      </w:r>
      <w:r w:rsidR="00AF3EDB" w:rsidRPr="00AF3EDB">
        <w:rPr>
          <w:rFonts w:cs="Times New Roman"/>
          <w:b/>
          <w:bCs/>
          <w:szCs w:val="24"/>
        </w:rPr>
        <w:fldChar w:fldCharType="begin"/>
      </w:r>
      <w:r w:rsidR="00AF3EDB" w:rsidRPr="00AF3EDB">
        <w:rPr>
          <w:rFonts w:cs="Times New Roman"/>
          <w:b/>
          <w:bCs/>
          <w:szCs w:val="24"/>
        </w:rPr>
        <w:instrText xml:space="preserve"> REF _Ref102583242 \h  \* MERGEFORMAT </w:instrText>
      </w:r>
      <w:r w:rsidR="00AF3EDB" w:rsidRPr="00AF3EDB">
        <w:rPr>
          <w:rFonts w:cs="Times New Roman"/>
          <w:b/>
          <w:bCs/>
          <w:szCs w:val="24"/>
        </w:rPr>
      </w:r>
      <w:r w:rsidR="00AF3EDB" w:rsidRPr="00AF3EDB">
        <w:rPr>
          <w:rFonts w:cs="Times New Roman"/>
          <w:b/>
          <w:bCs/>
          <w:szCs w:val="24"/>
        </w:rPr>
        <w:fldChar w:fldCharType="separate"/>
      </w:r>
      <w:r w:rsidR="00AA5AAC" w:rsidRPr="00AA5AAC">
        <w:rPr>
          <w:b/>
          <w:bCs/>
        </w:rPr>
        <w:t>Figure 3.11</w:t>
      </w:r>
      <w:r w:rsidR="00AF3EDB" w:rsidRPr="00AF3EDB">
        <w:rPr>
          <w:rFonts w:cs="Times New Roman"/>
          <w:b/>
          <w:bCs/>
          <w:szCs w:val="24"/>
        </w:rPr>
        <w:fldChar w:fldCharType="end"/>
      </w:r>
      <w:r w:rsidRPr="007B7129">
        <w:rPr>
          <w:rFonts w:cs="Times New Roman"/>
          <w:szCs w:val="24"/>
        </w:rPr>
        <w:t xml:space="preserve">. Focusing on the aliphatic region where the chemistry most likely occurred, </w:t>
      </w:r>
      <w:r w:rsidRPr="007B7129">
        <w:rPr>
          <w:rFonts w:cs="Times New Roman"/>
          <w:szCs w:val="24"/>
        </w:rPr>
        <w:lastRenderedPageBreak/>
        <w:t>the linker carbons (</w:t>
      </w:r>
      <w:proofErr w:type="spellStart"/>
      <w:r w:rsidRPr="007B7129">
        <w:rPr>
          <w:rFonts w:cs="Times New Roman"/>
          <w:szCs w:val="24"/>
        </w:rPr>
        <w:t>δ</w:t>
      </w:r>
      <w:r w:rsidRPr="007B7129">
        <w:rPr>
          <w:rFonts w:cs="Times New Roman"/>
          <w:szCs w:val="24"/>
          <w:vertAlign w:val="subscript"/>
        </w:rPr>
        <w:t>C</w:t>
      </w:r>
      <w:proofErr w:type="spellEnd"/>
      <w:r w:rsidRPr="007B7129">
        <w:rPr>
          <w:rFonts w:cs="Times New Roman"/>
          <w:szCs w:val="24"/>
        </w:rPr>
        <w:t xml:space="preserve"> 34.4, C11; 18.1, C12; 30.7, C13) and their corresponding protons were identified with COSY correlations indicating their connectivity. COSY correlations also showed a single proton (</w:t>
      </w:r>
      <w:proofErr w:type="spellStart"/>
      <w:r w:rsidRPr="007B7129">
        <w:rPr>
          <w:rFonts w:cs="Times New Roman"/>
          <w:szCs w:val="24"/>
        </w:rPr>
        <w:t>δ</w:t>
      </w:r>
      <w:r w:rsidRPr="007B7129">
        <w:rPr>
          <w:rFonts w:cs="Times New Roman"/>
          <w:szCs w:val="24"/>
          <w:vertAlign w:val="subscript"/>
        </w:rPr>
        <w:t>H</w:t>
      </w:r>
      <w:proofErr w:type="spellEnd"/>
      <w:r w:rsidRPr="007B7129">
        <w:rPr>
          <w:rFonts w:cs="Times New Roman"/>
          <w:szCs w:val="24"/>
        </w:rPr>
        <w:t xml:space="preserve"> 5.07, H4’) connected to two </w:t>
      </w:r>
      <w:proofErr w:type="spellStart"/>
      <w:r w:rsidRPr="007B7129">
        <w:rPr>
          <w:rFonts w:cs="Times New Roman"/>
          <w:szCs w:val="24"/>
        </w:rPr>
        <w:t>diastereotopic</w:t>
      </w:r>
      <w:proofErr w:type="spellEnd"/>
      <w:r w:rsidRPr="007B7129">
        <w:rPr>
          <w:rFonts w:cs="Times New Roman"/>
          <w:szCs w:val="24"/>
        </w:rPr>
        <w:t xml:space="preserve"> protons (</w:t>
      </w:r>
      <w:proofErr w:type="spellStart"/>
      <w:r w:rsidRPr="007B7129">
        <w:rPr>
          <w:rFonts w:cs="Times New Roman"/>
          <w:szCs w:val="24"/>
        </w:rPr>
        <w:t>δ</w:t>
      </w:r>
      <w:r w:rsidRPr="007B7129">
        <w:rPr>
          <w:rFonts w:cs="Times New Roman"/>
          <w:szCs w:val="24"/>
          <w:vertAlign w:val="subscript"/>
        </w:rPr>
        <w:t>H</w:t>
      </w:r>
      <w:proofErr w:type="spellEnd"/>
      <w:r w:rsidRPr="007B7129">
        <w:rPr>
          <w:rFonts w:cs="Times New Roman"/>
          <w:szCs w:val="24"/>
          <w:vertAlign w:val="subscript"/>
        </w:rPr>
        <w:t xml:space="preserve"> </w:t>
      </w:r>
      <w:r w:rsidRPr="007B7129">
        <w:rPr>
          <w:rFonts w:cs="Times New Roman"/>
          <w:szCs w:val="24"/>
        </w:rPr>
        <w:t>2.77 and 3.28, H3’). TOCSY and HSQC-TOCSY showed C4’ and C3’ in an isolated spin system. Additionally, C10 (</w:t>
      </w:r>
      <w:proofErr w:type="spellStart"/>
      <w:r w:rsidRPr="007B7129">
        <w:rPr>
          <w:rFonts w:cs="Times New Roman"/>
          <w:szCs w:val="24"/>
        </w:rPr>
        <w:t>δ</w:t>
      </w:r>
      <w:r w:rsidRPr="007B7129">
        <w:rPr>
          <w:rFonts w:cs="Times New Roman"/>
          <w:szCs w:val="24"/>
          <w:vertAlign w:val="subscript"/>
        </w:rPr>
        <w:t>C</w:t>
      </w:r>
      <w:proofErr w:type="spellEnd"/>
      <w:r w:rsidRPr="007B7129">
        <w:rPr>
          <w:rFonts w:cs="Times New Roman"/>
          <w:szCs w:val="24"/>
          <w:vertAlign w:val="subscript"/>
        </w:rPr>
        <w:t xml:space="preserve"> </w:t>
      </w:r>
      <w:r w:rsidRPr="007B7129">
        <w:rPr>
          <w:rFonts w:cs="Times New Roman"/>
          <w:szCs w:val="24"/>
        </w:rPr>
        <w:t>90.9) showed correlations to H1’ and H3’ in the HMBC spectrum. The carbon shift of 90.9 ppm, too low for sp</w:t>
      </w:r>
      <w:r w:rsidRPr="007B7129">
        <w:rPr>
          <w:rFonts w:cs="Times New Roman"/>
          <w:szCs w:val="24"/>
          <w:vertAlign w:val="superscript"/>
        </w:rPr>
        <w:t>2</w:t>
      </w:r>
      <w:r w:rsidRPr="007B7129">
        <w:rPr>
          <w:rFonts w:cs="Times New Roman"/>
          <w:szCs w:val="24"/>
        </w:rPr>
        <w:t xml:space="preserve"> carbons and too high for a typical oxygen-bonded carbon, suggested more complexity to C10. This spectroscopic data along with the mechanistic rationale above, arrived at the structure of compound </w:t>
      </w:r>
      <w:r w:rsidRPr="007B7129">
        <w:rPr>
          <w:rFonts w:cs="Times New Roman"/>
          <w:b/>
          <w:bCs/>
          <w:szCs w:val="24"/>
        </w:rPr>
        <w:t>3.44</w:t>
      </w:r>
      <w:r w:rsidRPr="007B7129">
        <w:rPr>
          <w:rFonts w:cs="Times New Roman"/>
          <w:szCs w:val="24"/>
        </w:rPr>
        <w:t xml:space="preserve">. Two diastereomers of </w:t>
      </w:r>
      <w:r w:rsidRPr="007B7129">
        <w:rPr>
          <w:rFonts w:cs="Times New Roman"/>
          <w:b/>
          <w:bCs/>
          <w:szCs w:val="24"/>
        </w:rPr>
        <w:t>3.44</w:t>
      </w:r>
      <w:r w:rsidRPr="007B7129">
        <w:rPr>
          <w:rFonts w:cs="Times New Roman"/>
          <w:szCs w:val="24"/>
        </w:rPr>
        <w:t xml:space="preserve"> were found by NMR in 3:2 ratio, but absolute stereochemistry is unknown. The final NMR assignments are shown in </w:t>
      </w:r>
      <w:r w:rsidRPr="007B7129">
        <w:rPr>
          <w:rFonts w:cs="Times New Roman"/>
          <w:b/>
          <w:bCs/>
          <w:szCs w:val="24"/>
        </w:rPr>
        <w:fldChar w:fldCharType="begin"/>
      </w:r>
      <w:r w:rsidRPr="007B7129">
        <w:rPr>
          <w:rFonts w:cs="Times New Roman"/>
          <w:b/>
          <w:bCs/>
          <w:szCs w:val="24"/>
        </w:rPr>
        <w:instrText xml:space="preserve"> REF _Ref87305543 \h  \* MERGEFORMAT </w:instrText>
      </w:r>
      <w:r w:rsidRPr="007B7129">
        <w:rPr>
          <w:rFonts w:cs="Times New Roman"/>
          <w:b/>
          <w:bCs/>
          <w:szCs w:val="24"/>
        </w:rPr>
      </w:r>
      <w:r w:rsidRPr="007B7129">
        <w:rPr>
          <w:rFonts w:cs="Times New Roman"/>
          <w:b/>
          <w:bCs/>
          <w:szCs w:val="24"/>
        </w:rPr>
        <w:fldChar w:fldCharType="separate"/>
      </w:r>
      <w:r w:rsidR="00AA5AAC" w:rsidRPr="00AA5AAC">
        <w:rPr>
          <w:b/>
          <w:szCs w:val="18"/>
        </w:rPr>
        <w:br w:type="page"/>
      </w:r>
    </w:p>
    <w:p w14:paraId="22F67001" w14:textId="0B40D9B6" w:rsidR="007B7129" w:rsidRPr="005C5841" w:rsidRDefault="00AA5AAC" w:rsidP="005C5841">
      <w:pPr>
        <w:ind w:firstLine="720"/>
        <w:rPr>
          <w:b/>
          <w:szCs w:val="18"/>
        </w:rPr>
      </w:pPr>
      <w:r w:rsidRPr="007B7129">
        <w:rPr>
          <w:b/>
          <w:szCs w:val="18"/>
        </w:rPr>
        <w:lastRenderedPageBreak/>
        <w:t>Table 3.</w:t>
      </w:r>
      <w:r>
        <w:rPr>
          <w:b/>
          <w:szCs w:val="18"/>
        </w:rPr>
        <w:t>9</w:t>
      </w:r>
      <w:r w:rsidR="007B7129" w:rsidRPr="007B7129">
        <w:rPr>
          <w:rFonts w:cs="Times New Roman"/>
          <w:b/>
          <w:bCs/>
          <w:szCs w:val="24"/>
        </w:rPr>
        <w:fldChar w:fldCharType="end"/>
      </w:r>
      <w:r w:rsidR="007B7129" w:rsidRPr="007B7129">
        <w:rPr>
          <w:rFonts w:cs="Times New Roman"/>
          <w:szCs w:val="24"/>
        </w:rPr>
        <w:t xml:space="preserve">. </w:t>
      </w:r>
    </w:p>
    <w:p w14:paraId="633396F3" w14:textId="77777777" w:rsidR="007B7129" w:rsidRPr="007B7129" w:rsidRDefault="007B7129" w:rsidP="007B7129">
      <w:pPr>
        <w:rPr>
          <w:b/>
          <w:bCs/>
        </w:rPr>
      </w:pPr>
      <w:r w:rsidRPr="007B7129">
        <w:rPr>
          <w:b/>
          <w:bCs/>
          <w:noProof/>
        </w:rPr>
        <mc:AlternateContent>
          <mc:Choice Requires="wps">
            <w:drawing>
              <wp:inline distT="0" distB="0" distL="0" distR="0" wp14:anchorId="135C87AD" wp14:editId="576E934F">
                <wp:extent cx="5943600" cy="2735249"/>
                <wp:effectExtent l="0" t="0" r="19050" b="27305"/>
                <wp:docPr id="228" name="Text Box 2" descr="Structure of compound 3.44 showing the (A) atom numbering system and (B) the key HMBC (green arrows), TOCSY (red arrows), and COSY (blue bold bonds) correlation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35249"/>
                        </a:xfrm>
                        <a:prstGeom prst="rect">
                          <a:avLst/>
                        </a:prstGeom>
                        <a:solidFill>
                          <a:srgbClr val="FFFFFF"/>
                        </a:solidFill>
                        <a:ln w="9525">
                          <a:solidFill>
                            <a:srgbClr val="000000"/>
                          </a:solidFill>
                          <a:miter lim="800000"/>
                          <a:headEnd/>
                          <a:tailEnd/>
                        </a:ln>
                      </wps:spPr>
                      <wps:txbx>
                        <w:txbxContent>
                          <w:p w14:paraId="1ECFE665" w14:textId="77777777" w:rsidR="003801E1" w:rsidRDefault="007B7129" w:rsidP="003801E1">
                            <w:pPr>
                              <w:keepNext/>
                              <w:spacing w:after="0"/>
                              <w:jc w:val="center"/>
                            </w:pPr>
                            <w:r>
                              <w:rPr>
                                <w:noProof/>
                              </w:rPr>
                              <w:drawing>
                                <wp:inline distT="0" distB="0" distL="0" distR="0" wp14:anchorId="0C2CE2E7" wp14:editId="1418C938">
                                  <wp:extent cx="5511392" cy="1864840"/>
                                  <wp:effectExtent l="0" t="0" r="0" b="2540"/>
                                  <wp:docPr id="288" name="Picture 288" descr="Structure of compound 3.44 showing the (A) atom numbering system and (B) the key HMBC (green arrows), TOCSY (red arrows), and COSY (blue bold bonds) correl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Structure of compound 3.44 showing the (A) atom numbering system and (B) the key HMBC (green arrows), TOCSY (red arrows), and COSY (blue bold bonds) correlations. "/>
                                          <pic:cNvPicPr/>
                                        </pic:nvPicPr>
                                        <pic:blipFill>
                                          <a:blip r:embed="rId311">
                                            <a:extLst>
                                              <a:ext uri="{28A0092B-C50C-407E-A947-70E740481C1C}">
                                                <a14:useLocalDpi xmlns:a14="http://schemas.microsoft.com/office/drawing/2010/main" val="0"/>
                                              </a:ext>
                                            </a:extLst>
                                          </a:blip>
                                          <a:stretch>
                                            <a:fillRect/>
                                          </a:stretch>
                                        </pic:blipFill>
                                        <pic:spPr>
                                          <a:xfrm>
                                            <a:off x="0" y="0"/>
                                            <a:ext cx="5511392" cy="1864840"/>
                                          </a:xfrm>
                                          <a:prstGeom prst="rect">
                                            <a:avLst/>
                                          </a:prstGeom>
                                        </pic:spPr>
                                      </pic:pic>
                                    </a:graphicData>
                                  </a:graphic>
                                </wp:inline>
                              </w:drawing>
                            </w:r>
                          </w:p>
                          <w:p w14:paraId="66F6EFA7" w14:textId="3E1D67A7" w:rsidR="007B7129" w:rsidRDefault="003801E1" w:rsidP="00DF51F5">
                            <w:pPr>
                              <w:pStyle w:val="Caption"/>
                            </w:pPr>
                            <w:bookmarkStart w:id="361" w:name="_Ref102583242"/>
                            <w:bookmarkStart w:id="362" w:name="_Toc100748318"/>
                            <w:r>
                              <w:t>Figure 3.</w:t>
                            </w:r>
                            <w:fldSimple w:instr=" SEQ Figure \* ARABIC ">
                              <w:r w:rsidR="00AA5AAC">
                                <w:rPr>
                                  <w:noProof/>
                                </w:rPr>
                                <w:t>11</w:t>
                              </w:r>
                            </w:fldSimple>
                            <w:bookmarkStart w:id="363" w:name="_Toc100243264"/>
                            <w:bookmarkEnd w:id="361"/>
                            <w:r w:rsidR="007B7129">
                              <w:t>. Structure of compound 3.44 showing the (A) atom numbering system and (B) the key HMBC (green arrows), TOCSY (red arrows), and COSY (blue bold bonds) correlations.</w:t>
                            </w:r>
                            <w:bookmarkEnd w:id="362"/>
                            <w:bookmarkEnd w:id="363"/>
                            <w:r w:rsidR="007B7129">
                              <w:t xml:space="preserve"> </w:t>
                            </w:r>
                          </w:p>
                          <w:p w14:paraId="2A54D261" w14:textId="77777777" w:rsidR="007B7129" w:rsidRDefault="007B7129" w:rsidP="003801E1"/>
                        </w:txbxContent>
                      </wps:txbx>
                      <wps:bodyPr rot="0" vert="horz" wrap="square" lIns="91440" tIns="45720" rIns="91440" bIns="45720" anchor="t" anchorCtr="0">
                        <a:noAutofit/>
                      </wps:bodyPr>
                    </wps:wsp>
                  </a:graphicData>
                </a:graphic>
              </wp:inline>
            </w:drawing>
          </mc:Choice>
          <mc:Fallback>
            <w:pict>
              <v:shape w14:anchorId="135C87AD" id="_x0000_s1099" type="#_x0000_t202" alt="Structure of compound 3.44 showing the (A) atom numbering system and (B) the key HMBC (green arrows), TOCSY (red arrows), and COSY (blue bold bonds) correlations. " style="width:468pt;height:21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">
                <v:textbox>
                  <w:txbxContent>
                    <w:p w14:paraId="1ECFE665" w14:textId="77777777" w:rsidR="003801E1" w:rsidRDefault="007B7129" w:rsidP="003801E1">
                      <w:pPr>
                        <w:keepNext/>
                        <w:spacing w:after="0"/>
                        <w:jc w:val="center"/>
                      </w:pPr>
                      <w:r>
                        <w:rPr>
                          <w:noProof/>
                        </w:rPr>
                        <w:drawing>
                          <wp:inline distT="0" distB="0" distL="0" distR="0" wp14:anchorId="0C2CE2E7" wp14:editId="1418C938">
                            <wp:extent cx="5511392" cy="1864840"/>
                            <wp:effectExtent l="0" t="0" r="0" b="2540"/>
                            <wp:docPr id="288" name="Picture 288" descr="Structure of compound 3.44 showing the (A) atom numbering system and (B) the key HMBC (green arrows), TOCSY (red arrows), and COSY (blue bold bonds) correl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Structure of compound 3.44 showing the (A) atom numbering system and (B) the key HMBC (green arrows), TOCSY (red arrows), and COSY (blue bold bonds) correlations. "/>
                                    <pic:cNvPicPr/>
                                  </pic:nvPicPr>
                                  <pic:blipFill>
                                    <a:blip r:embed="rId311">
                                      <a:extLst>
                                        <a:ext uri="{28A0092B-C50C-407E-A947-70E740481C1C}">
                                          <a14:useLocalDpi xmlns:a14="http://schemas.microsoft.com/office/drawing/2010/main" val="0"/>
                                        </a:ext>
                                      </a:extLst>
                                    </a:blip>
                                    <a:stretch>
                                      <a:fillRect/>
                                    </a:stretch>
                                  </pic:blipFill>
                                  <pic:spPr>
                                    <a:xfrm>
                                      <a:off x="0" y="0"/>
                                      <a:ext cx="5511392" cy="1864840"/>
                                    </a:xfrm>
                                    <a:prstGeom prst="rect">
                                      <a:avLst/>
                                    </a:prstGeom>
                                  </pic:spPr>
                                </pic:pic>
                              </a:graphicData>
                            </a:graphic>
                          </wp:inline>
                        </w:drawing>
                      </w:r>
                    </w:p>
                    <w:p w14:paraId="66F6EFA7" w14:textId="3E1D67A7" w:rsidR="007B7129" w:rsidRDefault="003801E1" w:rsidP="00DF51F5">
                      <w:pPr>
                        <w:pStyle w:val="Caption"/>
                      </w:pPr>
                      <w:bookmarkStart w:id="364" w:name="_Ref102583242"/>
                      <w:bookmarkStart w:id="365" w:name="_Toc100748318"/>
                      <w:r>
                        <w:t>Figure 3.</w:t>
                      </w:r>
                      <w:fldSimple w:instr=" SEQ Figure \* ARABIC ">
                        <w:r w:rsidR="00AA5AAC">
                          <w:rPr>
                            <w:noProof/>
                          </w:rPr>
                          <w:t>11</w:t>
                        </w:r>
                      </w:fldSimple>
                      <w:bookmarkStart w:id="366" w:name="_Toc100243264"/>
                      <w:bookmarkEnd w:id="364"/>
                      <w:r w:rsidR="007B7129">
                        <w:t>. Structure of compound 3.44 showing the (A) atom numbering system and (B) the key HMBC (green arrows), TOCSY (red arrows), and COSY (blue bold bonds) correlations.</w:t>
                      </w:r>
                      <w:bookmarkEnd w:id="365"/>
                      <w:bookmarkEnd w:id="366"/>
                      <w:r w:rsidR="007B7129">
                        <w:t xml:space="preserve"> </w:t>
                      </w:r>
                    </w:p>
                    <w:p w14:paraId="2A54D261" w14:textId="77777777" w:rsidR="007B7129" w:rsidRDefault="007B7129" w:rsidP="003801E1"/>
                  </w:txbxContent>
                </v:textbox>
                <w10:anchorlock/>
              </v:shape>
            </w:pict>
          </mc:Fallback>
        </mc:AlternateContent>
      </w:r>
    </w:p>
    <w:p w14:paraId="4D32E3A5" w14:textId="77777777" w:rsidR="007B7129" w:rsidRPr="007B7129" w:rsidRDefault="007B7129" w:rsidP="007B7129">
      <w:pPr>
        <w:spacing w:line="259" w:lineRule="auto"/>
        <w:jc w:val="left"/>
        <w:rPr>
          <w:b/>
          <w:iCs/>
          <w:szCs w:val="18"/>
        </w:rPr>
      </w:pPr>
      <w:bookmarkStart w:id="367" w:name="_Ref87305543"/>
      <w:r w:rsidRPr="007B7129">
        <w:br w:type="page"/>
      </w:r>
    </w:p>
    <w:p w14:paraId="345420BC" w14:textId="78578471" w:rsidR="007B7129" w:rsidRPr="007B7129" w:rsidRDefault="007B7129" w:rsidP="00E138C0">
      <w:pPr>
        <w:spacing w:after="0" w:line="240" w:lineRule="auto"/>
        <w:rPr>
          <w:b/>
          <w:szCs w:val="18"/>
        </w:rPr>
      </w:pPr>
      <w:r w:rsidRPr="007B7129">
        <w:rPr>
          <w:b/>
          <w:szCs w:val="18"/>
        </w:rPr>
        <w:lastRenderedPageBreak/>
        <w:t>Table 3.</w:t>
      </w:r>
      <w:r w:rsidRPr="007B7129">
        <w:rPr>
          <w:b/>
          <w:szCs w:val="18"/>
        </w:rPr>
        <w:fldChar w:fldCharType="begin"/>
      </w:r>
      <w:r w:rsidRPr="007B7129">
        <w:rPr>
          <w:b/>
          <w:szCs w:val="18"/>
        </w:rPr>
        <w:instrText xml:space="preserve"> SEQ Table \* ARABIC </w:instrText>
      </w:r>
      <w:r w:rsidRPr="007B7129">
        <w:rPr>
          <w:b/>
          <w:szCs w:val="18"/>
        </w:rPr>
        <w:fldChar w:fldCharType="separate"/>
      </w:r>
      <w:r w:rsidR="00AA5AAC">
        <w:rPr>
          <w:b/>
          <w:noProof/>
          <w:szCs w:val="18"/>
        </w:rPr>
        <w:t>9</w:t>
      </w:r>
      <w:r w:rsidRPr="007B7129">
        <w:rPr>
          <w:b/>
          <w:noProof/>
          <w:szCs w:val="18"/>
        </w:rPr>
        <w:fldChar w:fldCharType="end"/>
      </w:r>
      <w:bookmarkEnd w:id="367"/>
      <w:r w:rsidRPr="007B7129">
        <w:rPr>
          <w:b/>
          <w:szCs w:val="18"/>
        </w:rPr>
        <w:t xml:space="preserve">. NMR assignments for compound 3.44 (d6-DMSO). </w:t>
      </w:r>
    </w:p>
    <w:tbl>
      <w:tblPr>
        <w:tblStyle w:val="TableGrid"/>
        <w:tblW w:w="9355" w:type="dxa"/>
        <w:tblBorders>
          <w:insideH w:val="none" w:sz="0" w:space="0" w:color="auto"/>
          <w:insideV w:val="none" w:sz="0" w:space="0" w:color="auto"/>
        </w:tblBorders>
        <w:tblLook w:val="04A0" w:firstRow="1" w:lastRow="0" w:firstColumn="1" w:lastColumn="0" w:noHBand="0" w:noVBand="1"/>
      </w:tblPr>
      <w:tblGrid>
        <w:gridCol w:w="2515"/>
        <w:gridCol w:w="1440"/>
        <w:gridCol w:w="2340"/>
        <w:gridCol w:w="3060"/>
      </w:tblGrid>
      <w:tr w:rsidR="007B7129" w:rsidRPr="007B7129" w14:paraId="2195DDDF" w14:textId="77777777" w:rsidTr="00562397">
        <w:tc>
          <w:tcPr>
            <w:tcW w:w="9355" w:type="dxa"/>
            <w:gridSpan w:val="4"/>
            <w:tcBorders>
              <w:bottom w:val="single" w:sz="4" w:space="0" w:color="auto"/>
            </w:tcBorders>
          </w:tcPr>
          <w:p w14:paraId="1A78A670" w14:textId="77777777" w:rsidR="007B7129" w:rsidRPr="007B7129" w:rsidRDefault="007B7129" w:rsidP="007B7129">
            <w:pPr>
              <w:spacing w:line="240" w:lineRule="auto"/>
              <w:contextualSpacing/>
              <w:jc w:val="center"/>
              <w:rPr>
                <w:rFonts w:cs="Times New Roman"/>
                <w:b/>
                <w:color w:val="000000"/>
                <w:szCs w:val="24"/>
                <w:shd w:val="clear" w:color="auto" w:fill="FFFFFF"/>
              </w:rPr>
            </w:pPr>
            <w:r w:rsidRPr="007B7129">
              <w:rPr>
                <w:rFonts w:cs="Times New Roman"/>
                <w:b/>
                <w:noProof/>
                <w:color w:val="000000"/>
                <w:szCs w:val="24"/>
                <w:shd w:val="clear" w:color="auto" w:fill="FFFFFF"/>
              </w:rPr>
              <w:drawing>
                <wp:inline distT="0" distB="0" distL="0" distR="0" wp14:anchorId="6EFECEA9" wp14:editId="15EC2B5C">
                  <wp:extent cx="3474720" cy="1507445"/>
                  <wp:effectExtent l="0" t="0" r="0" b="0"/>
                  <wp:docPr id="282" name="Picture 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a:extLst>
                              <a:ext uri="{C183D7F6-B498-43B3-948B-1728B52AA6E4}">
                                <adec:decorative xmlns:adec="http://schemas.microsoft.com/office/drawing/2017/decorative" val="1"/>
                              </a:ext>
                            </a:extLst>
                          </pic:cNvPr>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3508102" cy="1521927"/>
                          </a:xfrm>
                          <a:prstGeom prst="rect">
                            <a:avLst/>
                          </a:prstGeom>
                        </pic:spPr>
                      </pic:pic>
                    </a:graphicData>
                  </a:graphic>
                </wp:inline>
              </w:drawing>
            </w:r>
          </w:p>
        </w:tc>
      </w:tr>
      <w:tr w:rsidR="007B7129" w:rsidRPr="007B7129" w14:paraId="6919B248" w14:textId="77777777" w:rsidTr="00562397">
        <w:tc>
          <w:tcPr>
            <w:tcW w:w="2515" w:type="dxa"/>
            <w:tcBorders>
              <w:top w:val="single" w:sz="4" w:space="0" w:color="auto"/>
              <w:bottom w:val="single" w:sz="4" w:space="0" w:color="auto"/>
              <w:right w:val="single" w:sz="4" w:space="0" w:color="auto"/>
            </w:tcBorders>
          </w:tcPr>
          <w:p w14:paraId="0D6D7CE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Segment</w:t>
            </w:r>
          </w:p>
        </w:tc>
        <w:tc>
          <w:tcPr>
            <w:tcW w:w="1440" w:type="dxa"/>
            <w:tcBorders>
              <w:top w:val="single" w:sz="4" w:space="0" w:color="auto"/>
              <w:left w:val="single" w:sz="4" w:space="0" w:color="auto"/>
              <w:bottom w:val="single" w:sz="4" w:space="0" w:color="auto"/>
              <w:right w:val="single" w:sz="4" w:space="0" w:color="auto"/>
            </w:tcBorders>
          </w:tcPr>
          <w:p w14:paraId="3C5E131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Position</w:t>
            </w:r>
          </w:p>
        </w:tc>
        <w:tc>
          <w:tcPr>
            <w:tcW w:w="2340" w:type="dxa"/>
            <w:tcBorders>
              <w:top w:val="single" w:sz="4" w:space="0" w:color="auto"/>
              <w:left w:val="single" w:sz="4" w:space="0" w:color="auto"/>
              <w:bottom w:val="single" w:sz="4" w:space="0" w:color="auto"/>
              <w:right w:val="single" w:sz="4" w:space="0" w:color="auto"/>
            </w:tcBorders>
          </w:tcPr>
          <w:p w14:paraId="000F63C1" w14:textId="77777777" w:rsidR="007B7129" w:rsidRPr="007B7129" w:rsidRDefault="007B7129" w:rsidP="007B7129">
            <w:pPr>
              <w:spacing w:line="240" w:lineRule="auto"/>
              <w:contextualSpacing/>
              <w:rPr>
                <w:rFonts w:cs="Times New Roman"/>
                <w:color w:val="000000"/>
                <w:szCs w:val="24"/>
                <w:shd w:val="clear" w:color="auto" w:fill="FFFFFF"/>
              </w:rPr>
            </w:pPr>
            <w:proofErr w:type="spellStart"/>
            <w:r w:rsidRPr="007B7129">
              <w:rPr>
                <w:rFonts w:cs="Times New Roman"/>
                <w:color w:val="000000"/>
                <w:szCs w:val="24"/>
                <w:shd w:val="clear" w:color="auto" w:fill="FFFFFF"/>
              </w:rPr>
              <w:t>δC</w:t>
            </w:r>
            <w:proofErr w:type="spellEnd"/>
            <w:r w:rsidRPr="007B7129">
              <w:rPr>
                <w:rFonts w:cs="Times New Roman"/>
                <w:color w:val="000000"/>
                <w:szCs w:val="24"/>
                <w:shd w:val="clear" w:color="auto" w:fill="FFFFFF"/>
              </w:rPr>
              <w:t xml:space="preserve"> (ppm), type</w:t>
            </w:r>
          </w:p>
        </w:tc>
        <w:tc>
          <w:tcPr>
            <w:tcW w:w="3060" w:type="dxa"/>
            <w:tcBorders>
              <w:top w:val="single" w:sz="4" w:space="0" w:color="auto"/>
              <w:left w:val="single" w:sz="4" w:space="0" w:color="auto"/>
              <w:bottom w:val="single" w:sz="4" w:space="0" w:color="auto"/>
            </w:tcBorders>
          </w:tcPr>
          <w:p w14:paraId="69728308" w14:textId="77777777" w:rsidR="007B7129" w:rsidRPr="007B7129" w:rsidRDefault="007B7129" w:rsidP="007B7129">
            <w:pPr>
              <w:spacing w:line="240" w:lineRule="auto"/>
              <w:contextualSpacing/>
              <w:rPr>
                <w:rFonts w:cs="Times New Roman"/>
                <w:color w:val="000000"/>
                <w:szCs w:val="24"/>
                <w:shd w:val="clear" w:color="auto" w:fill="FFFFFF"/>
              </w:rPr>
            </w:pPr>
            <w:proofErr w:type="spellStart"/>
            <w:r w:rsidRPr="007B7129">
              <w:rPr>
                <w:rFonts w:cs="Times New Roman"/>
                <w:color w:val="000000"/>
                <w:szCs w:val="24"/>
                <w:shd w:val="clear" w:color="auto" w:fill="FFFFFF"/>
              </w:rPr>
              <w:t>δH</w:t>
            </w:r>
            <w:proofErr w:type="spellEnd"/>
            <w:r w:rsidRPr="007B7129">
              <w:rPr>
                <w:rFonts w:cs="Times New Roman"/>
                <w:color w:val="000000"/>
                <w:szCs w:val="24"/>
                <w:shd w:val="clear" w:color="auto" w:fill="FFFFFF"/>
              </w:rPr>
              <w:t xml:space="preserve"> (ppm)</w:t>
            </w:r>
          </w:p>
        </w:tc>
      </w:tr>
      <w:tr w:rsidR="007B7129" w:rsidRPr="007B7129" w14:paraId="5D02A1D6" w14:textId="77777777" w:rsidTr="00562397">
        <w:tc>
          <w:tcPr>
            <w:tcW w:w="2515" w:type="dxa"/>
            <w:tcBorders>
              <w:top w:val="single" w:sz="4" w:space="0" w:color="auto"/>
              <w:bottom w:val="nil"/>
              <w:right w:val="single" w:sz="4" w:space="0" w:color="auto"/>
            </w:tcBorders>
          </w:tcPr>
          <w:p w14:paraId="19D95C9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β-carboline A</w:t>
            </w:r>
          </w:p>
        </w:tc>
        <w:tc>
          <w:tcPr>
            <w:tcW w:w="1440" w:type="dxa"/>
            <w:tcBorders>
              <w:top w:val="single" w:sz="4" w:space="0" w:color="auto"/>
              <w:left w:val="single" w:sz="4" w:space="0" w:color="auto"/>
              <w:bottom w:val="nil"/>
              <w:right w:val="single" w:sz="4" w:space="0" w:color="auto"/>
            </w:tcBorders>
          </w:tcPr>
          <w:p w14:paraId="42C2881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w:t>
            </w:r>
          </w:p>
        </w:tc>
        <w:tc>
          <w:tcPr>
            <w:tcW w:w="2340" w:type="dxa"/>
            <w:tcBorders>
              <w:top w:val="single" w:sz="4" w:space="0" w:color="auto"/>
              <w:left w:val="single" w:sz="4" w:space="0" w:color="auto"/>
              <w:bottom w:val="nil"/>
              <w:right w:val="single" w:sz="4" w:space="0" w:color="auto"/>
            </w:tcBorders>
          </w:tcPr>
          <w:p w14:paraId="3BEBB5C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134.0, C</w:t>
            </w:r>
          </w:p>
        </w:tc>
        <w:tc>
          <w:tcPr>
            <w:tcW w:w="3060" w:type="dxa"/>
            <w:tcBorders>
              <w:top w:val="single" w:sz="4" w:space="0" w:color="auto"/>
              <w:left w:val="single" w:sz="4" w:space="0" w:color="auto"/>
            </w:tcBorders>
          </w:tcPr>
          <w:p w14:paraId="5CA9111E"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442A92E5" w14:textId="77777777" w:rsidTr="00562397">
        <w:tc>
          <w:tcPr>
            <w:tcW w:w="2515" w:type="dxa"/>
            <w:tcBorders>
              <w:top w:val="nil"/>
              <w:bottom w:val="nil"/>
              <w:right w:val="single" w:sz="4" w:space="0" w:color="auto"/>
            </w:tcBorders>
          </w:tcPr>
          <w:p w14:paraId="490764D6" w14:textId="77777777" w:rsidR="007B7129" w:rsidRPr="007B7129" w:rsidRDefault="007B7129" w:rsidP="007B7129">
            <w:pPr>
              <w:spacing w:line="240" w:lineRule="auto"/>
              <w:contextualSpacing/>
              <w:rPr>
                <w:rFonts w:cs="Times New Roman"/>
                <w:color w:val="000000"/>
                <w:szCs w:val="24"/>
                <w:shd w:val="clear" w:color="auto" w:fill="FFFFFF"/>
              </w:rPr>
            </w:pPr>
            <w:bookmarkStart w:id="368" w:name="_Hlk87303672"/>
          </w:p>
        </w:tc>
        <w:tc>
          <w:tcPr>
            <w:tcW w:w="1440" w:type="dxa"/>
            <w:tcBorders>
              <w:top w:val="nil"/>
              <w:left w:val="single" w:sz="4" w:space="0" w:color="auto"/>
              <w:bottom w:val="nil"/>
              <w:right w:val="single" w:sz="4" w:space="0" w:color="auto"/>
            </w:tcBorders>
          </w:tcPr>
          <w:p w14:paraId="3BB4344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1a</w:t>
            </w:r>
          </w:p>
        </w:tc>
        <w:tc>
          <w:tcPr>
            <w:tcW w:w="2340" w:type="dxa"/>
            <w:tcBorders>
              <w:top w:val="nil"/>
              <w:left w:val="single" w:sz="4" w:space="0" w:color="auto"/>
              <w:bottom w:val="nil"/>
              <w:right w:val="single" w:sz="4" w:space="0" w:color="auto"/>
            </w:tcBorders>
          </w:tcPr>
          <w:p w14:paraId="0B45FC5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142.8, C</w:t>
            </w:r>
          </w:p>
        </w:tc>
        <w:tc>
          <w:tcPr>
            <w:tcW w:w="3060" w:type="dxa"/>
            <w:tcBorders>
              <w:left w:val="single" w:sz="4" w:space="0" w:color="auto"/>
            </w:tcBorders>
          </w:tcPr>
          <w:p w14:paraId="16EE046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570DEDA8" w14:textId="77777777" w:rsidTr="00562397">
        <w:tc>
          <w:tcPr>
            <w:tcW w:w="2515" w:type="dxa"/>
            <w:tcBorders>
              <w:top w:val="nil"/>
              <w:bottom w:val="nil"/>
              <w:right w:val="single" w:sz="4" w:space="0" w:color="auto"/>
            </w:tcBorders>
          </w:tcPr>
          <w:p w14:paraId="305221A0"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59E0C71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3</w:t>
            </w:r>
          </w:p>
        </w:tc>
        <w:tc>
          <w:tcPr>
            <w:tcW w:w="2340" w:type="dxa"/>
            <w:tcBorders>
              <w:top w:val="nil"/>
              <w:left w:val="single" w:sz="4" w:space="0" w:color="auto"/>
              <w:bottom w:val="nil"/>
              <w:right w:val="single" w:sz="4" w:space="0" w:color="auto"/>
            </w:tcBorders>
          </w:tcPr>
          <w:p w14:paraId="1F41F67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139.0, CH</w:t>
            </w:r>
          </w:p>
        </w:tc>
        <w:tc>
          <w:tcPr>
            <w:tcW w:w="3060" w:type="dxa"/>
            <w:tcBorders>
              <w:left w:val="single" w:sz="4" w:space="0" w:color="auto"/>
            </w:tcBorders>
          </w:tcPr>
          <w:p w14:paraId="4099603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8.39 (d)</w:t>
            </w:r>
          </w:p>
        </w:tc>
      </w:tr>
      <w:tr w:rsidR="007B7129" w:rsidRPr="007B7129" w14:paraId="23B71A74" w14:textId="77777777" w:rsidTr="00562397">
        <w:tc>
          <w:tcPr>
            <w:tcW w:w="2515" w:type="dxa"/>
            <w:tcBorders>
              <w:top w:val="nil"/>
              <w:bottom w:val="nil"/>
              <w:right w:val="single" w:sz="4" w:space="0" w:color="auto"/>
            </w:tcBorders>
          </w:tcPr>
          <w:p w14:paraId="4C633CA4"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161A4E0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4</w:t>
            </w:r>
          </w:p>
        </w:tc>
        <w:tc>
          <w:tcPr>
            <w:tcW w:w="2340" w:type="dxa"/>
            <w:tcBorders>
              <w:top w:val="nil"/>
              <w:left w:val="single" w:sz="4" w:space="0" w:color="auto"/>
              <w:bottom w:val="nil"/>
              <w:right w:val="single" w:sz="4" w:space="0" w:color="auto"/>
            </w:tcBorders>
          </w:tcPr>
          <w:p w14:paraId="0A300BFB"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114.5, CH</w:t>
            </w:r>
          </w:p>
        </w:tc>
        <w:tc>
          <w:tcPr>
            <w:tcW w:w="3060" w:type="dxa"/>
            <w:tcBorders>
              <w:left w:val="single" w:sz="4" w:space="0" w:color="auto"/>
            </w:tcBorders>
          </w:tcPr>
          <w:p w14:paraId="704860D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8.03 (d)</w:t>
            </w:r>
          </w:p>
        </w:tc>
      </w:tr>
      <w:tr w:rsidR="007B7129" w:rsidRPr="007B7129" w14:paraId="1299DA7E" w14:textId="77777777" w:rsidTr="00562397">
        <w:tc>
          <w:tcPr>
            <w:tcW w:w="2515" w:type="dxa"/>
            <w:tcBorders>
              <w:top w:val="nil"/>
              <w:bottom w:val="nil"/>
              <w:right w:val="single" w:sz="4" w:space="0" w:color="auto"/>
            </w:tcBorders>
          </w:tcPr>
          <w:p w14:paraId="427E969A" w14:textId="77777777" w:rsidR="007B7129" w:rsidRPr="007B7129" w:rsidRDefault="007B7129" w:rsidP="007B7129">
            <w:pPr>
              <w:spacing w:line="240" w:lineRule="auto"/>
              <w:contextualSpacing/>
              <w:rPr>
                <w:rFonts w:cs="Times New Roman"/>
                <w:color w:val="000000"/>
                <w:szCs w:val="24"/>
                <w:shd w:val="clear" w:color="auto" w:fill="FFFFFF"/>
              </w:rPr>
            </w:pPr>
            <w:bookmarkStart w:id="369" w:name="_Hlk87303606"/>
          </w:p>
        </w:tc>
        <w:tc>
          <w:tcPr>
            <w:tcW w:w="1440" w:type="dxa"/>
            <w:tcBorders>
              <w:top w:val="nil"/>
              <w:left w:val="single" w:sz="4" w:space="0" w:color="auto"/>
              <w:bottom w:val="nil"/>
              <w:right w:val="single" w:sz="4" w:space="0" w:color="auto"/>
            </w:tcBorders>
          </w:tcPr>
          <w:p w14:paraId="0D64703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5</w:t>
            </w:r>
          </w:p>
        </w:tc>
        <w:tc>
          <w:tcPr>
            <w:tcW w:w="2340" w:type="dxa"/>
            <w:tcBorders>
              <w:top w:val="nil"/>
              <w:left w:val="single" w:sz="4" w:space="0" w:color="auto"/>
              <w:bottom w:val="nil"/>
              <w:right w:val="single" w:sz="4" w:space="0" w:color="auto"/>
            </w:tcBorders>
          </w:tcPr>
          <w:p w14:paraId="6131680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124.2, CH</w:t>
            </w:r>
          </w:p>
        </w:tc>
        <w:tc>
          <w:tcPr>
            <w:tcW w:w="3060" w:type="dxa"/>
            <w:tcBorders>
              <w:left w:val="single" w:sz="4" w:space="0" w:color="auto"/>
            </w:tcBorders>
          </w:tcPr>
          <w:p w14:paraId="3F71FA3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7.33 (d)</w:t>
            </w:r>
          </w:p>
        </w:tc>
      </w:tr>
      <w:tr w:rsidR="007B7129" w:rsidRPr="007B7129" w14:paraId="026E1BE9" w14:textId="77777777" w:rsidTr="00562397">
        <w:tc>
          <w:tcPr>
            <w:tcW w:w="2515" w:type="dxa"/>
            <w:tcBorders>
              <w:top w:val="nil"/>
              <w:bottom w:val="nil"/>
              <w:right w:val="single" w:sz="4" w:space="0" w:color="auto"/>
            </w:tcBorders>
          </w:tcPr>
          <w:p w14:paraId="335FCF91"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7DAAC59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w:t>
            </w:r>
          </w:p>
        </w:tc>
        <w:tc>
          <w:tcPr>
            <w:tcW w:w="2340" w:type="dxa"/>
            <w:tcBorders>
              <w:top w:val="nil"/>
              <w:left w:val="single" w:sz="4" w:space="0" w:color="auto"/>
              <w:bottom w:val="nil"/>
              <w:right w:val="single" w:sz="4" w:space="0" w:color="auto"/>
            </w:tcBorders>
          </w:tcPr>
          <w:p w14:paraId="1B6A27F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121.4, CH</w:t>
            </w:r>
          </w:p>
        </w:tc>
        <w:tc>
          <w:tcPr>
            <w:tcW w:w="3060" w:type="dxa"/>
            <w:tcBorders>
              <w:left w:val="single" w:sz="4" w:space="0" w:color="auto"/>
            </w:tcBorders>
          </w:tcPr>
          <w:p w14:paraId="528CE65B"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7.12 (</w:t>
            </w:r>
            <w:proofErr w:type="spellStart"/>
            <w:r w:rsidRPr="007B7129">
              <w:rPr>
                <w:rFonts w:cs="Times New Roman"/>
                <w:color w:val="000000"/>
                <w:szCs w:val="24"/>
                <w:shd w:val="clear" w:color="auto" w:fill="FFFFFF"/>
              </w:rPr>
              <w:t>ddd</w:t>
            </w:r>
            <w:proofErr w:type="spellEnd"/>
            <w:r w:rsidRPr="007B7129">
              <w:rPr>
                <w:rFonts w:cs="Times New Roman"/>
                <w:color w:val="000000"/>
                <w:szCs w:val="24"/>
                <w:shd w:val="clear" w:color="auto" w:fill="FFFFFF"/>
              </w:rPr>
              <w:t>)</w:t>
            </w:r>
          </w:p>
        </w:tc>
      </w:tr>
      <w:tr w:rsidR="007B7129" w:rsidRPr="007B7129" w14:paraId="2CAF4422" w14:textId="77777777" w:rsidTr="00562397">
        <w:tc>
          <w:tcPr>
            <w:tcW w:w="2515" w:type="dxa"/>
            <w:tcBorders>
              <w:top w:val="nil"/>
              <w:bottom w:val="nil"/>
              <w:right w:val="single" w:sz="4" w:space="0" w:color="auto"/>
            </w:tcBorders>
          </w:tcPr>
          <w:p w14:paraId="55316DDE"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6450CEA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w:t>
            </w:r>
          </w:p>
        </w:tc>
        <w:tc>
          <w:tcPr>
            <w:tcW w:w="2340" w:type="dxa"/>
            <w:tcBorders>
              <w:top w:val="nil"/>
              <w:left w:val="single" w:sz="4" w:space="0" w:color="auto"/>
              <w:bottom w:val="nil"/>
              <w:right w:val="single" w:sz="4" w:space="0" w:color="auto"/>
            </w:tcBorders>
          </w:tcPr>
          <w:p w14:paraId="0B14572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118.8, CH</w:t>
            </w:r>
          </w:p>
        </w:tc>
        <w:tc>
          <w:tcPr>
            <w:tcW w:w="3060" w:type="dxa"/>
            <w:tcBorders>
              <w:left w:val="single" w:sz="4" w:space="0" w:color="auto"/>
            </w:tcBorders>
          </w:tcPr>
          <w:p w14:paraId="265F2F8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7.05 (m)</w:t>
            </w:r>
          </w:p>
        </w:tc>
      </w:tr>
      <w:tr w:rsidR="007B7129" w:rsidRPr="007B7129" w14:paraId="790260F5" w14:textId="77777777" w:rsidTr="00562397">
        <w:tc>
          <w:tcPr>
            <w:tcW w:w="2515" w:type="dxa"/>
            <w:tcBorders>
              <w:top w:val="nil"/>
              <w:bottom w:val="nil"/>
              <w:right w:val="single" w:sz="4" w:space="0" w:color="auto"/>
            </w:tcBorders>
          </w:tcPr>
          <w:p w14:paraId="5AD58A04"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4D1CA81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w:t>
            </w:r>
          </w:p>
        </w:tc>
        <w:tc>
          <w:tcPr>
            <w:tcW w:w="2340" w:type="dxa"/>
            <w:tcBorders>
              <w:top w:val="nil"/>
              <w:left w:val="single" w:sz="4" w:space="0" w:color="auto"/>
              <w:bottom w:val="nil"/>
              <w:right w:val="single" w:sz="4" w:space="0" w:color="auto"/>
            </w:tcBorders>
          </w:tcPr>
          <w:p w14:paraId="5F69AF7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114.3, CH</w:t>
            </w:r>
          </w:p>
        </w:tc>
        <w:tc>
          <w:tcPr>
            <w:tcW w:w="3060" w:type="dxa"/>
            <w:tcBorders>
              <w:left w:val="single" w:sz="4" w:space="0" w:color="auto"/>
              <w:bottom w:val="nil"/>
            </w:tcBorders>
          </w:tcPr>
          <w:p w14:paraId="747CF650"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7.99 (m)</w:t>
            </w:r>
          </w:p>
        </w:tc>
      </w:tr>
      <w:tr w:rsidR="007B7129" w:rsidRPr="007B7129" w14:paraId="6257D14F" w14:textId="77777777" w:rsidTr="00562397">
        <w:tc>
          <w:tcPr>
            <w:tcW w:w="2515" w:type="dxa"/>
            <w:tcBorders>
              <w:top w:val="nil"/>
              <w:bottom w:val="single" w:sz="4" w:space="0" w:color="auto"/>
              <w:right w:val="single" w:sz="4" w:space="0" w:color="auto"/>
            </w:tcBorders>
          </w:tcPr>
          <w:p w14:paraId="6B4E879E"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single" w:sz="4" w:space="0" w:color="auto"/>
              <w:right w:val="single" w:sz="4" w:space="0" w:color="auto"/>
            </w:tcBorders>
          </w:tcPr>
          <w:p w14:paraId="3EB5B8E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9N</w:t>
            </w:r>
          </w:p>
        </w:tc>
        <w:tc>
          <w:tcPr>
            <w:tcW w:w="2340" w:type="dxa"/>
            <w:tcBorders>
              <w:top w:val="nil"/>
              <w:left w:val="single" w:sz="4" w:space="0" w:color="auto"/>
              <w:bottom w:val="single" w:sz="4" w:space="0" w:color="auto"/>
              <w:right w:val="single" w:sz="4" w:space="0" w:color="auto"/>
            </w:tcBorders>
          </w:tcPr>
          <w:p w14:paraId="5C833D2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3060" w:type="dxa"/>
            <w:tcBorders>
              <w:top w:val="nil"/>
              <w:left w:val="single" w:sz="4" w:space="0" w:color="auto"/>
              <w:bottom w:val="single" w:sz="4" w:space="0" w:color="auto"/>
            </w:tcBorders>
          </w:tcPr>
          <w:p w14:paraId="31CEB73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10.97 (s)</w:t>
            </w:r>
          </w:p>
        </w:tc>
      </w:tr>
      <w:bookmarkEnd w:id="368"/>
      <w:tr w:rsidR="007B7129" w:rsidRPr="007B7129" w14:paraId="32231164" w14:textId="77777777" w:rsidTr="00562397">
        <w:tc>
          <w:tcPr>
            <w:tcW w:w="2515" w:type="dxa"/>
            <w:tcBorders>
              <w:top w:val="single" w:sz="4" w:space="0" w:color="auto"/>
              <w:bottom w:val="nil"/>
              <w:right w:val="single" w:sz="4" w:space="0" w:color="auto"/>
            </w:tcBorders>
          </w:tcPr>
          <w:p w14:paraId="5E05A81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β-carboline B</w:t>
            </w:r>
          </w:p>
        </w:tc>
        <w:tc>
          <w:tcPr>
            <w:tcW w:w="1440" w:type="dxa"/>
            <w:tcBorders>
              <w:top w:val="single" w:sz="4" w:space="0" w:color="auto"/>
              <w:left w:val="single" w:sz="4" w:space="0" w:color="auto"/>
              <w:bottom w:val="nil"/>
              <w:right w:val="single" w:sz="4" w:space="0" w:color="auto"/>
            </w:tcBorders>
          </w:tcPr>
          <w:p w14:paraId="1A0ED69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w:t>
            </w:r>
          </w:p>
        </w:tc>
        <w:tc>
          <w:tcPr>
            <w:tcW w:w="2340" w:type="dxa"/>
            <w:tcBorders>
              <w:top w:val="single" w:sz="4" w:space="0" w:color="auto"/>
              <w:left w:val="single" w:sz="4" w:space="0" w:color="auto"/>
              <w:bottom w:val="nil"/>
              <w:right w:val="single" w:sz="4" w:space="0" w:color="auto"/>
            </w:tcBorders>
          </w:tcPr>
          <w:p w14:paraId="464A72C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66.7, CH</w:t>
            </w:r>
          </w:p>
        </w:tc>
        <w:tc>
          <w:tcPr>
            <w:tcW w:w="3060" w:type="dxa"/>
            <w:tcBorders>
              <w:top w:val="single" w:sz="4" w:space="0" w:color="auto"/>
              <w:left w:val="single" w:sz="4" w:space="0" w:color="auto"/>
            </w:tcBorders>
          </w:tcPr>
          <w:p w14:paraId="31234BE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6.19 (q)</w:t>
            </w:r>
          </w:p>
        </w:tc>
      </w:tr>
      <w:bookmarkEnd w:id="369"/>
      <w:tr w:rsidR="007B7129" w:rsidRPr="007B7129" w14:paraId="52E3D018" w14:textId="77777777" w:rsidTr="00562397">
        <w:tc>
          <w:tcPr>
            <w:tcW w:w="2515" w:type="dxa"/>
            <w:tcBorders>
              <w:top w:val="nil"/>
              <w:bottom w:val="nil"/>
              <w:right w:val="single" w:sz="4" w:space="0" w:color="auto"/>
            </w:tcBorders>
          </w:tcPr>
          <w:p w14:paraId="065EFF93"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057F608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3’</w:t>
            </w:r>
          </w:p>
        </w:tc>
        <w:tc>
          <w:tcPr>
            <w:tcW w:w="2340" w:type="dxa"/>
            <w:tcBorders>
              <w:top w:val="nil"/>
              <w:left w:val="single" w:sz="4" w:space="0" w:color="auto"/>
              <w:bottom w:val="nil"/>
              <w:right w:val="single" w:sz="4" w:space="0" w:color="auto"/>
            </w:tcBorders>
          </w:tcPr>
          <w:p w14:paraId="02A5EDE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51.1, CH2</w:t>
            </w:r>
          </w:p>
        </w:tc>
        <w:tc>
          <w:tcPr>
            <w:tcW w:w="3060" w:type="dxa"/>
            <w:tcBorders>
              <w:left w:val="single" w:sz="4" w:space="0" w:color="auto"/>
            </w:tcBorders>
          </w:tcPr>
          <w:p w14:paraId="32A3D9B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2.77 (t), 3.28 (dd)</w:t>
            </w:r>
          </w:p>
        </w:tc>
      </w:tr>
      <w:tr w:rsidR="007B7129" w:rsidRPr="007B7129" w14:paraId="04295823" w14:textId="77777777" w:rsidTr="00562397">
        <w:tc>
          <w:tcPr>
            <w:tcW w:w="2515" w:type="dxa"/>
            <w:tcBorders>
              <w:top w:val="nil"/>
              <w:bottom w:val="nil"/>
              <w:right w:val="single" w:sz="4" w:space="0" w:color="auto"/>
            </w:tcBorders>
          </w:tcPr>
          <w:p w14:paraId="08B30350"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5692B85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4’</w:t>
            </w:r>
          </w:p>
        </w:tc>
        <w:tc>
          <w:tcPr>
            <w:tcW w:w="2340" w:type="dxa"/>
            <w:tcBorders>
              <w:top w:val="nil"/>
              <w:left w:val="single" w:sz="4" w:space="0" w:color="auto"/>
              <w:bottom w:val="nil"/>
              <w:right w:val="single" w:sz="4" w:space="0" w:color="auto"/>
            </w:tcBorders>
          </w:tcPr>
          <w:p w14:paraId="55B6450F"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71.1, CH</w:t>
            </w:r>
          </w:p>
        </w:tc>
        <w:tc>
          <w:tcPr>
            <w:tcW w:w="3060" w:type="dxa"/>
            <w:tcBorders>
              <w:left w:val="single" w:sz="4" w:space="0" w:color="auto"/>
            </w:tcBorders>
          </w:tcPr>
          <w:p w14:paraId="4C84226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5.07 (dd)</w:t>
            </w:r>
          </w:p>
        </w:tc>
      </w:tr>
      <w:tr w:rsidR="007B7129" w:rsidRPr="007B7129" w14:paraId="7C067953" w14:textId="77777777" w:rsidTr="00562397">
        <w:tc>
          <w:tcPr>
            <w:tcW w:w="2515" w:type="dxa"/>
            <w:tcBorders>
              <w:top w:val="nil"/>
              <w:bottom w:val="nil"/>
              <w:right w:val="single" w:sz="4" w:space="0" w:color="auto"/>
            </w:tcBorders>
          </w:tcPr>
          <w:p w14:paraId="4126F475"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0E7CF9C2"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5’</w:t>
            </w:r>
          </w:p>
        </w:tc>
        <w:tc>
          <w:tcPr>
            <w:tcW w:w="2340" w:type="dxa"/>
            <w:tcBorders>
              <w:top w:val="nil"/>
              <w:left w:val="single" w:sz="4" w:space="0" w:color="auto"/>
              <w:bottom w:val="nil"/>
              <w:right w:val="single" w:sz="4" w:space="0" w:color="auto"/>
            </w:tcBorders>
          </w:tcPr>
          <w:p w14:paraId="6B86455D"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110.2, CH</w:t>
            </w:r>
          </w:p>
        </w:tc>
        <w:tc>
          <w:tcPr>
            <w:tcW w:w="3060" w:type="dxa"/>
            <w:tcBorders>
              <w:left w:val="single" w:sz="4" w:space="0" w:color="auto"/>
            </w:tcBorders>
          </w:tcPr>
          <w:p w14:paraId="1920025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7.73 (dd)</w:t>
            </w:r>
          </w:p>
        </w:tc>
      </w:tr>
      <w:tr w:rsidR="007B7129" w:rsidRPr="007B7129" w14:paraId="300D76A4" w14:textId="77777777" w:rsidTr="00562397">
        <w:tc>
          <w:tcPr>
            <w:tcW w:w="2515" w:type="dxa"/>
            <w:tcBorders>
              <w:top w:val="nil"/>
              <w:bottom w:val="nil"/>
              <w:right w:val="single" w:sz="4" w:space="0" w:color="auto"/>
            </w:tcBorders>
          </w:tcPr>
          <w:p w14:paraId="1F696E6C"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2ABDF615"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6’</w:t>
            </w:r>
          </w:p>
        </w:tc>
        <w:tc>
          <w:tcPr>
            <w:tcW w:w="2340" w:type="dxa"/>
            <w:tcBorders>
              <w:top w:val="nil"/>
              <w:left w:val="single" w:sz="4" w:space="0" w:color="auto"/>
              <w:bottom w:val="nil"/>
              <w:right w:val="single" w:sz="4" w:space="0" w:color="auto"/>
            </w:tcBorders>
          </w:tcPr>
          <w:p w14:paraId="54965D18"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128.0, CH</w:t>
            </w:r>
          </w:p>
        </w:tc>
        <w:tc>
          <w:tcPr>
            <w:tcW w:w="3060" w:type="dxa"/>
            <w:tcBorders>
              <w:left w:val="single" w:sz="4" w:space="0" w:color="auto"/>
            </w:tcBorders>
          </w:tcPr>
          <w:p w14:paraId="277E36E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7.61 (m)</w:t>
            </w:r>
          </w:p>
        </w:tc>
      </w:tr>
      <w:tr w:rsidR="007B7129" w:rsidRPr="007B7129" w14:paraId="2DCF7FA3" w14:textId="77777777" w:rsidTr="00562397">
        <w:tc>
          <w:tcPr>
            <w:tcW w:w="2515" w:type="dxa"/>
            <w:tcBorders>
              <w:top w:val="nil"/>
              <w:bottom w:val="nil"/>
              <w:right w:val="single" w:sz="4" w:space="0" w:color="auto"/>
            </w:tcBorders>
          </w:tcPr>
          <w:p w14:paraId="0F8D3DEF"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388DB0D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w:t>
            </w:r>
          </w:p>
        </w:tc>
        <w:tc>
          <w:tcPr>
            <w:tcW w:w="2340" w:type="dxa"/>
            <w:tcBorders>
              <w:top w:val="nil"/>
              <w:left w:val="single" w:sz="4" w:space="0" w:color="auto"/>
              <w:bottom w:val="nil"/>
              <w:right w:val="single" w:sz="4" w:space="0" w:color="auto"/>
            </w:tcBorders>
          </w:tcPr>
          <w:p w14:paraId="2EC54E9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119.4, CH</w:t>
            </w:r>
          </w:p>
        </w:tc>
        <w:tc>
          <w:tcPr>
            <w:tcW w:w="3060" w:type="dxa"/>
            <w:tcBorders>
              <w:left w:val="single" w:sz="4" w:space="0" w:color="auto"/>
            </w:tcBorders>
          </w:tcPr>
          <w:p w14:paraId="6263E83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7.29 (m)</w:t>
            </w:r>
          </w:p>
        </w:tc>
      </w:tr>
      <w:tr w:rsidR="007B7129" w:rsidRPr="007B7129" w14:paraId="1530EA5A" w14:textId="77777777" w:rsidTr="00562397">
        <w:tc>
          <w:tcPr>
            <w:tcW w:w="2515" w:type="dxa"/>
            <w:tcBorders>
              <w:top w:val="nil"/>
              <w:bottom w:val="nil"/>
              <w:right w:val="single" w:sz="4" w:space="0" w:color="auto"/>
            </w:tcBorders>
          </w:tcPr>
          <w:p w14:paraId="0C604FE8"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65E639E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w:t>
            </w:r>
          </w:p>
        </w:tc>
        <w:tc>
          <w:tcPr>
            <w:tcW w:w="2340" w:type="dxa"/>
            <w:tcBorders>
              <w:top w:val="nil"/>
              <w:left w:val="single" w:sz="4" w:space="0" w:color="auto"/>
              <w:bottom w:val="nil"/>
              <w:right w:val="single" w:sz="4" w:space="0" w:color="auto"/>
            </w:tcBorders>
          </w:tcPr>
          <w:p w14:paraId="4C47CC06"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122.7, CH</w:t>
            </w:r>
          </w:p>
        </w:tc>
        <w:tc>
          <w:tcPr>
            <w:tcW w:w="3060" w:type="dxa"/>
            <w:tcBorders>
              <w:left w:val="single" w:sz="4" w:space="0" w:color="auto"/>
              <w:bottom w:val="nil"/>
            </w:tcBorders>
          </w:tcPr>
          <w:p w14:paraId="796AE71B"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8.27 (dd)</w:t>
            </w:r>
          </w:p>
        </w:tc>
      </w:tr>
      <w:tr w:rsidR="007B7129" w:rsidRPr="007B7129" w14:paraId="59E05A55" w14:textId="77777777" w:rsidTr="00562397">
        <w:tc>
          <w:tcPr>
            <w:tcW w:w="2515" w:type="dxa"/>
            <w:tcBorders>
              <w:top w:val="nil"/>
              <w:bottom w:val="single" w:sz="4" w:space="0" w:color="auto"/>
              <w:right w:val="single" w:sz="4" w:space="0" w:color="auto"/>
            </w:tcBorders>
          </w:tcPr>
          <w:p w14:paraId="109B35C5"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single" w:sz="4" w:space="0" w:color="auto"/>
              <w:right w:val="single" w:sz="4" w:space="0" w:color="auto"/>
            </w:tcBorders>
          </w:tcPr>
          <w:p w14:paraId="2D6A8D7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9N’</w:t>
            </w:r>
          </w:p>
        </w:tc>
        <w:tc>
          <w:tcPr>
            <w:tcW w:w="2340" w:type="dxa"/>
            <w:tcBorders>
              <w:top w:val="nil"/>
              <w:left w:val="single" w:sz="4" w:space="0" w:color="auto"/>
              <w:bottom w:val="single" w:sz="4" w:space="0" w:color="auto"/>
              <w:right w:val="single" w:sz="4" w:space="0" w:color="auto"/>
            </w:tcBorders>
          </w:tcPr>
          <w:p w14:paraId="6BC1482C"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c>
          <w:tcPr>
            <w:tcW w:w="3060" w:type="dxa"/>
            <w:tcBorders>
              <w:top w:val="nil"/>
              <w:left w:val="single" w:sz="4" w:space="0" w:color="auto"/>
              <w:bottom w:val="single" w:sz="4" w:space="0" w:color="auto"/>
            </w:tcBorders>
          </w:tcPr>
          <w:p w14:paraId="70FAA03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10.85 (s)</w:t>
            </w:r>
          </w:p>
        </w:tc>
      </w:tr>
      <w:tr w:rsidR="007B7129" w:rsidRPr="007B7129" w14:paraId="446B2259" w14:textId="77777777" w:rsidTr="00562397">
        <w:tc>
          <w:tcPr>
            <w:tcW w:w="2515" w:type="dxa"/>
            <w:tcBorders>
              <w:top w:val="single" w:sz="4" w:space="0" w:color="auto"/>
              <w:bottom w:val="nil"/>
              <w:right w:val="single" w:sz="4" w:space="0" w:color="auto"/>
            </w:tcBorders>
          </w:tcPr>
          <w:p w14:paraId="0EF6435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Linker Region</w:t>
            </w:r>
          </w:p>
        </w:tc>
        <w:tc>
          <w:tcPr>
            <w:tcW w:w="1440" w:type="dxa"/>
            <w:tcBorders>
              <w:top w:val="single" w:sz="4" w:space="0" w:color="auto"/>
              <w:left w:val="single" w:sz="4" w:space="0" w:color="auto"/>
              <w:bottom w:val="nil"/>
              <w:right w:val="single" w:sz="4" w:space="0" w:color="auto"/>
            </w:tcBorders>
          </w:tcPr>
          <w:p w14:paraId="188195D4"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10</w:t>
            </w:r>
          </w:p>
        </w:tc>
        <w:tc>
          <w:tcPr>
            <w:tcW w:w="2340" w:type="dxa"/>
            <w:tcBorders>
              <w:top w:val="single" w:sz="4" w:space="0" w:color="auto"/>
              <w:left w:val="single" w:sz="4" w:space="0" w:color="auto"/>
              <w:bottom w:val="nil"/>
              <w:right w:val="single" w:sz="4" w:space="0" w:color="auto"/>
            </w:tcBorders>
          </w:tcPr>
          <w:p w14:paraId="3E5DB53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90.9, C</w:t>
            </w:r>
          </w:p>
        </w:tc>
        <w:tc>
          <w:tcPr>
            <w:tcW w:w="3060" w:type="dxa"/>
            <w:tcBorders>
              <w:top w:val="single" w:sz="4" w:space="0" w:color="auto"/>
              <w:left w:val="single" w:sz="4" w:space="0" w:color="auto"/>
            </w:tcBorders>
          </w:tcPr>
          <w:p w14:paraId="2BFDD89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w:t>
            </w:r>
          </w:p>
        </w:tc>
      </w:tr>
      <w:tr w:rsidR="007B7129" w:rsidRPr="007B7129" w14:paraId="43A3944A" w14:textId="77777777" w:rsidTr="00562397">
        <w:tc>
          <w:tcPr>
            <w:tcW w:w="2515" w:type="dxa"/>
            <w:tcBorders>
              <w:top w:val="nil"/>
              <w:bottom w:val="nil"/>
              <w:right w:val="single" w:sz="4" w:space="0" w:color="auto"/>
            </w:tcBorders>
          </w:tcPr>
          <w:p w14:paraId="5D119615" w14:textId="77777777" w:rsidR="007B7129" w:rsidRPr="007B7129" w:rsidRDefault="007B7129" w:rsidP="007B7129">
            <w:pPr>
              <w:spacing w:line="240" w:lineRule="auto"/>
              <w:contextualSpacing/>
              <w:rPr>
                <w:rFonts w:cs="Times New Roman"/>
                <w:color w:val="000000"/>
                <w:szCs w:val="24"/>
                <w:shd w:val="clear" w:color="auto" w:fill="FFFFFF"/>
              </w:rPr>
            </w:pPr>
            <w:bookmarkStart w:id="370" w:name="_Hlk87303730"/>
          </w:p>
        </w:tc>
        <w:tc>
          <w:tcPr>
            <w:tcW w:w="1440" w:type="dxa"/>
            <w:tcBorders>
              <w:top w:val="nil"/>
              <w:left w:val="single" w:sz="4" w:space="0" w:color="auto"/>
              <w:bottom w:val="nil"/>
              <w:right w:val="single" w:sz="4" w:space="0" w:color="auto"/>
            </w:tcBorders>
          </w:tcPr>
          <w:p w14:paraId="06B7971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11</w:t>
            </w:r>
          </w:p>
        </w:tc>
        <w:tc>
          <w:tcPr>
            <w:tcW w:w="2340" w:type="dxa"/>
            <w:tcBorders>
              <w:top w:val="nil"/>
              <w:left w:val="single" w:sz="4" w:space="0" w:color="auto"/>
              <w:bottom w:val="nil"/>
              <w:right w:val="single" w:sz="4" w:space="0" w:color="auto"/>
            </w:tcBorders>
          </w:tcPr>
          <w:p w14:paraId="4C2C4A09"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34.4, CH2</w:t>
            </w:r>
          </w:p>
        </w:tc>
        <w:tc>
          <w:tcPr>
            <w:tcW w:w="3060" w:type="dxa"/>
            <w:tcBorders>
              <w:left w:val="single" w:sz="4" w:space="0" w:color="auto"/>
            </w:tcBorders>
          </w:tcPr>
          <w:p w14:paraId="5A211EB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2.12 (m)</w:t>
            </w:r>
          </w:p>
        </w:tc>
      </w:tr>
      <w:tr w:rsidR="007B7129" w:rsidRPr="007B7129" w14:paraId="2C20EBC1" w14:textId="77777777" w:rsidTr="00562397">
        <w:tc>
          <w:tcPr>
            <w:tcW w:w="2515" w:type="dxa"/>
            <w:tcBorders>
              <w:top w:val="nil"/>
              <w:bottom w:val="nil"/>
              <w:right w:val="single" w:sz="4" w:space="0" w:color="auto"/>
            </w:tcBorders>
          </w:tcPr>
          <w:p w14:paraId="757CBDDC"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nil"/>
              <w:right w:val="single" w:sz="4" w:space="0" w:color="auto"/>
            </w:tcBorders>
          </w:tcPr>
          <w:p w14:paraId="4D8C9F1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12</w:t>
            </w:r>
          </w:p>
        </w:tc>
        <w:tc>
          <w:tcPr>
            <w:tcW w:w="2340" w:type="dxa"/>
            <w:tcBorders>
              <w:top w:val="nil"/>
              <w:left w:val="single" w:sz="4" w:space="0" w:color="auto"/>
              <w:bottom w:val="nil"/>
              <w:right w:val="single" w:sz="4" w:space="0" w:color="auto"/>
            </w:tcBorders>
          </w:tcPr>
          <w:p w14:paraId="26C07DCA"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18.1, CH2</w:t>
            </w:r>
          </w:p>
        </w:tc>
        <w:tc>
          <w:tcPr>
            <w:tcW w:w="3060" w:type="dxa"/>
            <w:tcBorders>
              <w:left w:val="single" w:sz="4" w:space="0" w:color="auto"/>
            </w:tcBorders>
          </w:tcPr>
          <w:p w14:paraId="41A683F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0.69 (m), 1.73 (t)</w:t>
            </w:r>
          </w:p>
        </w:tc>
      </w:tr>
      <w:tr w:rsidR="007B7129" w:rsidRPr="007B7129" w14:paraId="2DC89CC0" w14:textId="77777777" w:rsidTr="00562397">
        <w:tc>
          <w:tcPr>
            <w:tcW w:w="2515" w:type="dxa"/>
            <w:tcBorders>
              <w:top w:val="nil"/>
              <w:bottom w:val="single" w:sz="4" w:space="0" w:color="auto"/>
              <w:right w:val="single" w:sz="4" w:space="0" w:color="auto"/>
            </w:tcBorders>
          </w:tcPr>
          <w:p w14:paraId="060102DD" w14:textId="77777777" w:rsidR="007B7129" w:rsidRPr="007B7129" w:rsidRDefault="007B7129" w:rsidP="007B7129">
            <w:pPr>
              <w:spacing w:line="240" w:lineRule="auto"/>
              <w:contextualSpacing/>
              <w:rPr>
                <w:rFonts w:cs="Times New Roman"/>
                <w:color w:val="000000"/>
                <w:szCs w:val="24"/>
                <w:shd w:val="clear" w:color="auto" w:fill="FFFFFF"/>
              </w:rPr>
            </w:pPr>
          </w:p>
        </w:tc>
        <w:tc>
          <w:tcPr>
            <w:tcW w:w="1440" w:type="dxa"/>
            <w:tcBorders>
              <w:top w:val="nil"/>
              <w:left w:val="single" w:sz="4" w:space="0" w:color="auto"/>
              <w:bottom w:val="single" w:sz="4" w:space="0" w:color="auto"/>
              <w:right w:val="single" w:sz="4" w:space="0" w:color="auto"/>
            </w:tcBorders>
          </w:tcPr>
          <w:p w14:paraId="6FD79127"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13</w:t>
            </w:r>
          </w:p>
        </w:tc>
        <w:tc>
          <w:tcPr>
            <w:tcW w:w="2340" w:type="dxa"/>
            <w:tcBorders>
              <w:top w:val="nil"/>
              <w:left w:val="single" w:sz="4" w:space="0" w:color="auto"/>
              <w:bottom w:val="single" w:sz="4" w:space="0" w:color="auto"/>
              <w:right w:val="single" w:sz="4" w:space="0" w:color="auto"/>
            </w:tcBorders>
          </w:tcPr>
          <w:p w14:paraId="3BE88033"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30.7, CH2</w:t>
            </w:r>
          </w:p>
        </w:tc>
        <w:tc>
          <w:tcPr>
            <w:tcW w:w="3060" w:type="dxa"/>
            <w:tcBorders>
              <w:left w:val="single" w:sz="4" w:space="0" w:color="auto"/>
            </w:tcBorders>
          </w:tcPr>
          <w:p w14:paraId="618B0841" w14:textId="77777777" w:rsidR="007B7129" w:rsidRPr="007B7129" w:rsidRDefault="007B7129" w:rsidP="007B7129">
            <w:pPr>
              <w:spacing w:line="240" w:lineRule="auto"/>
              <w:contextualSpacing/>
              <w:rPr>
                <w:rFonts w:cs="Times New Roman"/>
                <w:color w:val="000000"/>
                <w:szCs w:val="24"/>
                <w:shd w:val="clear" w:color="auto" w:fill="FFFFFF"/>
              </w:rPr>
            </w:pPr>
            <w:r w:rsidRPr="007B7129">
              <w:rPr>
                <w:rFonts w:cs="Times New Roman"/>
                <w:color w:val="000000"/>
                <w:szCs w:val="24"/>
                <w:shd w:val="clear" w:color="auto" w:fill="FFFFFF"/>
              </w:rPr>
              <w:t>1.96 (m), 2.24 (m)</w:t>
            </w:r>
          </w:p>
        </w:tc>
      </w:tr>
      <w:bookmarkEnd w:id="370"/>
    </w:tbl>
    <w:p w14:paraId="04324440" w14:textId="77777777" w:rsidR="007B7129" w:rsidRPr="007B7129" w:rsidRDefault="007B7129" w:rsidP="007B7129">
      <w:pPr>
        <w:spacing w:line="259" w:lineRule="auto"/>
        <w:jc w:val="left"/>
      </w:pPr>
    </w:p>
    <w:p w14:paraId="1770FE34" w14:textId="76647F48" w:rsidR="007B7129" w:rsidRPr="007B7129" w:rsidRDefault="007B7129" w:rsidP="007B7129">
      <w:r w:rsidRPr="007B7129">
        <w:tab/>
        <w:t xml:space="preserve">Interestingly, this DDQ reaction resulted in a tandem oxidation-cyclization for the formation of a complex pentacyclic system while generating two new </w:t>
      </w:r>
      <w:proofErr w:type="spellStart"/>
      <w:r w:rsidRPr="007B7129">
        <w:t>stereogenic</w:t>
      </w:r>
      <w:proofErr w:type="spellEnd"/>
      <w:r w:rsidRPr="007B7129">
        <w:t xml:space="preserve"> centers. Some qualitative structural analysis using Spartan was completed to visualize the 3D structure of </w:t>
      </w:r>
      <w:r w:rsidRPr="007B7129">
        <w:rPr>
          <w:b/>
          <w:bCs/>
        </w:rPr>
        <w:t>3.44</w:t>
      </w:r>
      <w:r w:rsidRPr="007B7129">
        <w:t xml:space="preserve">. Its three chiral centers provide six possible diastereomers, three of which are shown in </w:t>
      </w:r>
      <w:r w:rsidR="00B304B9" w:rsidRPr="00B304B9">
        <w:rPr>
          <w:b/>
          <w:bCs/>
        </w:rPr>
        <w:fldChar w:fldCharType="begin"/>
      </w:r>
      <w:r w:rsidR="00B304B9" w:rsidRPr="00B304B9">
        <w:rPr>
          <w:b/>
          <w:bCs/>
        </w:rPr>
        <w:instrText xml:space="preserve"> REF _Ref102583283 \h  \* MERGEFORMAT </w:instrText>
      </w:r>
      <w:r w:rsidR="00B304B9" w:rsidRPr="00B304B9">
        <w:rPr>
          <w:b/>
          <w:bCs/>
        </w:rPr>
      </w:r>
      <w:r w:rsidR="00B304B9" w:rsidRPr="00B304B9">
        <w:rPr>
          <w:b/>
          <w:bCs/>
        </w:rPr>
        <w:fldChar w:fldCharType="separate"/>
      </w:r>
      <w:r w:rsidR="00AA5AAC" w:rsidRPr="00AA5AAC">
        <w:rPr>
          <w:b/>
          <w:bCs/>
        </w:rPr>
        <w:t>Figure 3.12</w:t>
      </w:r>
      <w:r w:rsidR="00B304B9" w:rsidRPr="00B304B9">
        <w:rPr>
          <w:b/>
          <w:bCs/>
        </w:rPr>
        <w:fldChar w:fldCharType="end"/>
      </w:r>
      <w:r w:rsidR="00B304B9">
        <w:rPr>
          <w:b/>
          <w:bCs/>
        </w:rPr>
        <w:t xml:space="preserve"> </w:t>
      </w:r>
      <w:r w:rsidRPr="007B7129">
        <w:t xml:space="preserve">at their lowest energy states as calculated by the Spartan program. </w:t>
      </w:r>
    </w:p>
    <w:p w14:paraId="64D4D825" w14:textId="77777777" w:rsidR="007B7129" w:rsidRPr="007B7129" w:rsidRDefault="007B7129" w:rsidP="007B7129">
      <w:r w:rsidRPr="007B7129">
        <w:rPr>
          <w:noProof/>
        </w:rPr>
        <w:lastRenderedPageBreak/>
        <mc:AlternateContent>
          <mc:Choice Requires="wps">
            <w:drawing>
              <wp:inline distT="0" distB="0" distL="0" distR="0" wp14:anchorId="1B8DE6AD" wp14:editId="7B091595">
                <wp:extent cx="5942965" cy="8062595"/>
                <wp:effectExtent l="0" t="0" r="19685" b="14605"/>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8062595"/>
                        </a:xfrm>
                        <a:prstGeom prst="rect">
                          <a:avLst/>
                        </a:prstGeom>
                        <a:solidFill>
                          <a:srgbClr val="FFFFFF"/>
                        </a:solidFill>
                        <a:ln w="9525">
                          <a:solidFill>
                            <a:srgbClr val="000000"/>
                          </a:solidFill>
                          <a:miter lim="800000"/>
                          <a:headEnd/>
                          <a:tailEnd/>
                        </a:ln>
                      </wps:spPr>
                      <wps:txbx>
                        <w:txbxContent>
                          <w:p w14:paraId="10B59A8B" w14:textId="77777777" w:rsidR="00621755" w:rsidRDefault="007B7129" w:rsidP="00621755">
                            <w:pPr>
                              <w:keepNext/>
                              <w:spacing w:after="0"/>
                              <w:jc w:val="center"/>
                            </w:pPr>
                            <w:r>
                              <w:rPr>
                                <w:noProof/>
                              </w:rPr>
                              <w:drawing>
                                <wp:inline distT="0" distB="0" distL="0" distR="0" wp14:anchorId="60792DE3" wp14:editId="3ED389BB">
                                  <wp:extent cx="4581144" cy="2752344"/>
                                  <wp:effectExtent l="0" t="0" r="0" b="0"/>
                                  <wp:docPr id="291" name="Picture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a:extLst>
                                              <a:ext uri="{C183D7F6-B498-43B3-948B-1728B52AA6E4}">
                                                <adec:decorative xmlns:adec="http://schemas.microsoft.com/office/drawing/2017/decorative" val="1"/>
                                              </a:ext>
                                            </a:extLst>
                                          </pic:cNvPr>
                                          <pic:cNvPicPr/>
                                        </pic:nvPicPr>
                                        <pic:blipFill>
                                          <a:blip r:embed="rId313">
                                            <a:extLst>
                                              <a:ext uri="{28A0092B-C50C-407E-A947-70E740481C1C}">
                                                <a14:useLocalDpi xmlns:a14="http://schemas.microsoft.com/office/drawing/2010/main" val="0"/>
                                              </a:ext>
                                            </a:extLst>
                                          </a:blip>
                                          <a:stretch>
                                            <a:fillRect/>
                                          </a:stretch>
                                        </pic:blipFill>
                                        <pic:spPr>
                                          <a:xfrm>
                                            <a:off x="0" y="0"/>
                                            <a:ext cx="4581144" cy="2752344"/>
                                          </a:xfrm>
                                          <a:prstGeom prst="rect">
                                            <a:avLst/>
                                          </a:prstGeom>
                                        </pic:spPr>
                                      </pic:pic>
                                    </a:graphicData>
                                  </a:graphic>
                                </wp:inline>
                              </w:drawing>
                            </w:r>
                            <w:r>
                              <w:rPr>
                                <w:noProof/>
                              </w:rPr>
                              <w:drawing>
                                <wp:inline distT="0" distB="0" distL="0" distR="0" wp14:anchorId="39988FB0" wp14:editId="54578F44">
                                  <wp:extent cx="4910328" cy="2414016"/>
                                  <wp:effectExtent l="0" t="0" r="5080" b="5715"/>
                                  <wp:docPr id="292" name="Picture 2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a:extLst>
                                              <a:ext uri="{C183D7F6-B498-43B3-948B-1728B52AA6E4}">
                                                <adec:decorative xmlns:adec="http://schemas.microsoft.com/office/drawing/2017/decorative" val="1"/>
                                              </a:ext>
                                            </a:extLst>
                                          </pic:cNvPr>
                                          <pic:cNvPicPr/>
                                        </pic:nvPicPr>
                                        <pic:blipFill>
                                          <a:blip r:embed="rId314">
                                            <a:extLst>
                                              <a:ext uri="{28A0092B-C50C-407E-A947-70E740481C1C}">
                                                <a14:useLocalDpi xmlns:a14="http://schemas.microsoft.com/office/drawing/2010/main" val="0"/>
                                              </a:ext>
                                            </a:extLst>
                                          </a:blip>
                                          <a:stretch>
                                            <a:fillRect/>
                                          </a:stretch>
                                        </pic:blipFill>
                                        <pic:spPr>
                                          <a:xfrm>
                                            <a:off x="0" y="0"/>
                                            <a:ext cx="4910328" cy="2414016"/>
                                          </a:xfrm>
                                          <a:prstGeom prst="rect">
                                            <a:avLst/>
                                          </a:prstGeom>
                                        </pic:spPr>
                                      </pic:pic>
                                    </a:graphicData>
                                  </a:graphic>
                                </wp:inline>
                              </w:drawing>
                            </w:r>
                            <w:r>
                              <w:rPr>
                                <w:noProof/>
                              </w:rPr>
                              <w:drawing>
                                <wp:inline distT="0" distB="0" distL="0" distR="0" wp14:anchorId="55CB8502" wp14:editId="5338A30A">
                                  <wp:extent cx="5385816" cy="2066544"/>
                                  <wp:effectExtent l="0" t="0" r="5715" b="0"/>
                                  <wp:docPr id="293" name="Picture 293" descr="Structures and 3D models for three diastereomers of compound 3.4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Structures and 3D models for three diastereomers of compound 3.44. "/>
                                          <pic:cNvPicPr/>
                                        </pic:nvPicPr>
                                        <pic:blipFill>
                                          <a:blip r:embed="rId315">
                                            <a:extLst>
                                              <a:ext uri="{28A0092B-C50C-407E-A947-70E740481C1C}">
                                                <a14:useLocalDpi xmlns:a14="http://schemas.microsoft.com/office/drawing/2010/main" val="0"/>
                                              </a:ext>
                                            </a:extLst>
                                          </a:blip>
                                          <a:stretch>
                                            <a:fillRect/>
                                          </a:stretch>
                                        </pic:blipFill>
                                        <pic:spPr>
                                          <a:xfrm>
                                            <a:off x="0" y="0"/>
                                            <a:ext cx="5385816" cy="2066544"/>
                                          </a:xfrm>
                                          <a:prstGeom prst="rect">
                                            <a:avLst/>
                                          </a:prstGeom>
                                        </pic:spPr>
                                      </pic:pic>
                                    </a:graphicData>
                                  </a:graphic>
                                </wp:inline>
                              </w:drawing>
                            </w:r>
                          </w:p>
                          <w:p w14:paraId="4A8949CF" w14:textId="6C724BA0" w:rsidR="007B7129" w:rsidRDefault="00621755" w:rsidP="00DF51F5">
                            <w:pPr>
                              <w:pStyle w:val="Caption"/>
                            </w:pPr>
                            <w:bookmarkStart w:id="371" w:name="_Ref102583283"/>
                            <w:bookmarkStart w:id="372" w:name="_Toc100748319"/>
                            <w:r>
                              <w:t>Figure 3.</w:t>
                            </w:r>
                            <w:fldSimple w:instr=" SEQ Figure \* ARABIC ">
                              <w:r w:rsidR="00AA5AAC">
                                <w:rPr>
                                  <w:noProof/>
                                </w:rPr>
                                <w:t>12</w:t>
                              </w:r>
                            </w:fldSimple>
                            <w:bookmarkStart w:id="373" w:name="_Toc100243265"/>
                            <w:bookmarkEnd w:id="371"/>
                            <w:r w:rsidR="007B7129">
                              <w:t>. Structures and 3D models for three diastereomers of compound 3.44.</w:t>
                            </w:r>
                            <w:bookmarkEnd w:id="372"/>
                            <w:bookmarkEnd w:id="373"/>
                            <w:r w:rsidR="007B7129">
                              <w:t xml:space="preserve"> </w:t>
                            </w:r>
                          </w:p>
                          <w:p w14:paraId="0FE16F95" w14:textId="77777777" w:rsidR="007B7129" w:rsidRDefault="007B7129" w:rsidP="007B7129">
                            <w:pPr>
                              <w:jc w:val="center"/>
                            </w:pPr>
                          </w:p>
                        </w:txbxContent>
                      </wps:txbx>
                      <wps:bodyPr rot="0" vert="horz" wrap="square" lIns="91440" tIns="45720" rIns="91440" bIns="45720" anchor="t" anchorCtr="0">
                        <a:noAutofit/>
                      </wps:bodyPr>
                    </wps:wsp>
                  </a:graphicData>
                </a:graphic>
              </wp:inline>
            </w:drawing>
          </mc:Choice>
          <mc:Fallback>
            <w:pict>
              <v:shape w14:anchorId="1B8DE6AD" id="_x0000_s1100" type="#_x0000_t202" style="width:467.95pt;height:63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">
                <v:textbox>
                  <w:txbxContent>
                    <w:p w14:paraId="10B59A8B" w14:textId="77777777" w:rsidR="00621755" w:rsidRDefault="007B7129" w:rsidP="00621755">
                      <w:pPr>
                        <w:keepNext/>
                        <w:spacing w:after="0"/>
                        <w:jc w:val="center"/>
                      </w:pPr>
                      <w:r>
                        <w:rPr>
                          <w:noProof/>
                        </w:rPr>
                        <w:drawing>
                          <wp:inline distT="0" distB="0" distL="0" distR="0" wp14:anchorId="60792DE3" wp14:editId="3ED389BB">
                            <wp:extent cx="4581144" cy="2752344"/>
                            <wp:effectExtent l="0" t="0" r="0" b="0"/>
                            <wp:docPr id="291" name="Picture 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a:extLst>
                                        <a:ext uri="{C183D7F6-B498-43B3-948B-1728B52AA6E4}">
                                          <adec:decorative xmlns:adec="http://schemas.microsoft.com/office/drawing/2017/decorative" val="1"/>
                                        </a:ext>
                                      </a:extLst>
                                    </pic:cNvPr>
                                    <pic:cNvPicPr/>
                                  </pic:nvPicPr>
                                  <pic:blipFill>
                                    <a:blip r:embed="rId313">
                                      <a:extLst>
                                        <a:ext uri="{28A0092B-C50C-407E-A947-70E740481C1C}">
                                          <a14:useLocalDpi xmlns:a14="http://schemas.microsoft.com/office/drawing/2010/main" val="0"/>
                                        </a:ext>
                                      </a:extLst>
                                    </a:blip>
                                    <a:stretch>
                                      <a:fillRect/>
                                    </a:stretch>
                                  </pic:blipFill>
                                  <pic:spPr>
                                    <a:xfrm>
                                      <a:off x="0" y="0"/>
                                      <a:ext cx="4581144" cy="2752344"/>
                                    </a:xfrm>
                                    <a:prstGeom prst="rect">
                                      <a:avLst/>
                                    </a:prstGeom>
                                  </pic:spPr>
                                </pic:pic>
                              </a:graphicData>
                            </a:graphic>
                          </wp:inline>
                        </w:drawing>
                      </w:r>
                      <w:r>
                        <w:rPr>
                          <w:noProof/>
                        </w:rPr>
                        <w:drawing>
                          <wp:inline distT="0" distB="0" distL="0" distR="0" wp14:anchorId="39988FB0" wp14:editId="54578F44">
                            <wp:extent cx="4910328" cy="2414016"/>
                            <wp:effectExtent l="0" t="0" r="5080" b="5715"/>
                            <wp:docPr id="292" name="Picture 2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a:extLst>
                                        <a:ext uri="{C183D7F6-B498-43B3-948B-1728B52AA6E4}">
                                          <adec:decorative xmlns:adec="http://schemas.microsoft.com/office/drawing/2017/decorative" val="1"/>
                                        </a:ext>
                                      </a:extLst>
                                    </pic:cNvPr>
                                    <pic:cNvPicPr/>
                                  </pic:nvPicPr>
                                  <pic:blipFill>
                                    <a:blip r:embed="rId314">
                                      <a:extLst>
                                        <a:ext uri="{28A0092B-C50C-407E-A947-70E740481C1C}">
                                          <a14:useLocalDpi xmlns:a14="http://schemas.microsoft.com/office/drawing/2010/main" val="0"/>
                                        </a:ext>
                                      </a:extLst>
                                    </a:blip>
                                    <a:stretch>
                                      <a:fillRect/>
                                    </a:stretch>
                                  </pic:blipFill>
                                  <pic:spPr>
                                    <a:xfrm>
                                      <a:off x="0" y="0"/>
                                      <a:ext cx="4910328" cy="2414016"/>
                                    </a:xfrm>
                                    <a:prstGeom prst="rect">
                                      <a:avLst/>
                                    </a:prstGeom>
                                  </pic:spPr>
                                </pic:pic>
                              </a:graphicData>
                            </a:graphic>
                          </wp:inline>
                        </w:drawing>
                      </w:r>
                      <w:r>
                        <w:rPr>
                          <w:noProof/>
                        </w:rPr>
                        <w:drawing>
                          <wp:inline distT="0" distB="0" distL="0" distR="0" wp14:anchorId="55CB8502" wp14:editId="5338A30A">
                            <wp:extent cx="5385816" cy="2066544"/>
                            <wp:effectExtent l="0" t="0" r="5715" b="0"/>
                            <wp:docPr id="293" name="Picture 293" descr="Structures and 3D models for three diastereomers of compound 3.4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Structures and 3D models for three diastereomers of compound 3.44. "/>
                                    <pic:cNvPicPr/>
                                  </pic:nvPicPr>
                                  <pic:blipFill>
                                    <a:blip r:embed="rId315">
                                      <a:extLst>
                                        <a:ext uri="{28A0092B-C50C-407E-A947-70E740481C1C}">
                                          <a14:useLocalDpi xmlns:a14="http://schemas.microsoft.com/office/drawing/2010/main" val="0"/>
                                        </a:ext>
                                      </a:extLst>
                                    </a:blip>
                                    <a:stretch>
                                      <a:fillRect/>
                                    </a:stretch>
                                  </pic:blipFill>
                                  <pic:spPr>
                                    <a:xfrm>
                                      <a:off x="0" y="0"/>
                                      <a:ext cx="5385816" cy="2066544"/>
                                    </a:xfrm>
                                    <a:prstGeom prst="rect">
                                      <a:avLst/>
                                    </a:prstGeom>
                                  </pic:spPr>
                                </pic:pic>
                              </a:graphicData>
                            </a:graphic>
                          </wp:inline>
                        </w:drawing>
                      </w:r>
                    </w:p>
                    <w:p w14:paraId="4A8949CF" w14:textId="6C724BA0" w:rsidR="007B7129" w:rsidRDefault="00621755" w:rsidP="00DF51F5">
                      <w:pPr>
                        <w:pStyle w:val="Caption"/>
                      </w:pPr>
                      <w:bookmarkStart w:id="374" w:name="_Ref102583283"/>
                      <w:bookmarkStart w:id="375" w:name="_Toc100748319"/>
                      <w:r>
                        <w:t>Figure 3.</w:t>
                      </w:r>
                      <w:fldSimple w:instr=" SEQ Figure \* ARABIC ">
                        <w:r w:rsidR="00AA5AAC">
                          <w:rPr>
                            <w:noProof/>
                          </w:rPr>
                          <w:t>12</w:t>
                        </w:r>
                      </w:fldSimple>
                      <w:bookmarkStart w:id="376" w:name="_Toc100243265"/>
                      <w:bookmarkEnd w:id="374"/>
                      <w:r w:rsidR="007B7129">
                        <w:t>. Structures and 3D models for three diastereomers of compound 3.44.</w:t>
                      </w:r>
                      <w:bookmarkEnd w:id="375"/>
                      <w:bookmarkEnd w:id="376"/>
                      <w:r w:rsidR="007B7129">
                        <w:t xml:space="preserve"> </w:t>
                      </w:r>
                    </w:p>
                    <w:p w14:paraId="0FE16F95" w14:textId="77777777" w:rsidR="007B7129" w:rsidRDefault="007B7129" w:rsidP="007B7129">
                      <w:pPr>
                        <w:jc w:val="center"/>
                      </w:pPr>
                    </w:p>
                  </w:txbxContent>
                </v:textbox>
                <w10:anchorlock/>
              </v:shape>
            </w:pict>
          </mc:Fallback>
        </mc:AlternateContent>
      </w:r>
    </w:p>
    <w:p w14:paraId="5474F9AD" w14:textId="77777777" w:rsidR="007B7129" w:rsidRPr="007B7129" w:rsidRDefault="007B7129" w:rsidP="00595321">
      <w:pPr>
        <w:pStyle w:val="Section"/>
      </w:pPr>
      <w:bookmarkStart w:id="377" w:name="_Toc97337860"/>
      <w:bookmarkStart w:id="378" w:name="_Toc100241915"/>
      <w:bookmarkStart w:id="379" w:name="_Toc102586279"/>
      <w:r w:rsidRPr="007B7129">
        <w:lastRenderedPageBreak/>
        <w:t xml:space="preserve">3.4 Results and discussion for </w:t>
      </w:r>
      <w:bookmarkEnd w:id="377"/>
      <w:bookmarkEnd w:id="378"/>
      <w:r w:rsidRPr="007B7129">
        <w:t>Approach 2</w:t>
      </w:r>
      <w:bookmarkEnd w:id="379"/>
    </w:p>
    <w:p w14:paraId="269B53D1" w14:textId="77777777" w:rsidR="007B7129" w:rsidRPr="007B7129" w:rsidRDefault="007B7129" w:rsidP="007B7129">
      <w:r w:rsidRPr="007B7129">
        <w:tab/>
        <w:t xml:space="preserve">During the investigation of the reactivity of </w:t>
      </w:r>
      <w:r w:rsidRPr="007B7129">
        <w:rPr>
          <w:b/>
          <w:bCs/>
        </w:rPr>
        <w:t>3.41</w:t>
      </w:r>
      <w:r w:rsidRPr="007B7129">
        <w:t xml:space="preserve">, the direct functionalization of the </w:t>
      </w:r>
      <w:r w:rsidRPr="007B7129">
        <w:rPr>
          <w:rFonts w:cs="Times New Roman"/>
        </w:rPr>
        <w:t>β</w:t>
      </w:r>
      <w:r w:rsidRPr="007B7129">
        <w:t>-carboline 1-position was explored via C-H metalation followed by electrophilic trapping (</w:t>
      </w:r>
      <w:r w:rsidRPr="007B7129">
        <w:rPr>
          <w:b/>
          <w:bCs/>
        </w:rPr>
        <w:t>Approach 2</w:t>
      </w:r>
      <w:r w:rsidRPr="007B7129">
        <w:t xml:space="preserve">). The directed metalation of aromatic substrates is an increasingly important strategy for the synthesis of natural products and new drug entities. A notable example is the ortho metalation of thiophene, furan, pyrrole, and pyridine rings with </w:t>
      </w:r>
      <w:proofErr w:type="spellStart"/>
      <w:r w:rsidRPr="007B7129">
        <w:t>tetramethylethylenediamine</w:t>
      </w:r>
      <w:proofErr w:type="spellEnd"/>
      <w:r w:rsidRPr="007B7129">
        <w:t xml:space="preserve"> (TMEDA) or </w:t>
      </w:r>
      <w:r w:rsidRPr="007B7129">
        <w:rPr>
          <w:i/>
          <w:iCs/>
        </w:rPr>
        <w:t>sec</w:t>
      </w:r>
      <w:r w:rsidRPr="007B7129">
        <w:t>-butyllithium allows for the installation of nitrile, halo, and methoxy groups.</w:t>
      </w:r>
      <w:r w:rsidRPr="007B7129">
        <w:fldChar w:fldCharType="begin"/>
      </w:r>
      <w:r w:rsidRPr="007B7129">
        <w:instrText xml:space="preserve"> ADDIN ZOTERO_ITEM CSL_CITATION {"citationID":"IxUQsqMH","properties":{"formattedCitation":"\\super 81\\nosupersub{}","plainCitation":"81","noteIndex":0},"citationItems":[{"id":449,"uris":["http://zotero.org/users/6503767/items/IKZSS8GD"],"itemData":{"id":449,"type":"article-journal","language":"en","page":"4","source":"Zotero","title":"Tandem directed metalation reactions. Short syntheses of polycyclic aromatic hydrocarbons and ellipticine alkaloids","author":[{"family":"Watanabe","given":"M"},{"family":"Snieckus","given":"V"}]}}],"schema":"https://github.com/citation-style-language/schema/raw/master/csl-citation.json"} </w:instrText>
      </w:r>
      <w:r w:rsidRPr="007B7129">
        <w:fldChar w:fldCharType="separate"/>
      </w:r>
      <w:r w:rsidRPr="007B7129">
        <w:rPr>
          <w:rFonts w:cs="Times New Roman"/>
          <w:szCs w:val="24"/>
          <w:vertAlign w:val="superscript"/>
        </w:rPr>
        <w:t>81</w:t>
      </w:r>
      <w:r w:rsidRPr="007B7129">
        <w:fldChar w:fldCharType="end"/>
      </w:r>
      <w:r w:rsidRPr="007B7129">
        <w:t xml:space="preserve"> While successful pyridine lithiation for electrophilic aromatic substitution reactions have previously been reported,</w:t>
      </w:r>
      <w:r w:rsidRPr="007B7129">
        <w:fldChar w:fldCharType="begin"/>
      </w:r>
      <w:r w:rsidRPr="007B7129">
        <w:instrText xml:space="preserve"> ADDIN ZOTERO_ITEM CSL_CITATION {"citationID":"OBmXQFbf","properties":{"formattedCitation":"\\super 82\\nosupersub{}","plainCitation":"82","noteIndex":0},"citationItems":[{"id":389,"uris":["http://zotero.org/users/6503767/items/WSR4PDDS"],"itemData":{"id":389,"type":"article-journal","abstract":"This review describes the various ways of functionalizing the pyridine scaffold using either directed metalation or halogen/metal exchange. Deprotonation can be accomplished with different lithium amides or alkyllithium reagents at low temperature. Milder conditions and higher functional group tolerance can be achieved by using ate-bases with different metals (Cd, Mg, Zn) or TMP (2,2,6,6- tetramethylpiperidyl) metal reagents (metal=Mg, Zn, Zr). With alkyllithium reagents it is also possible, by carefully adjusting the reaction conditions, to perform bromine/lithium exchange reactions. Organomagnesium reagents, like iPrMgX (X=Br, Cl LiCl), may be used for exchanging more sensitive iodinated or brominated pyridines\n          , \n            Graphical Abstract\n            \n              \n                \n                  Review. Regioselective Functionalization of Pyridines using a Directed Metalation or a Halogen/Metal Exchange","container-title":"Zeitschrift für Naturforschung B","DOI":"10.5560/znb.2013-3061","ISSN":"1865-7117, 0932-0776","issue":"5-6","language":"en","page":"411-422","source":"DOI.org (Crossref)","title":"Regioselective Functionalization of Pyridines using a Directed Metalation or a Halogen/Metal Exchange","volume":"68","author":[{"family":"Manolikakes","given":"Sophia M."},{"family":"Barl","given":"Nadja M."},{"family":"Sämann","given":"Christoph"},{"family":"Knochel","given":"Paul"}],"issued":{"date-parts":[["2013",6,1]]}}}],"schema":"https://github.com/citation-style-language/schema/raw/master/csl-citation.json"} </w:instrText>
      </w:r>
      <w:r w:rsidRPr="007B7129">
        <w:fldChar w:fldCharType="separate"/>
      </w:r>
      <w:r w:rsidRPr="007B7129">
        <w:rPr>
          <w:rFonts w:cs="Times New Roman"/>
          <w:szCs w:val="24"/>
          <w:vertAlign w:val="superscript"/>
        </w:rPr>
        <w:t>82</w:t>
      </w:r>
      <w:r w:rsidRPr="007B7129">
        <w:fldChar w:fldCharType="end"/>
      </w:r>
      <w:r w:rsidRPr="007B7129">
        <w:t xml:space="preserve"> the analogous quinoline metalation was found to be much more laborious, presumably due to the less reactive lithium-pyridine species.</w:t>
      </w:r>
      <w:r w:rsidRPr="007B7129">
        <w:fldChar w:fldCharType="begin"/>
      </w:r>
      <w:r w:rsidRPr="007B7129">
        <w:instrText xml:space="preserve"> ADDIN ZOTERO_ITEM CSL_CITATION {"citationID":"hXrFIjtw","properties":{"formattedCitation":"\\super 40\\nosupersub{}","plainCitation":"40","noteIndex":0},"citationItems":[{"id":390,"uris":["http://zotero.org/users/6503767/items/X2UQDGTP"],"itemData":{"id":390,"type":"article-journal","abstract":"It is shown that the complex base BuLi·LiDMAE reacts with pyridine to give metallated species which, after trapping by electrophiles, lead to 2-substituted pyridines in good to excellent yields. The same reactions have been less successfully performed with quinoline.","container-title":"Journal of the Chemical Society, Perkin Transactions 1","DOI":"10.1039/A705027E","ISSN":"1364-5463","issue":"24","journalAbbreviation":"J. Chem. Soc., Perkin Trans. 1","language":"en","note":"publisher: The Royal Society of Chemistry","page":"3597-3600","source":"pubs.rsc.org","title":"Aggregative activation in heterocyclic chemistry. Part 5.† Lithiation of pyridine and quinoline with the complex base BuLi·Me2N(CH2)2OLi (BuLi·LiDMAE)","author":[{"family":"Gros","given":"Philippe"},{"family":"Fort","given":"Yves"},{"family":"Caubère","given":"Paul"}],"issued":{"date-parts":[["1997",1,1]]}}}],"schema":"https://github.com/citation-style-language/schema/raw/master/csl-citation.json"} </w:instrText>
      </w:r>
      <w:r w:rsidRPr="007B7129">
        <w:fldChar w:fldCharType="separate"/>
      </w:r>
      <w:r w:rsidRPr="007B7129">
        <w:rPr>
          <w:rFonts w:cs="Times New Roman"/>
          <w:szCs w:val="24"/>
          <w:vertAlign w:val="superscript"/>
        </w:rPr>
        <w:t>40</w:t>
      </w:r>
      <w:r w:rsidRPr="007B7129">
        <w:fldChar w:fldCharType="end"/>
      </w:r>
      <w:r w:rsidRPr="007B7129">
        <w:t xml:space="preserve"> To the best of my knowledge, there is no existing methodology for creating a carbon nucleophile on any position of the </w:t>
      </w:r>
      <w:r w:rsidRPr="007B7129">
        <w:rPr>
          <w:rFonts w:cs="Times New Roman"/>
        </w:rPr>
        <w:t>β</w:t>
      </w:r>
      <w:r w:rsidRPr="007B7129">
        <w:t xml:space="preserve">-carboline ring. Preliminary work towards selective lithiation of C1 on the </w:t>
      </w:r>
      <w:r w:rsidRPr="007B7129">
        <w:rPr>
          <w:rFonts w:cs="Times New Roman"/>
        </w:rPr>
        <w:t>β</w:t>
      </w:r>
      <w:r w:rsidRPr="007B7129">
        <w:t xml:space="preserve">-carboline is described in this section. </w:t>
      </w:r>
    </w:p>
    <w:p w14:paraId="2FEB36F8" w14:textId="77777777" w:rsidR="007B7129" w:rsidRPr="007B7129" w:rsidRDefault="007B7129" w:rsidP="00595321">
      <w:pPr>
        <w:pStyle w:val="Subsection"/>
      </w:pPr>
      <w:bookmarkStart w:id="380" w:name="_Toc102586280"/>
      <w:bookmarkStart w:id="381" w:name="_Toc97337861"/>
      <w:bookmarkStart w:id="382" w:name="_Toc100241916"/>
      <w:r w:rsidRPr="007B7129">
        <w:t>3.4.1 A preliminary study on β-carboline functionalization, with inspiration from pyridine chemistry.</w:t>
      </w:r>
      <w:bookmarkEnd w:id="380"/>
      <w:r w:rsidRPr="007B7129">
        <w:t xml:space="preserve"> </w:t>
      </w:r>
      <w:bookmarkEnd w:id="381"/>
      <w:bookmarkEnd w:id="382"/>
    </w:p>
    <w:p w14:paraId="6DA88ADA" w14:textId="5457B45D"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 xml:space="preserve">Complex methodologies for the synthesis of pyridines have been extensively studied, particularly directed metalations for regioselective substitutions. For example, lithium 2,2,6,6-tetramethylpiperidide (TMP) is a powerful base, especially for the deprotonation of pyridine such as for the iodation reaction in </w:t>
      </w:r>
      <w:r w:rsidR="00B304B9" w:rsidRPr="00B304B9">
        <w:rPr>
          <w:rFonts w:eastAsia="Times New Roman" w:cs="Times New Roman"/>
          <w:b/>
          <w:bCs/>
          <w:szCs w:val="20"/>
        </w:rPr>
        <w:fldChar w:fldCharType="begin"/>
      </w:r>
      <w:r w:rsidR="00B304B9" w:rsidRPr="00B304B9">
        <w:rPr>
          <w:rFonts w:eastAsia="Times New Roman" w:cs="Times New Roman"/>
          <w:b/>
          <w:bCs/>
          <w:szCs w:val="20"/>
        </w:rPr>
        <w:instrText xml:space="preserve"> REF _Ref102583311 \h  \* MERGEFORMAT </w:instrText>
      </w:r>
      <w:r w:rsidR="00B304B9" w:rsidRPr="00B304B9">
        <w:rPr>
          <w:rFonts w:eastAsia="Times New Roman" w:cs="Times New Roman"/>
          <w:b/>
          <w:bCs/>
          <w:szCs w:val="20"/>
        </w:rPr>
      </w:r>
      <w:r w:rsidR="00B304B9" w:rsidRPr="00B304B9">
        <w:rPr>
          <w:rFonts w:eastAsia="Times New Roman" w:cs="Times New Roman"/>
          <w:b/>
          <w:bCs/>
          <w:szCs w:val="20"/>
        </w:rPr>
        <w:fldChar w:fldCharType="separate"/>
      </w:r>
      <w:r w:rsidR="00AA5AAC" w:rsidRPr="00AA5AAC">
        <w:rPr>
          <w:b/>
          <w:bCs/>
        </w:rPr>
        <w:t>Figure 3.13</w:t>
      </w:r>
      <w:r w:rsidR="00B304B9" w:rsidRPr="00B304B9">
        <w:rPr>
          <w:rFonts w:eastAsia="Times New Roman" w:cs="Times New Roman"/>
          <w:b/>
          <w:bCs/>
          <w:szCs w:val="20"/>
        </w:rPr>
        <w:fldChar w:fldCharType="end"/>
      </w:r>
      <w:r w:rsidRPr="007B7129">
        <w:rPr>
          <w:rFonts w:eastAsia="Times New Roman" w:cs="Times New Roman"/>
          <w:b/>
          <w:bCs/>
          <w:szCs w:val="20"/>
        </w:rPr>
        <w:t>A</w:t>
      </w:r>
      <w:r w:rsidRPr="007B7129">
        <w:rPr>
          <w:rFonts w:eastAsia="Times New Roman" w:cs="Times New Roman"/>
          <w:szCs w:val="20"/>
        </w:rPr>
        <w:t>.</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{"citationID":"tZVRvCkn","properties":{"formattedCitation":"\\super 83\\nosupersub{}","plainCitation":"83","noteIndex":0},"citationItems":[{"id":961,"uris":["http://zotero.org/users/6503767/items/LVUHDRWP"],"itemData":{"id":961,"type":"article-journal","abstract":"Deprotonation of all isomeric lithium pyridinecarboxylates and subsequent trapping with hexachloroethane or iodine afforded straightforward access to chloro- and iodopyridinecarboxylic acids, respectively. Starting from lithium 5-bromonicotinate, the introduction of an iodine atom at C4 and further halogen migration allowed the potential of this method to be extended to the synthesis of more elaborate derivatives.","container-title":"Tetrahedron","DOI":"10.1016/S0040-4020(02)00673-7","ISSN":"0040-4020","issue":"33","journalAbbreviation":"Tetrahedron","language":"en","page":"6723-6728","source":"ScienceDirect","title":"Directed lithiation of unprotected pyridinecarboxylic acids: syntheses of halo derivatives","title-short":"Directed lithiation of unprotected pyridinecarboxylic acids","volume":"58","author":[{"family":"Lazaar","given":"Jalal"},{"family":"Rebstock","given":"Anne-Sophie"},{"family":"Mongin","given":"Florence"},{"family":"Godard","given":"Alain"},{"family":"Trécourt","given":"François"},{"family":"Marsais","given":"Francis"},{"family":"Quéguiner","given":"Guy"}],"issued":{"date-parts":[["2002",8,12]]}}}],"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83</w:t>
      </w:r>
      <w:r w:rsidRPr="007B7129">
        <w:rPr>
          <w:rFonts w:eastAsia="Times New Roman" w:cs="Times New Roman"/>
          <w:szCs w:val="20"/>
        </w:rPr>
        <w:fldChar w:fldCharType="end"/>
      </w:r>
      <w:r w:rsidRPr="007B7129">
        <w:rPr>
          <w:rFonts w:eastAsia="Times New Roman" w:cs="Times New Roman"/>
          <w:szCs w:val="20"/>
        </w:rPr>
        <w:t xml:space="preserve"> Sterically hindered aryl-lithium reagents such as mesityl-lithium (</w:t>
      </w:r>
      <w:proofErr w:type="spellStart"/>
      <w:r w:rsidRPr="007B7129">
        <w:rPr>
          <w:rFonts w:eastAsia="Times New Roman" w:cs="Times New Roman"/>
          <w:szCs w:val="20"/>
        </w:rPr>
        <w:t>MesLi</w:t>
      </w:r>
      <w:proofErr w:type="spellEnd"/>
      <w:r w:rsidRPr="007B7129">
        <w:rPr>
          <w:rFonts w:eastAsia="Times New Roman" w:cs="Times New Roman"/>
          <w:szCs w:val="20"/>
        </w:rPr>
        <w:t>) can provide 2-lithiated pyridines irreversibly (</w:t>
      </w:r>
      <w:r w:rsidR="00B304B9" w:rsidRPr="00B304B9">
        <w:rPr>
          <w:rFonts w:eastAsia="Times New Roman" w:cs="Times New Roman"/>
          <w:b/>
          <w:bCs/>
          <w:szCs w:val="20"/>
        </w:rPr>
        <w:fldChar w:fldCharType="begin"/>
      </w:r>
      <w:r w:rsidR="00B304B9" w:rsidRPr="00B304B9">
        <w:rPr>
          <w:rFonts w:eastAsia="Times New Roman" w:cs="Times New Roman"/>
          <w:b/>
          <w:bCs/>
          <w:szCs w:val="20"/>
        </w:rPr>
        <w:instrText xml:space="preserve"> REF _Ref102583311 \h  \* MERGEFORMAT </w:instrText>
      </w:r>
      <w:r w:rsidR="00B304B9" w:rsidRPr="00B304B9">
        <w:rPr>
          <w:rFonts w:eastAsia="Times New Roman" w:cs="Times New Roman"/>
          <w:b/>
          <w:bCs/>
          <w:szCs w:val="20"/>
        </w:rPr>
      </w:r>
      <w:r w:rsidR="00B304B9" w:rsidRPr="00B304B9">
        <w:rPr>
          <w:rFonts w:eastAsia="Times New Roman" w:cs="Times New Roman"/>
          <w:b/>
          <w:bCs/>
          <w:szCs w:val="20"/>
        </w:rPr>
        <w:fldChar w:fldCharType="separate"/>
      </w:r>
      <w:r w:rsidR="00AA5AAC" w:rsidRPr="00AA5AAC">
        <w:rPr>
          <w:b/>
          <w:bCs/>
        </w:rPr>
        <w:t>Figure 3.13</w:t>
      </w:r>
      <w:r w:rsidR="00B304B9" w:rsidRPr="00B304B9">
        <w:rPr>
          <w:rFonts w:eastAsia="Times New Roman" w:cs="Times New Roman"/>
          <w:b/>
          <w:bCs/>
          <w:szCs w:val="20"/>
        </w:rPr>
        <w:fldChar w:fldCharType="end"/>
      </w:r>
      <w:r w:rsidRPr="007B7129">
        <w:rPr>
          <w:rFonts w:eastAsia="Times New Roman" w:cs="Times New Roman"/>
          <w:b/>
          <w:bCs/>
          <w:szCs w:val="20"/>
        </w:rPr>
        <w:t>B</w:t>
      </w:r>
      <w:r w:rsidRPr="007B7129">
        <w:rPr>
          <w:rFonts w:eastAsia="Times New Roman" w:cs="Times New Roman"/>
          <w:szCs w:val="20"/>
        </w:rPr>
        <w:t>),</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{"citationID":"iDA0uRAh","properties":{"formattedCitation":"\\super 84\\nosupersub{}","plainCitation":"84","noteIndex":0},"citationItems":[{"id":963,"uris":["http://zotero.org/users/6503767/items/YKDDTZKJ"],"itemData":{"id":963,"type":"article-journal","abstract":"An N- vs. O-alkylation study of 2-pyridone with various alcohols and solvents under Mitsunobu conditions was carried out.","container-title":"Tetrahedron Letters","DOI":"10.1016/S0040-4039(00)76633-0","ISSN":"0040-4039","issue":"18","journalAbbreviation":"Tetrahedron Letters","language":"en","page":"2819-2822","source":"ScienceDirect","title":"N- vs. O-alkylation in the mitsunobu reaction of 2-pyridone","volume":"35","author":[{"family":"Comins","given":"Daniel L."},{"family":"Jianhua","given":"Gao"}],"issued":{"date-parts":[["1994",5,2]]}}}],"schema":"https://github.com/citation-style-language/schema/raw/master/csl-citation.json"}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84</w:t>
      </w:r>
      <w:r w:rsidRPr="007B7129">
        <w:rPr>
          <w:rFonts w:eastAsia="Times New Roman" w:cs="Times New Roman"/>
          <w:szCs w:val="20"/>
        </w:rPr>
        <w:fldChar w:fldCharType="end"/>
      </w:r>
      <w:r w:rsidRPr="007B7129">
        <w:rPr>
          <w:rFonts w:eastAsia="Times New Roman" w:cs="Times New Roman"/>
          <w:szCs w:val="20"/>
        </w:rPr>
        <w:t xml:space="preserve"> while lithium amides such as lithium </w:t>
      </w:r>
      <w:proofErr w:type="spellStart"/>
      <w:r w:rsidRPr="007B7129">
        <w:rPr>
          <w:rFonts w:eastAsia="Times New Roman" w:cs="Times New Roman"/>
          <w:szCs w:val="20"/>
        </w:rPr>
        <w:t>diisopropylamide</w:t>
      </w:r>
      <w:proofErr w:type="spellEnd"/>
      <w:r w:rsidRPr="007B7129">
        <w:rPr>
          <w:rFonts w:eastAsia="Times New Roman" w:cs="Times New Roman"/>
          <w:szCs w:val="20"/>
        </w:rPr>
        <w:t xml:space="preserve"> (LDA) can be expected to perform reversible lithiation reactions on electron-rich pyridines like 3-methoxypyridine (</w:t>
      </w:r>
      <w:r w:rsidR="00B304B9" w:rsidRPr="00B304B9">
        <w:rPr>
          <w:rFonts w:eastAsia="Times New Roman" w:cs="Times New Roman"/>
          <w:b/>
          <w:bCs/>
          <w:szCs w:val="20"/>
        </w:rPr>
        <w:fldChar w:fldCharType="begin"/>
      </w:r>
      <w:r w:rsidR="00B304B9" w:rsidRPr="00B304B9">
        <w:rPr>
          <w:rFonts w:eastAsia="Times New Roman" w:cs="Times New Roman"/>
          <w:b/>
          <w:bCs/>
          <w:szCs w:val="20"/>
        </w:rPr>
        <w:instrText xml:space="preserve"> REF _Ref102583311 \h  \* MERGEFORMAT </w:instrText>
      </w:r>
      <w:r w:rsidR="00B304B9" w:rsidRPr="00B304B9">
        <w:rPr>
          <w:rFonts w:eastAsia="Times New Roman" w:cs="Times New Roman"/>
          <w:b/>
          <w:bCs/>
          <w:szCs w:val="20"/>
        </w:rPr>
      </w:r>
      <w:r w:rsidR="00B304B9" w:rsidRPr="00B304B9">
        <w:rPr>
          <w:rFonts w:eastAsia="Times New Roman" w:cs="Times New Roman"/>
          <w:b/>
          <w:bCs/>
          <w:szCs w:val="20"/>
        </w:rPr>
        <w:fldChar w:fldCharType="separate"/>
      </w:r>
      <w:r w:rsidR="00AA5AAC" w:rsidRPr="00AA5AAC">
        <w:rPr>
          <w:b/>
          <w:bCs/>
        </w:rPr>
        <w:t>Figure 3.13</w:t>
      </w:r>
      <w:r w:rsidR="00B304B9" w:rsidRPr="00B304B9">
        <w:rPr>
          <w:rFonts w:eastAsia="Times New Roman" w:cs="Times New Roman"/>
          <w:b/>
          <w:bCs/>
          <w:szCs w:val="20"/>
        </w:rPr>
        <w:fldChar w:fldCharType="end"/>
      </w:r>
      <w:r w:rsidRPr="007B7129">
        <w:rPr>
          <w:rFonts w:eastAsia="Times New Roman" w:cs="Times New Roman"/>
          <w:b/>
          <w:bCs/>
          <w:szCs w:val="20"/>
        </w:rPr>
        <w:t>B</w:t>
      </w:r>
      <w:r w:rsidRPr="007B7129">
        <w:rPr>
          <w:rFonts w:eastAsia="Times New Roman" w:cs="Times New Roman"/>
          <w:szCs w:val="20"/>
        </w:rPr>
        <w:t>).</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{"citationID":"ronYnupX","properties":{"formattedCitation":"\\super 82\\nosupersub{}","plainCitation":"82","noteIndex":0},"citationItems":[{"id":389,"uris":["http://zotero.org/users/6503767/items/WSR4PDDS"],"itemData":{"id":389,"type":"article-journal","abstract":"This review describes the various ways of functionalizing the pyridine scaffold using either directed metalation or halogen/metal exchange. Deprotonation can be accomplished with different lithium amides or alkyllithium reagents at low temperature. Milder conditions and higher functional group tolerance can be achieved by using ate-bases with different metals (Cd, Mg, Zn) or TMP (2,2,6,6- tetramethylpiperidyl) metal reagents (metal=Mg, Zn, Zr). With alkyllithium reagents it is also possible, by carefully adjusting the reaction conditions, to perform bromine/lithium exchange reactions. Organomagnesium reagents, like iPrMgX (X=Br, Cl LiCl), may be used for exchanging more sensitive iodinated or brominated pyridines\n          , \n            Graphical Abstract\n            \n              \n                \n                  Review. Regioselective Functionalization of Pyridines using a Directed Metalation or a Halogen/Metal Exchange","container-title":"Zeitschrift für Naturforschung B","DOI":"10.5560/znb.2013-3061","ISSN":"1865-7117, 0932-0776","issue":"5-6","language":"en","page":"411-422","source":"DOI.org (Crossref)","title":"Regioselective Functionalization of Pyridines using a Directed Metalation or a Halogen/Metal Exchange","volume":"68","author":[{"family":"Manolikakes","given":"Sophia M."},{"family":"Barl","given":"Nadja M."},{"family":"Sämann","given":"Christoph"},{"family":"Knochel","given":"Paul"}],"issued":{"date-parts":[["2013",6,1]]}}}],"schema":"https://github.com/citation-style-language/schema/raw/master/csl-citation.json"}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82</w:t>
      </w:r>
      <w:r w:rsidRPr="007B7129">
        <w:rPr>
          <w:rFonts w:eastAsia="Times New Roman" w:cs="Times New Roman"/>
          <w:szCs w:val="20"/>
        </w:rPr>
        <w:fldChar w:fldCharType="end"/>
      </w:r>
      <w:r w:rsidRPr="007B7129">
        <w:rPr>
          <w:rFonts w:eastAsia="Times New Roman" w:cs="Times New Roman"/>
          <w:szCs w:val="20"/>
        </w:rPr>
        <w:t xml:space="preserve"> Further, the use of mixed aggregates of </w:t>
      </w:r>
      <w:r w:rsidRPr="007B7129">
        <w:rPr>
          <w:rFonts w:eastAsia="Times New Roman" w:cs="Times New Roman"/>
          <w:i/>
          <w:iCs/>
          <w:szCs w:val="20"/>
        </w:rPr>
        <w:t>n</w:t>
      </w:r>
      <w:r w:rsidRPr="007B7129">
        <w:rPr>
          <w:rFonts w:eastAsia="Times New Roman" w:cs="Times New Roman"/>
          <w:szCs w:val="20"/>
        </w:rPr>
        <w:t>-butyllithium (</w:t>
      </w:r>
      <w:r w:rsidRPr="007B7129">
        <w:rPr>
          <w:rFonts w:eastAsia="Times New Roman" w:cs="Times New Roman"/>
          <w:i/>
          <w:iCs/>
          <w:szCs w:val="20"/>
        </w:rPr>
        <w:t>n</w:t>
      </w:r>
      <w:r w:rsidRPr="007B7129">
        <w:rPr>
          <w:rFonts w:eastAsia="Times New Roman" w:cs="Times New Roman"/>
          <w:szCs w:val="20"/>
        </w:rPr>
        <w:t xml:space="preserve">-BuLi) with </w:t>
      </w:r>
      <w:proofErr w:type="spellStart"/>
      <w:r w:rsidRPr="007B7129">
        <w:rPr>
          <w:rFonts w:eastAsia="Times New Roman" w:cs="Times New Roman"/>
          <w:szCs w:val="20"/>
        </w:rPr>
        <w:t>aminoalkoxides</w:t>
      </w:r>
      <w:proofErr w:type="spellEnd"/>
      <w:r w:rsidRPr="007B7129">
        <w:rPr>
          <w:rFonts w:eastAsia="Times New Roman" w:cs="Times New Roman"/>
          <w:szCs w:val="20"/>
        </w:rPr>
        <w:t xml:space="preserve"> such as lithium 2-</w:t>
      </w:r>
      <w:r w:rsidRPr="007B7129">
        <w:rPr>
          <w:rFonts w:eastAsia="Times New Roman" w:cs="Times New Roman"/>
          <w:szCs w:val="20"/>
        </w:rPr>
        <w:lastRenderedPageBreak/>
        <w:t>dimethylaminoethanolate (</w:t>
      </w:r>
      <w:proofErr w:type="spellStart"/>
      <w:r w:rsidRPr="007B7129">
        <w:rPr>
          <w:rFonts w:eastAsia="Times New Roman" w:cs="Times New Roman"/>
          <w:szCs w:val="20"/>
        </w:rPr>
        <w:t>LiDMAE</w:t>
      </w:r>
      <w:proofErr w:type="spellEnd"/>
      <w:r w:rsidRPr="007B7129">
        <w:rPr>
          <w:rFonts w:eastAsia="Times New Roman" w:cs="Times New Roman"/>
          <w:szCs w:val="20"/>
        </w:rPr>
        <w:t>) has also been shown to perform highly regioselective lithiations on pyridine substrates (</w:t>
      </w:r>
      <w:r w:rsidR="00B304B9" w:rsidRPr="00B304B9">
        <w:rPr>
          <w:rFonts w:eastAsia="Times New Roman" w:cs="Times New Roman"/>
          <w:b/>
          <w:bCs/>
          <w:szCs w:val="20"/>
        </w:rPr>
        <w:fldChar w:fldCharType="begin"/>
      </w:r>
      <w:r w:rsidR="00B304B9" w:rsidRPr="00B304B9">
        <w:rPr>
          <w:rFonts w:eastAsia="Times New Roman" w:cs="Times New Roman"/>
          <w:b/>
          <w:bCs/>
          <w:szCs w:val="20"/>
        </w:rPr>
        <w:instrText xml:space="preserve"> REF _Ref102583311 \h  \* MERGEFORMAT </w:instrText>
      </w:r>
      <w:r w:rsidR="00B304B9" w:rsidRPr="00B304B9">
        <w:rPr>
          <w:rFonts w:eastAsia="Times New Roman" w:cs="Times New Roman"/>
          <w:b/>
          <w:bCs/>
          <w:szCs w:val="20"/>
        </w:rPr>
      </w:r>
      <w:r w:rsidR="00B304B9" w:rsidRPr="00B304B9">
        <w:rPr>
          <w:rFonts w:eastAsia="Times New Roman" w:cs="Times New Roman"/>
          <w:b/>
          <w:bCs/>
          <w:szCs w:val="20"/>
        </w:rPr>
        <w:fldChar w:fldCharType="separate"/>
      </w:r>
      <w:r w:rsidR="00AA5AAC" w:rsidRPr="00AA5AAC">
        <w:rPr>
          <w:b/>
          <w:bCs/>
        </w:rPr>
        <w:t>Figure 3.13</w:t>
      </w:r>
      <w:r w:rsidR="00B304B9" w:rsidRPr="00B304B9">
        <w:rPr>
          <w:rFonts w:eastAsia="Times New Roman" w:cs="Times New Roman"/>
          <w:b/>
          <w:bCs/>
          <w:szCs w:val="20"/>
        </w:rPr>
        <w:fldChar w:fldCharType="end"/>
      </w:r>
      <w:r w:rsidRPr="007B7129">
        <w:rPr>
          <w:rFonts w:eastAsia="Times New Roman" w:cs="Times New Roman"/>
          <w:b/>
          <w:bCs/>
          <w:szCs w:val="20"/>
        </w:rPr>
        <w:t>C</w:t>
      </w:r>
      <w:r w:rsidRPr="007B7129">
        <w:rPr>
          <w:rFonts w:eastAsia="Times New Roman" w:cs="Times New Roman"/>
          <w:szCs w:val="20"/>
        </w:rPr>
        <w:t>).</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{"citationID":"MgoAbm2v","properties":{"formattedCitation":"\\super 40\\nosupersub{}","plainCitation":"40","noteIndex":0},"citationItems":[{"id":390,"uris":["http://zotero.org/users/6503767/items/X2UQDGTP"],"itemData":{"id":390,"type":"article-journal","abstract":"It is shown that the complex base BuLi·LiDMAE reacts with pyridine to give metallated species which, after trapping by electrophiles, lead to 2-substituted pyridines in good to excellent yields. The same reactions have been less successfully performed with quinoline.","container-title":"Journal of the Chemical Society, Perkin Transactions 1","DOI":"10.1039/A705027E","ISSN":"1364-5463","issue":"24","journalAbbreviation":"J. Chem. Soc., Perkin Trans. 1","language":"en","note":"publisher: The Royal Society of Chemistry","page":"3597-3600","source":"pubs.rsc.org","title":"Aggregative activation in heterocyclic chemistry. Part 5.† Lithiation of pyridine and quinoline with the complex base BuLi·Me2N(CH2)2OLi (BuLi·LiDMAE)","author":[{"family":"Gros","given":"Philippe"},{"family":"Fort","given":"Yves"},{"family":"Caubère","given":"Paul"}],"issued":{"date-parts":[["1997",1,1]]}}}],"schema":"https://github.com/citation-style-language/schema/raw/master/csl-citation.json"}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40</w:t>
      </w:r>
      <w:r w:rsidRPr="007B7129">
        <w:rPr>
          <w:rFonts w:eastAsia="Times New Roman" w:cs="Times New Roman"/>
          <w:szCs w:val="20"/>
        </w:rPr>
        <w:fldChar w:fldCharType="end"/>
      </w:r>
      <w:r w:rsidRPr="007B7129">
        <w:rPr>
          <w:rFonts w:eastAsia="Times New Roman" w:cs="Times New Roman"/>
          <w:szCs w:val="20"/>
        </w:rPr>
        <w:t xml:space="preserve"> </w:t>
      </w:r>
    </w:p>
    <w:p w14:paraId="75E3C753" w14:textId="77777777" w:rsidR="007B7129" w:rsidRPr="007B7129" w:rsidRDefault="007B7129" w:rsidP="007B7129">
      <w:pPr>
        <w:spacing w:after="0"/>
        <w:rPr>
          <w:rFonts w:eastAsia="Times New Roman" w:cs="Times New Roman"/>
          <w:szCs w:val="20"/>
        </w:rPr>
      </w:pPr>
      <w:r w:rsidRPr="007B7129">
        <w:rPr>
          <w:rFonts w:eastAsia="Times New Roman" w:cs="Times New Roman"/>
          <w:noProof/>
          <w:szCs w:val="20"/>
        </w:rPr>
        <mc:AlternateContent>
          <mc:Choice Requires="wps">
            <w:drawing>
              <wp:inline distT="0" distB="0" distL="0" distR="0" wp14:anchorId="37CD61A3" wp14:editId="59423946">
                <wp:extent cx="5943600" cy="3474720"/>
                <wp:effectExtent l="0" t="0" r="19050" b="11430"/>
                <wp:docPr id="218" name="Text Box 2" descr="Pyridine functionalization reactions by (A and B) Knochel and (C) Caubè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474720"/>
                        </a:xfrm>
                        <a:prstGeom prst="rect">
                          <a:avLst/>
                        </a:prstGeom>
                        <a:solidFill>
                          <a:srgbClr val="FFFFFF"/>
                        </a:solidFill>
                        <a:ln w="9525">
                          <a:solidFill>
                            <a:srgbClr val="000000"/>
                          </a:solidFill>
                          <a:miter lim="800000"/>
                          <a:headEnd/>
                          <a:tailEnd/>
                        </a:ln>
                      </wps:spPr>
                      <wps:txbx>
                        <w:txbxContent>
                          <w:p w14:paraId="54362DDA" w14:textId="77777777" w:rsidR="00621755" w:rsidRDefault="007B7129" w:rsidP="00621755">
                            <w:pPr>
                              <w:keepNext/>
                              <w:spacing w:after="0"/>
                              <w:jc w:val="center"/>
                            </w:pPr>
                            <w:r>
                              <w:rPr>
                                <w:noProof/>
                              </w:rPr>
                              <w:drawing>
                                <wp:inline distT="0" distB="0" distL="0" distR="0" wp14:anchorId="45BE3B8C" wp14:editId="6972C608">
                                  <wp:extent cx="5605604" cy="2939963"/>
                                  <wp:effectExtent l="0" t="0" r="0" b="0"/>
                                  <wp:docPr id="294" name="Picture 294" descr="Pyridine functionalization reactions by (A and B) Knochel and (C) Caubè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Pyridine functionalization reactions by (A and B) Knochel and (C) Caubère."/>
                                          <pic:cNvPicPr/>
                                        </pic:nvPicPr>
                                        <pic:blipFill>
                                          <a:blip r:embed="rId316">
                                            <a:extLst>
                                              <a:ext uri="{28A0092B-C50C-407E-A947-70E740481C1C}">
                                                <a14:useLocalDpi xmlns:a14="http://schemas.microsoft.com/office/drawing/2010/main" val="0"/>
                                              </a:ext>
                                            </a:extLst>
                                          </a:blip>
                                          <a:stretch>
                                            <a:fillRect/>
                                          </a:stretch>
                                        </pic:blipFill>
                                        <pic:spPr>
                                          <a:xfrm>
                                            <a:off x="0" y="0"/>
                                            <a:ext cx="5605604" cy="2939963"/>
                                          </a:xfrm>
                                          <a:prstGeom prst="rect">
                                            <a:avLst/>
                                          </a:prstGeom>
                                        </pic:spPr>
                                      </pic:pic>
                                    </a:graphicData>
                                  </a:graphic>
                                </wp:inline>
                              </w:drawing>
                            </w:r>
                          </w:p>
                          <w:p w14:paraId="62B91ED8" w14:textId="55F86472" w:rsidR="007B7129" w:rsidRDefault="00621755" w:rsidP="00DF51F5">
                            <w:pPr>
                              <w:pStyle w:val="Caption"/>
                            </w:pPr>
                            <w:bookmarkStart w:id="383" w:name="_Ref102583311"/>
                            <w:bookmarkStart w:id="384" w:name="_Toc100748320"/>
                            <w:r>
                              <w:t>Figure 3.</w:t>
                            </w:r>
                            <w:fldSimple w:instr=" SEQ Figure \* ARABIC ">
                              <w:r w:rsidR="00AA5AAC">
                                <w:rPr>
                                  <w:noProof/>
                                </w:rPr>
                                <w:t>13</w:t>
                              </w:r>
                            </w:fldSimple>
                            <w:bookmarkEnd w:id="383"/>
                            <w:r w:rsidR="007B7129">
                              <w:t xml:space="preserve">. Pyridine functionalization reactions by (A and B) Knochel and (C) </w:t>
                            </w:r>
                            <w:proofErr w:type="spellStart"/>
                            <w:r w:rsidR="007B7129">
                              <w:t>Caub</w:t>
                            </w:r>
                            <w:r w:rsidR="007B7129">
                              <w:rPr>
                                <w:rFonts w:cs="Times New Roman"/>
                              </w:rPr>
                              <w:t>è</w:t>
                            </w:r>
                            <w:r w:rsidR="007B7129">
                              <w:t>re</w:t>
                            </w:r>
                            <w:proofErr w:type="spellEnd"/>
                            <w:r w:rsidR="007B7129">
                              <w:t>.</w:t>
                            </w:r>
                            <w:bookmarkEnd w:id="384"/>
                          </w:p>
                        </w:txbxContent>
                      </wps:txbx>
                      <wps:bodyPr rot="0" vert="horz" wrap="square" lIns="91440" tIns="45720" rIns="91440" bIns="45720" anchor="t" anchorCtr="0">
                        <a:noAutofit/>
                      </wps:bodyPr>
                    </wps:wsp>
                  </a:graphicData>
                </a:graphic>
              </wp:inline>
            </w:drawing>
          </mc:Choice>
          <mc:Fallback>
            <w:pict>
              <v:shape w14:anchorId="37CD61A3" id="_x0000_s1101" type="#_x0000_t202" alt="Pyridine functionalization reactions by (A and B) Knochel and (C) Caubère." style="width:468pt;height:2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">
                <v:textbox>
                  <w:txbxContent>
                    <w:p w14:paraId="54362DDA" w14:textId="77777777" w:rsidR="00621755" w:rsidRDefault="007B7129" w:rsidP="00621755">
                      <w:pPr>
                        <w:keepNext/>
                        <w:spacing w:after="0"/>
                        <w:jc w:val="center"/>
                      </w:pPr>
                      <w:r>
                        <w:rPr>
                          <w:noProof/>
                        </w:rPr>
                        <w:drawing>
                          <wp:inline distT="0" distB="0" distL="0" distR="0" wp14:anchorId="45BE3B8C" wp14:editId="6972C608">
                            <wp:extent cx="5605604" cy="2939963"/>
                            <wp:effectExtent l="0" t="0" r="0" b="0"/>
                            <wp:docPr id="294" name="Picture 294" descr="Pyridine functionalization reactions by (A and B) Knochel and (C) Caubè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Pyridine functionalization reactions by (A and B) Knochel and (C) Caubère."/>
                                    <pic:cNvPicPr/>
                                  </pic:nvPicPr>
                                  <pic:blipFill>
                                    <a:blip r:embed="rId316">
                                      <a:extLst>
                                        <a:ext uri="{28A0092B-C50C-407E-A947-70E740481C1C}">
                                          <a14:useLocalDpi xmlns:a14="http://schemas.microsoft.com/office/drawing/2010/main" val="0"/>
                                        </a:ext>
                                      </a:extLst>
                                    </a:blip>
                                    <a:stretch>
                                      <a:fillRect/>
                                    </a:stretch>
                                  </pic:blipFill>
                                  <pic:spPr>
                                    <a:xfrm>
                                      <a:off x="0" y="0"/>
                                      <a:ext cx="5605604" cy="2939963"/>
                                    </a:xfrm>
                                    <a:prstGeom prst="rect">
                                      <a:avLst/>
                                    </a:prstGeom>
                                  </pic:spPr>
                                </pic:pic>
                              </a:graphicData>
                            </a:graphic>
                          </wp:inline>
                        </w:drawing>
                      </w:r>
                    </w:p>
                    <w:p w14:paraId="62B91ED8" w14:textId="55F86472" w:rsidR="007B7129" w:rsidRDefault="00621755" w:rsidP="00DF51F5">
                      <w:pPr>
                        <w:pStyle w:val="Caption"/>
                      </w:pPr>
                      <w:bookmarkStart w:id="385" w:name="_Ref102583311"/>
                      <w:bookmarkStart w:id="386" w:name="_Toc100748320"/>
                      <w:r>
                        <w:t>Figure 3.</w:t>
                      </w:r>
                      <w:fldSimple w:instr=" SEQ Figure \* ARABIC ">
                        <w:r w:rsidR="00AA5AAC">
                          <w:rPr>
                            <w:noProof/>
                          </w:rPr>
                          <w:t>13</w:t>
                        </w:r>
                      </w:fldSimple>
                      <w:bookmarkEnd w:id="385"/>
                      <w:r w:rsidR="007B7129">
                        <w:t xml:space="preserve">. Pyridine functionalization reactions by (A and B) Knochel and (C) </w:t>
                      </w:r>
                      <w:proofErr w:type="spellStart"/>
                      <w:r w:rsidR="007B7129">
                        <w:t>Caub</w:t>
                      </w:r>
                      <w:r w:rsidR="007B7129">
                        <w:rPr>
                          <w:rFonts w:cs="Times New Roman"/>
                        </w:rPr>
                        <w:t>è</w:t>
                      </w:r>
                      <w:r w:rsidR="007B7129">
                        <w:t>re</w:t>
                      </w:r>
                      <w:proofErr w:type="spellEnd"/>
                      <w:r w:rsidR="007B7129">
                        <w:t>.</w:t>
                      </w:r>
                      <w:bookmarkEnd w:id="386"/>
                    </w:p>
                  </w:txbxContent>
                </v:textbox>
                <w10:anchorlock/>
              </v:shape>
            </w:pict>
          </mc:Fallback>
        </mc:AlternateContent>
      </w:r>
    </w:p>
    <w:p w14:paraId="3E62BE5A" w14:textId="64F83654"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 xml:space="preserve">These examples, along with inspiration from a review on regioselective </w:t>
      </w:r>
      <w:proofErr w:type="spellStart"/>
      <w:r w:rsidRPr="007B7129">
        <w:rPr>
          <w:rFonts w:eastAsia="Times New Roman" w:cs="Times New Roman"/>
          <w:szCs w:val="20"/>
        </w:rPr>
        <w:t>functionalizations</w:t>
      </w:r>
      <w:proofErr w:type="spellEnd"/>
      <w:r w:rsidRPr="007B7129">
        <w:rPr>
          <w:rFonts w:eastAsia="Times New Roman" w:cs="Times New Roman"/>
          <w:szCs w:val="20"/>
        </w:rPr>
        <w:t xml:space="preserve"> of pyridines by the Knochel group,</w:t>
      </w:r>
      <w:r w:rsidRPr="007B7129">
        <w:rPr>
          <w:rFonts w:eastAsia="Times New Roman" w:cs="Times New Roman"/>
          <w:szCs w:val="20"/>
        </w:rPr>
        <w:fldChar w:fldCharType="begin"/>
      </w:r>
      <w:r w:rsidRPr="007B7129">
        <w:rPr>
          <w:rFonts w:eastAsia="Times New Roman" w:cs="Times New Roman"/>
          <w:szCs w:val="20"/>
        </w:rPr>
        <w:instrText xml:space="preserve"> ADDIN ZOTERO_ITEM CSL_CITATION {"citationID":"wNL1s6QM","properties":{"formattedCitation":"\\super 82,85,86\\nosupersub{}","plainCitation":"82,85,86","noteIndex":0},"citationItems":[{"id":399,"uris":["http://zotero.org/users/6503767/items/VGLPIKDC"],"itemData":{"id":399,"type":"article-journal","container-title":"Organic Letters","DOI":"10.1021/ol200563j","ISSN":"1523-7060, 1523-7052","issue":"9","journalAbbreviation":"Org. Lett.","language":"en","page":"2306-2309","source":"DOI.org (Crossref)","title":"Selective and Multiple Functionalization of Pyridines and Alkaloids &lt;i&gt;via&lt;/i&gt; Mg- and Zn-Organometallic Intermediates","volume":"13","author":[{"family":"Jaric","given":"Milica"},{"family":"Haag","given":"Benjamin A."},{"family":"Manolikakes","given":"Sophia M."},{"family":"Knochel","given":"Paul"}],"issued":{"date-parts":[["2011",5,6]]}}},{"id":398,"uris":["http://zotero.org/users/6503767/items/UDHI7UL7"],"itemData":{"id":398,"type":"article-journal","container-title":"Chem. Commun.","DOI":"10.1039/B515168F","ISSN":"1359-7345, 1364-548X","issue":"7","journalAbbreviation":"Chem. Commun.","language":"en","page":"726-728","source":"DOI.org (Crossref)","title":"Regioselective functionalization of trisubstituted pyridines using a bromine–magnesium exchange","author":[{"family":"Ren","given":"Hongjun"},{"family":"Knochel","given":"Paul"}],"issued":{"date-parts":[["2006"]]}}},{"id":389,"uris":["http://zotero.org/users/6503767/items/WSR4PDDS"],"itemData":{"id":389,"type":"article-journal","abstract":"This review describes the various ways of functionalizing the pyridine scaffold using either directed metalation or halogen/metal exchange. Deprotonation can be accomplished with different lithium amides or alkyllithium reagents at low temperature. Milder conditions and higher functional group tolerance can be achieved by using ate-bases with different metals (Cd, Mg, Zn) or TMP (2,2,6,6- tetramethylpiperidyl) metal reagents (metal=Mg, Zn, Zr). With alkyllithium reagents it is also possible, by carefully adjusting the reaction conditions, to perform bromine/lithium exchange reactions. Organomagnesium reagents, like iPrMgX (X=Br, Cl LiCl), may be used for exchanging more sensitive iodinated or brominated pyridines\n          , \n            Graphical Abstract\n            \n              \n                \n                  Review. Regioselective Functionalization of Pyridines using a Directed Metalation or a Halogen/Metal Exchange","container-title":"Zeitschrift für Naturforschung B","DOI":"10.5560/znb.2013-3061","ISSN":"1865-7117, 0932-0776","issue":"5-6","language":"en","page":"411-422","source":"DOI.org (Crossref)","title":"Regioselective Functionalization of Pyridines using a Directed Metalation or a Halogen/Metal Exchange","volume":"68","author":[{"family":"Manolikakes","given":"Sophia M."},{"family":"Barl","given":"Nadja M."},{"family":"Sämann","given":"Christoph"},{"family":"Knochel","given":"Paul"}],"issued":{"date-parts":[["2013",6,1]]}}}],"schema":"https://github.com/citation-style-language/schema/raw/master/csl-citation.json"} </w:instrText>
      </w:r>
      <w:r w:rsidRPr="007B7129">
        <w:rPr>
          <w:rFonts w:eastAsia="Times New Roman" w:cs="Times New Roman"/>
          <w:szCs w:val="20"/>
        </w:rPr>
        <w:fldChar w:fldCharType="separate"/>
      </w:r>
      <w:r w:rsidRPr="007B7129">
        <w:rPr>
          <w:rFonts w:eastAsia="Times New Roman" w:cs="Times New Roman"/>
          <w:szCs w:val="24"/>
          <w:vertAlign w:val="superscript"/>
        </w:rPr>
        <w:t>82,85,86</w:t>
      </w:r>
      <w:r w:rsidRPr="007B7129">
        <w:rPr>
          <w:rFonts w:eastAsia="Times New Roman" w:cs="Times New Roman"/>
          <w:szCs w:val="20"/>
        </w:rPr>
        <w:fldChar w:fldCharType="end"/>
      </w:r>
      <w:r w:rsidRPr="007B7129">
        <w:rPr>
          <w:rFonts w:eastAsia="Times New Roman" w:cs="Times New Roman"/>
          <w:szCs w:val="20"/>
        </w:rPr>
        <w:t xml:space="preserve"> the lithiation of β-carbolines was hypothesized to occur under similar conditions. It was predicted that an excess of basic, sterically hindered organolithium reagents could allow for β-carboline lithiation with possible regioselectivity on the 1-position. To explore this idea, an attempt at forming β-carboline nucleophiles from </w:t>
      </w:r>
      <w:r w:rsidRPr="007B7129">
        <w:rPr>
          <w:rFonts w:eastAsia="Times New Roman" w:cs="Times New Roman"/>
          <w:b/>
          <w:bCs/>
          <w:szCs w:val="20"/>
        </w:rPr>
        <w:t>D1</w:t>
      </w:r>
      <w:r w:rsidRPr="007B7129">
        <w:rPr>
          <w:rFonts w:eastAsia="Times New Roman" w:cs="Times New Roman"/>
          <w:szCs w:val="20"/>
        </w:rPr>
        <w:t xml:space="preserve"> – </w:t>
      </w:r>
      <w:r w:rsidRPr="007B7129">
        <w:rPr>
          <w:rFonts w:eastAsia="Times New Roman" w:cs="Times New Roman"/>
          <w:b/>
          <w:bCs/>
          <w:szCs w:val="20"/>
        </w:rPr>
        <w:t xml:space="preserve">D3 </w:t>
      </w:r>
      <w:r w:rsidRPr="007B7129">
        <w:rPr>
          <w:rFonts w:eastAsia="Times New Roman" w:cs="Times New Roman"/>
          <w:szCs w:val="20"/>
        </w:rPr>
        <w:t>for electrophilic trapping by methyl ethyl ketone (</w:t>
      </w:r>
      <w:r w:rsidRPr="007B7129">
        <w:rPr>
          <w:rFonts w:eastAsia="Times New Roman" w:cs="Times New Roman"/>
          <w:b/>
          <w:bCs/>
          <w:szCs w:val="20"/>
        </w:rPr>
        <w:t>3.45</w:t>
      </w:r>
      <w:r w:rsidRPr="007B7129">
        <w:rPr>
          <w:rFonts w:eastAsia="Times New Roman" w:cs="Times New Roman"/>
          <w:szCs w:val="20"/>
        </w:rPr>
        <w:t>) was attempted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_Ref87209609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3.10</w:t>
      </w:r>
      <w:r w:rsidRPr="007B7129">
        <w:rPr>
          <w:rFonts w:eastAsia="Times New Roman" w:cs="Times New Roman"/>
          <w:b/>
          <w:bCs/>
          <w:szCs w:val="20"/>
        </w:rPr>
        <w:fldChar w:fldCharType="end"/>
      </w:r>
      <w:r w:rsidRPr="007B7129">
        <w:rPr>
          <w:rFonts w:eastAsia="Times New Roman" w:cs="Times New Roman"/>
          <w:szCs w:val="20"/>
        </w:rPr>
        <w:t>).</w:t>
      </w:r>
    </w:p>
    <w:p w14:paraId="6D2D5EA1" w14:textId="76B54C0A" w:rsidR="007B7129" w:rsidRPr="007B7129" w:rsidRDefault="007B7129" w:rsidP="007B7129">
      <w:pPr>
        <w:spacing w:after="0"/>
        <w:ind w:firstLine="720"/>
        <w:rPr>
          <w:rFonts w:eastAsia="Times New Roman" w:cs="Times New Roman"/>
          <w:szCs w:val="20"/>
        </w:rPr>
      </w:pPr>
      <w:r w:rsidRPr="007B7129">
        <w:rPr>
          <w:rFonts w:eastAsia="Times New Roman" w:cs="Times New Roman"/>
          <w:szCs w:val="20"/>
        </w:rPr>
        <w:t xml:space="preserve">Tried first were the lithium bases </w:t>
      </w:r>
      <w:r w:rsidRPr="007B7129">
        <w:rPr>
          <w:rFonts w:eastAsia="Times New Roman" w:cs="Times New Roman"/>
          <w:i/>
          <w:iCs/>
          <w:szCs w:val="20"/>
        </w:rPr>
        <w:t>n</w:t>
      </w:r>
      <w:r w:rsidRPr="007B7129">
        <w:rPr>
          <w:rFonts w:eastAsia="Times New Roman" w:cs="Times New Roman"/>
          <w:szCs w:val="20"/>
        </w:rPr>
        <w:t xml:space="preserve">-BuLi, LDA, lithium </w:t>
      </w:r>
      <w:proofErr w:type="spellStart"/>
      <w:r w:rsidRPr="007B7129">
        <w:rPr>
          <w:rFonts w:eastAsia="Times New Roman" w:cs="Times New Roman"/>
          <w:szCs w:val="20"/>
        </w:rPr>
        <w:t>hexamethyldisilazide</w:t>
      </w:r>
      <w:proofErr w:type="spellEnd"/>
      <w:r w:rsidRPr="007B7129">
        <w:rPr>
          <w:rFonts w:eastAsia="Times New Roman" w:cs="Times New Roman"/>
          <w:szCs w:val="20"/>
        </w:rPr>
        <w:t xml:space="preserve"> (</w:t>
      </w:r>
      <w:proofErr w:type="spellStart"/>
      <w:r w:rsidRPr="007B7129">
        <w:rPr>
          <w:rFonts w:eastAsia="Times New Roman" w:cs="Times New Roman"/>
          <w:szCs w:val="20"/>
        </w:rPr>
        <w:t>LiHMDS</w:t>
      </w:r>
      <w:proofErr w:type="spellEnd"/>
      <w:r w:rsidRPr="007B7129">
        <w:rPr>
          <w:rFonts w:eastAsia="Times New Roman" w:cs="Times New Roman"/>
          <w:szCs w:val="20"/>
        </w:rPr>
        <w:t xml:space="preserve">), or the complex base </w:t>
      </w:r>
      <w:proofErr w:type="spellStart"/>
      <w:r w:rsidRPr="007B7129">
        <w:rPr>
          <w:rFonts w:eastAsia="Times New Roman" w:cs="Times New Roman"/>
          <w:szCs w:val="20"/>
        </w:rPr>
        <w:t>LiDMAE</w:t>
      </w:r>
      <w:proofErr w:type="spellEnd"/>
      <w:r w:rsidRPr="007B7129">
        <w:rPr>
          <w:rFonts w:eastAsia="Times New Roman" w:cs="Times New Roman"/>
          <w:szCs w:val="20"/>
        </w:rPr>
        <w:t xml:space="preserve"> with β-carboline </w:t>
      </w:r>
      <w:r w:rsidRPr="007B7129">
        <w:rPr>
          <w:rFonts w:eastAsia="Times New Roman" w:cs="Times New Roman"/>
          <w:b/>
          <w:bCs/>
          <w:szCs w:val="20"/>
        </w:rPr>
        <w:t xml:space="preserve">D1 </w:t>
      </w:r>
      <w:r w:rsidRPr="007B7129">
        <w:rPr>
          <w:rFonts w:eastAsia="Times New Roman" w:cs="Times New Roman"/>
          <w:szCs w:val="20"/>
        </w:rPr>
        <w:t xml:space="preserve">(no N-protecting group), all resulting in no reaction with </w:t>
      </w:r>
      <w:r w:rsidRPr="007B7129">
        <w:rPr>
          <w:rFonts w:eastAsia="Times New Roman" w:cs="Times New Roman"/>
          <w:b/>
          <w:bCs/>
          <w:szCs w:val="20"/>
        </w:rPr>
        <w:t>3.28</w:t>
      </w:r>
      <w:r w:rsidRPr="007B7129">
        <w:rPr>
          <w:rFonts w:eastAsia="Times New Roman" w:cs="Times New Roman"/>
          <w:szCs w:val="20"/>
        </w:rPr>
        <w:t xml:space="preserve"> as the electrophile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_Ref87209609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3.10</w:t>
      </w:r>
      <w:r w:rsidRPr="007B7129">
        <w:rPr>
          <w:rFonts w:eastAsia="Times New Roman" w:cs="Times New Roman"/>
          <w:b/>
          <w:bCs/>
          <w:szCs w:val="20"/>
        </w:rPr>
        <w:fldChar w:fldCharType="end"/>
      </w:r>
      <w:r w:rsidRPr="007B7129">
        <w:rPr>
          <w:rFonts w:eastAsia="Times New Roman" w:cs="Times New Roman"/>
          <w:szCs w:val="20"/>
        </w:rPr>
        <w:t>, entries 2, 4, 6, and 7). Afterwards, boron trifluoride etherate (</w:t>
      </w:r>
      <w:bookmarkStart w:id="387" w:name="_Hlk97328411"/>
      <w:r w:rsidRPr="007B7129">
        <w:rPr>
          <w:rFonts w:eastAsia="Times New Roman" w:cs="Times New Roman"/>
          <w:szCs w:val="20"/>
        </w:rPr>
        <w:t>BF</w:t>
      </w:r>
      <w:r w:rsidRPr="007B7129">
        <w:rPr>
          <w:rFonts w:eastAsia="Times New Roman" w:cs="Times New Roman"/>
          <w:szCs w:val="20"/>
          <w:vertAlign w:val="subscript"/>
        </w:rPr>
        <w:t>3</w:t>
      </w:r>
      <w:r w:rsidRPr="007B7129">
        <w:rPr>
          <w:rFonts w:eastAsia="Times New Roman" w:cs="Times New Roman"/>
          <w:szCs w:val="20"/>
        </w:rPr>
        <w:t>OEt</w:t>
      </w:r>
      <w:r w:rsidRPr="007B7129">
        <w:rPr>
          <w:rFonts w:eastAsia="Times New Roman" w:cs="Times New Roman"/>
          <w:szCs w:val="20"/>
          <w:vertAlign w:val="subscript"/>
        </w:rPr>
        <w:t>2</w:t>
      </w:r>
      <w:bookmarkEnd w:id="387"/>
      <w:r w:rsidRPr="007B7129">
        <w:rPr>
          <w:rFonts w:eastAsia="Times New Roman" w:cs="Times New Roman"/>
          <w:szCs w:val="20"/>
        </w:rPr>
        <w:t>) was tried as an additive, assuming the boron would coordinate with the sp</w:t>
      </w:r>
      <w:r w:rsidRPr="007B7129">
        <w:rPr>
          <w:rFonts w:eastAsia="Times New Roman" w:cs="Times New Roman"/>
          <w:szCs w:val="20"/>
          <w:vertAlign w:val="superscript"/>
        </w:rPr>
        <w:t>2</w:t>
      </w:r>
      <w:r w:rsidRPr="007B7129">
        <w:rPr>
          <w:rFonts w:eastAsia="Times New Roman" w:cs="Times New Roman"/>
          <w:szCs w:val="20"/>
        </w:rPr>
        <w:t xml:space="preserve"> nitrogen to change the reactivity of the C1-H bond. The reaction of </w:t>
      </w:r>
      <w:r w:rsidRPr="007B7129">
        <w:rPr>
          <w:rFonts w:eastAsia="Times New Roman" w:cs="Times New Roman"/>
          <w:b/>
          <w:bCs/>
          <w:szCs w:val="20"/>
        </w:rPr>
        <w:t>D1</w:t>
      </w:r>
      <w:r w:rsidRPr="007B7129">
        <w:rPr>
          <w:rFonts w:eastAsia="Times New Roman" w:cs="Times New Roman"/>
          <w:szCs w:val="20"/>
        </w:rPr>
        <w:t xml:space="preserve"> with </w:t>
      </w:r>
      <w:proofErr w:type="spellStart"/>
      <w:r w:rsidRPr="007B7129">
        <w:rPr>
          <w:rFonts w:eastAsia="Times New Roman" w:cs="Times New Roman"/>
          <w:szCs w:val="20"/>
        </w:rPr>
        <w:t>LiHMDS</w:t>
      </w:r>
      <w:proofErr w:type="spellEnd"/>
      <w:r w:rsidRPr="007B7129">
        <w:rPr>
          <w:rFonts w:eastAsia="Times New Roman" w:cs="Times New Roman"/>
          <w:szCs w:val="20"/>
        </w:rPr>
        <w:t xml:space="preserve"> and </w:t>
      </w:r>
      <w:r w:rsidRPr="007B7129">
        <w:rPr>
          <w:rFonts w:eastAsia="Times New Roman" w:cs="Times New Roman"/>
          <w:szCs w:val="20"/>
        </w:rPr>
        <w:lastRenderedPageBreak/>
        <w:t>BF</w:t>
      </w:r>
      <w:r w:rsidRPr="007B7129">
        <w:rPr>
          <w:rFonts w:eastAsia="Times New Roman" w:cs="Times New Roman"/>
          <w:szCs w:val="20"/>
          <w:vertAlign w:val="subscript"/>
        </w:rPr>
        <w:t>3</w:t>
      </w:r>
      <w:r w:rsidRPr="007B7129">
        <w:rPr>
          <w:rFonts w:eastAsia="Times New Roman" w:cs="Times New Roman"/>
          <w:szCs w:val="20"/>
        </w:rPr>
        <w:t>OEt</w:t>
      </w:r>
      <w:r w:rsidRPr="007B7129">
        <w:rPr>
          <w:rFonts w:eastAsia="Times New Roman" w:cs="Times New Roman"/>
          <w:szCs w:val="20"/>
          <w:vertAlign w:val="subscript"/>
        </w:rPr>
        <w:t xml:space="preserve">2 </w:t>
      </w:r>
      <w:r w:rsidRPr="007B7129">
        <w:rPr>
          <w:rFonts w:eastAsia="Times New Roman" w:cs="Times New Roman"/>
          <w:szCs w:val="20"/>
        </w:rPr>
        <w:t>produced a trace product that I was unable to characterize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_Ref87209609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3.10</w:t>
      </w:r>
      <w:r w:rsidRPr="007B7129">
        <w:rPr>
          <w:rFonts w:eastAsia="Times New Roman" w:cs="Times New Roman"/>
          <w:b/>
          <w:bCs/>
          <w:szCs w:val="20"/>
        </w:rPr>
        <w:fldChar w:fldCharType="end"/>
      </w:r>
      <w:r w:rsidRPr="007B7129">
        <w:rPr>
          <w:rFonts w:eastAsia="Times New Roman" w:cs="Times New Roman"/>
          <w:szCs w:val="20"/>
        </w:rPr>
        <w:t xml:space="preserve">, entry 3). N- protected β-carbolines </w:t>
      </w:r>
      <w:r w:rsidRPr="007B7129">
        <w:rPr>
          <w:rFonts w:eastAsia="Times New Roman" w:cs="Times New Roman"/>
          <w:b/>
          <w:bCs/>
          <w:szCs w:val="20"/>
        </w:rPr>
        <w:t>D2</w:t>
      </w:r>
      <w:r w:rsidRPr="007B7129">
        <w:rPr>
          <w:rFonts w:eastAsia="Times New Roman" w:cs="Times New Roman"/>
          <w:szCs w:val="20"/>
        </w:rPr>
        <w:t xml:space="preserve"> (</w:t>
      </w:r>
      <w:r w:rsidRPr="007B7129">
        <w:rPr>
          <w:rFonts w:eastAsia="Times New Roman" w:cs="Times New Roman"/>
          <w:i/>
          <w:iCs/>
          <w:szCs w:val="20"/>
        </w:rPr>
        <w:t>tert</w:t>
      </w:r>
      <w:r w:rsidRPr="007B7129">
        <w:rPr>
          <w:rFonts w:eastAsia="Times New Roman" w:cs="Times New Roman"/>
          <w:szCs w:val="20"/>
        </w:rPr>
        <w:t>-</w:t>
      </w:r>
      <w:proofErr w:type="spellStart"/>
      <w:r w:rsidRPr="007B7129">
        <w:rPr>
          <w:rFonts w:eastAsia="Times New Roman" w:cs="Times New Roman"/>
          <w:szCs w:val="20"/>
        </w:rPr>
        <w:t>butyloxycarbonyl</w:t>
      </w:r>
      <w:proofErr w:type="spellEnd"/>
      <w:r w:rsidRPr="007B7129">
        <w:rPr>
          <w:rFonts w:eastAsia="Times New Roman" w:cs="Times New Roman"/>
          <w:szCs w:val="20"/>
        </w:rPr>
        <w:t xml:space="preserve">, </w:t>
      </w:r>
      <w:proofErr w:type="spellStart"/>
      <w:r w:rsidRPr="007B7129">
        <w:rPr>
          <w:rFonts w:eastAsia="Times New Roman" w:cs="Times New Roman"/>
          <w:szCs w:val="20"/>
        </w:rPr>
        <w:t>boc</w:t>
      </w:r>
      <w:proofErr w:type="spellEnd"/>
      <w:r w:rsidRPr="007B7129">
        <w:rPr>
          <w:rFonts w:eastAsia="Times New Roman" w:cs="Times New Roman"/>
          <w:szCs w:val="20"/>
        </w:rPr>
        <w:t xml:space="preserve">) and </w:t>
      </w:r>
      <w:r w:rsidRPr="007B7129">
        <w:rPr>
          <w:rFonts w:eastAsia="Times New Roman" w:cs="Times New Roman"/>
          <w:b/>
          <w:bCs/>
          <w:szCs w:val="20"/>
        </w:rPr>
        <w:t>D3</w:t>
      </w:r>
      <w:r w:rsidRPr="007B7129">
        <w:rPr>
          <w:rFonts w:eastAsia="Times New Roman" w:cs="Times New Roman"/>
          <w:szCs w:val="20"/>
        </w:rPr>
        <w:t xml:space="preserve"> (</w:t>
      </w:r>
      <w:proofErr w:type="spellStart"/>
      <w:r w:rsidRPr="007B7129">
        <w:rPr>
          <w:rFonts w:eastAsia="Times New Roman" w:cs="Times New Roman"/>
          <w:szCs w:val="20"/>
        </w:rPr>
        <w:t>tosyl</w:t>
      </w:r>
      <w:proofErr w:type="spellEnd"/>
      <w:r w:rsidRPr="007B7129">
        <w:rPr>
          <w:rFonts w:eastAsia="Times New Roman" w:cs="Times New Roman"/>
          <w:szCs w:val="20"/>
        </w:rPr>
        <w:t>) also resulted in no reaction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_Ref87209609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3.10</w:t>
      </w:r>
      <w:r w:rsidRPr="007B7129">
        <w:rPr>
          <w:rFonts w:eastAsia="Times New Roman" w:cs="Times New Roman"/>
          <w:b/>
          <w:bCs/>
          <w:szCs w:val="20"/>
        </w:rPr>
        <w:fldChar w:fldCharType="end"/>
      </w:r>
      <w:r w:rsidRPr="007B7129">
        <w:rPr>
          <w:rFonts w:eastAsia="Times New Roman" w:cs="Times New Roman"/>
          <w:szCs w:val="20"/>
        </w:rPr>
        <w:t xml:space="preserve">, entries 8 – 10). Interestingly, the reaction of </w:t>
      </w:r>
      <w:r w:rsidRPr="007B7129">
        <w:rPr>
          <w:rFonts w:eastAsia="Times New Roman" w:cs="Times New Roman"/>
          <w:b/>
          <w:bCs/>
          <w:szCs w:val="20"/>
        </w:rPr>
        <w:t>D1</w:t>
      </w:r>
      <w:r w:rsidRPr="007B7129">
        <w:rPr>
          <w:rFonts w:eastAsia="Times New Roman" w:cs="Times New Roman"/>
          <w:szCs w:val="20"/>
        </w:rPr>
        <w:t xml:space="preserve"> with </w:t>
      </w:r>
      <w:r w:rsidRPr="007B7129">
        <w:rPr>
          <w:rFonts w:eastAsia="Times New Roman" w:cs="Times New Roman"/>
          <w:i/>
          <w:iCs/>
          <w:szCs w:val="20"/>
        </w:rPr>
        <w:t>n</w:t>
      </w:r>
      <w:r w:rsidRPr="007B7129">
        <w:rPr>
          <w:rFonts w:eastAsia="Times New Roman" w:cs="Times New Roman"/>
          <w:szCs w:val="20"/>
        </w:rPr>
        <w:t>-BuLi and BF</w:t>
      </w:r>
      <w:r w:rsidRPr="007B7129">
        <w:rPr>
          <w:rFonts w:eastAsia="Times New Roman" w:cs="Times New Roman"/>
          <w:szCs w:val="20"/>
          <w:vertAlign w:val="subscript"/>
        </w:rPr>
        <w:t>3</w:t>
      </w:r>
      <w:r w:rsidRPr="007B7129">
        <w:rPr>
          <w:rFonts w:eastAsia="Times New Roman" w:cs="Times New Roman"/>
          <w:szCs w:val="20"/>
        </w:rPr>
        <w:t>OEt</w:t>
      </w:r>
      <w:r w:rsidRPr="007B7129">
        <w:rPr>
          <w:rFonts w:eastAsia="Times New Roman" w:cs="Times New Roman"/>
          <w:szCs w:val="20"/>
          <w:vertAlign w:val="subscript"/>
        </w:rPr>
        <w:t xml:space="preserve">2 </w:t>
      </w:r>
      <w:r w:rsidRPr="007B7129">
        <w:rPr>
          <w:rFonts w:eastAsia="Times New Roman" w:cs="Times New Roman"/>
          <w:szCs w:val="20"/>
        </w:rPr>
        <w:t xml:space="preserve">produced product </w:t>
      </w:r>
      <w:r w:rsidRPr="007B7129">
        <w:rPr>
          <w:rFonts w:eastAsia="Times New Roman" w:cs="Times New Roman"/>
          <w:b/>
          <w:bCs/>
          <w:szCs w:val="20"/>
        </w:rPr>
        <w:t xml:space="preserve">3.47 </w:t>
      </w:r>
      <w:r w:rsidRPr="007B7129">
        <w:rPr>
          <w:rFonts w:eastAsia="Times New Roman" w:cs="Times New Roman"/>
          <w:szCs w:val="20"/>
        </w:rPr>
        <w:t>(structure shown in</w:t>
      </w:r>
      <w:r w:rsidR="00B304B9">
        <w:rPr>
          <w:rFonts w:eastAsia="Times New Roman" w:cs="Times New Roman"/>
          <w:b/>
          <w:bCs/>
          <w:szCs w:val="20"/>
        </w:rPr>
        <w:t xml:space="preserve"> </w:t>
      </w:r>
      <w:r w:rsidR="00B304B9" w:rsidRPr="00B304B9">
        <w:rPr>
          <w:rFonts w:eastAsia="Times New Roman" w:cs="Times New Roman"/>
          <w:b/>
          <w:bCs/>
          <w:szCs w:val="20"/>
        </w:rPr>
        <w:fldChar w:fldCharType="begin"/>
      </w:r>
      <w:r w:rsidR="00B304B9" w:rsidRPr="00B304B9">
        <w:rPr>
          <w:rFonts w:eastAsia="Times New Roman" w:cs="Times New Roman"/>
          <w:b/>
          <w:bCs/>
          <w:szCs w:val="20"/>
        </w:rPr>
        <w:instrText xml:space="preserve"> REF _Ref102583395 \h  \* MERGEFORMAT </w:instrText>
      </w:r>
      <w:r w:rsidR="00B304B9" w:rsidRPr="00B304B9">
        <w:rPr>
          <w:rFonts w:eastAsia="Times New Roman" w:cs="Times New Roman"/>
          <w:b/>
          <w:bCs/>
          <w:szCs w:val="20"/>
        </w:rPr>
      </w:r>
      <w:r w:rsidR="00B304B9" w:rsidRPr="00B304B9">
        <w:rPr>
          <w:rFonts w:eastAsia="Times New Roman" w:cs="Times New Roman"/>
          <w:b/>
          <w:bCs/>
          <w:szCs w:val="20"/>
        </w:rPr>
        <w:fldChar w:fldCharType="separate"/>
      </w:r>
      <w:r w:rsidR="00AA5AAC" w:rsidRPr="00AA5AAC">
        <w:rPr>
          <w:b/>
          <w:bCs/>
        </w:rPr>
        <w:t>Figure 3.15</w:t>
      </w:r>
      <w:r w:rsidR="00B304B9" w:rsidRPr="00B304B9">
        <w:rPr>
          <w:rFonts w:eastAsia="Times New Roman" w:cs="Times New Roman"/>
          <w:b/>
          <w:bCs/>
          <w:szCs w:val="20"/>
        </w:rPr>
        <w:fldChar w:fldCharType="end"/>
      </w:r>
      <w:r w:rsidRPr="007B7129">
        <w:rPr>
          <w:rFonts w:eastAsia="Times New Roman" w:cs="Times New Roman"/>
          <w:szCs w:val="20"/>
        </w:rPr>
        <w:t>), where the tetrahydrofuran (THF) solvent was incorporated onto the β-carboline C1 (</w:t>
      </w:r>
      <w:r w:rsidRPr="007B7129">
        <w:rPr>
          <w:rFonts w:eastAsia="Times New Roman" w:cs="Times New Roman"/>
          <w:b/>
          <w:bCs/>
          <w:szCs w:val="20"/>
        </w:rPr>
        <w:fldChar w:fldCharType="begin"/>
      </w:r>
      <w:r w:rsidRPr="007B7129">
        <w:rPr>
          <w:rFonts w:eastAsia="Times New Roman" w:cs="Times New Roman"/>
          <w:b/>
          <w:bCs/>
          <w:szCs w:val="20"/>
        </w:rPr>
        <w:instrText xml:space="preserve"> REF _Ref87209609 \h  \* MERGEFORMAT </w:instrText>
      </w:r>
      <w:r w:rsidRPr="007B7129">
        <w:rPr>
          <w:rFonts w:eastAsia="Times New Roman" w:cs="Times New Roman"/>
          <w:b/>
          <w:bCs/>
          <w:szCs w:val="20"/>
        </w:rPr>
      </w:r>
      <w:r w:rsidRPr="007B7129">
        <w:rPr>
          <w:rFonts w:eastAsia="Times New Roman" w:cs="Times New Roman"/>
          <w:b/>
          <w:bCs/>
          <w:szCs w:val="20"/>
        </w:rPr>
        <w:fldChar w:fldCharType="separate"/>
      </w:r>
      <w:r w:rsidR="00AA5AAC" w:rsidRPr="00AA5AAC">
        <w:rPr>
          <w:rFonts w:eastAsia="Times New Roman" w:cs="Times New Roman"/>
          <w:b/>
          <w:bCs/>
          <w:szCs w:val="20"/>
        </w:rPr>
        <w:t xml:space="preserve">Table </w:t>
      </w:r>
      <w:r w:rsidR="00AA5AAC" w:rsidRPr="00AA5AAC">
        <w:rPr>
          <w:rFonts w:eastAsia="Times New Roman" w:cs="Times New Roman"/>
          <w:b/>
          <w:bCs/>
          <w:noProof/>
          <w:szCs w:val="20"/>
        </w:rPr>
        <w:t>3.10</w:t>
      </w:r>
      <w:r w:rsidRPr="007B7129">
        <w:rPr>
          <w:rFonts w:eastAsia="Times New Roman" w:cs="Times New Roman"/>
          <w:b/>
          <w:bCs/>
          <w:szCs w:val="20"/>
        </w:rPr>
        <w:fldChar w:fldCharType="end"/>
      </w:r>
      <w:r w:rsidRPr="007B7129">
        <w:rPr>
          <w:rFonts w:eastAsia="Times New Roman" w:cs="Times New Roman"/>
          <w:szCs w:val="20"/>
        </w:rPr>
        <w:t xml:space="preserve">, entry 5). This reaction will be discussed in more detail in section </w:t>
      </w:r>
      <w:r w:rsidRPr="007B7129">
        <w:rPr>
          <w:rFonts w:eastAsia="Times New Roman" w:cs="Times New Roman"/>
          <w:b/>
          <w:bCs/>
          <w:szCs w:val="20"/>
        </w:rPr>
        <w:t>3.4.2</w:t>
      </w:r>
      <w:r w:rsidRPr="007B7129">
        <w:rPr>
          <w:rFonts w:eastAsia="Times New Roman" w:cs="Times New Roman"/>
          <w:szCs w:val="20"/>
        </w:rPr>
        <w:t xml:space="preserve">. Compound </w:t>
      </w:r>
      <w:r w:rsidRPr="007B7129">
        <w:rPr>
          <w:rFonts w:eastAsia="Times New Roman" w:cs="Times New Roman"/>
          <w:b/>
          <w:bCs/>
          <w:szCs w:val="20"/>
        </w:rPr>
        <w:t>3.46</w:t>
      </w:r>
      <w:r w:rsidRPr="007B7129">
        <w:rPr>
          <w:rFonts w:eastAsia="Times New Roman" w:cs="Times New Roman"/>
          <w:szCs w:val="20"/>
        </w:rPr>
        <w:t xml:space="preserve"> was never formed. </w:t>
      </w:r>
    </w:p>
    <w:p w14:paraId="009441D3" w14:textId="77777777" w:rsidR="007B7129" w:rsidRPr="007B7129" w:rsidRDefault="007B7129" w:rsidP="007B7129">
      <w:pPr>
        <w:spacing w:after="0"/>
        <w:ind w:firstLine="720"/>
        <w:rPr>
          <w:rFonts w:eastAsia="Times New Roman" w:cs="Times New Roman"/>
          <w:szCs w:val="20"/>
        </w:rPr>
      </w:pPr>
    </w:p>
    <w:p w14:paraId="52ADEE87" w14:textId="45BB38EC" w:rsidR="007B7129" w:rsidRPr="007B7129" w:rsidRDefault="007B7129" w:rsidP="00E138C0">
      <w:pPr>
        <w:spacing w:after="0" w:line="240" w:lineRule="auto"/>
        <w:rPr>
          <w:b/>
          <w:szCs w:val="18"/>
        </w:rPr>
      </w:pPr>
      <w:bookmarkStart w:id="388" w:name="_Ref87209609"/>
      <w:r w:rsidRPr="007B7129">
        <w:rPr>
          <w:b/>
          <w:szCs w:val="18"/>
        </w:rPr>
        <w:t>Table 3.</w:t>
      </w:r>
      <w:r w:rsidRPr="007B7129">
        <w:rPr>
          <w:b/>
          <w:szCs w:val="18"/>
        </w:rPr>
        <w:fldChar w:fldCharType="begin"/>
      </w:r>
      <w:r w:rsidRPr="007B7129">
        <w:rPr>
          <w:b/>
          <w:szCs w:val="18"/>
        </w:rPr>
        <w:instrText xml:space="preserve"> SEQ Table \* ARABIC </w:instrText>
      </w:r>
      <w:r w:rsidRPr="007B7129">
        <w:rPr>
          <w:b/>
          <w:szCs w:val="18"/>
        </w:rPr>
        <w:fldChar w:fldCharType="separate"/>
      </w:r>
      <w:r w:rsidR="00AA5AAC">
        <w:rPr>
          <w:b/>
          <w:noProof/>
          <w:szCs w:val="18"/>
        </w:rPr>
        <w:t>10</w:t>
      </w:r>
      <w:r w:rsidRPr="007B7129">
        <w:rPr>
          <w:b/>
          <w:noProof/>
          <w:szCs w:val="18"/>
        </w:rPr>
        <w:fldChar w:fldCharType="end"/>
      </w:r>
      <w:bookmarkEnd w:id="388"/>
      <w:r w:rsidRPr="007B7129">
        <w:rPr>
          <w:b/>
          <w:szCs w:val="18"/>
        </w:rPr>
        <w:t xml:space="preserve">. β-carboline substitution reaction conditions screen. </w:t>
      </w:r>
    </w:p>
    <w:tbl>
      <w:tblPr>
        <w:tblStyle w:val="TableGrid"/>
        <w:tblW w:w="9355" w:type="dxa"/>
        <w:tblLook w:val="04A0" w:firstRow="1" w:lastRow="0" w:firstColumn="1" w:lastColumn="0" w:noHBand="0" w:noVBand="1"/>
      </w:tblPr>
      <w:tblGrid>
        <w:gridCol w:w="878"/>
        <w:gridCol w:w="917"/>
        <w:gridCol w:w="2340"/>
        <w:gridCol w:w="1980"/>
        <w:gridCol w:w="1620"/>
        <w:gridCol w:w="1620"/>
      </w:tblGrid>
      <w:tr w:rsidR="007B7129" w:rsidRPr="007B7129" w14:paraId="465C671F" w14:textId="77777777" w:rsidTr="00562397">
        <w:trPr>
          <w:trHeight w:val="1619"/>
        </w:trPr>
        <w:tc>
          <w:tcPr>
            <w:tcW w:w="9355" w:type="dxa"/>
            <w:gridSpan w:val="6"/>
          </w:tcPr>
          <w:p w14:paraId="75A497B1" w14:textId="77777777" w:rsidR="007B7129" w:rsidRPr="007B7129" w:rsidRDefault="007B7129" w:rsidP="007B7129">
            <w:pPr>
              <w:spacing w:line="240" w:lineRule="auto"/>
              <w:contextualSpacing/>
              <w:jc w:val="center"/>
              <w:rPr>
                <w:rFonts w:cs="Times New Roman"/>
                <w:b/>
                <w:color w:val="000000"/>
                <w:szCs w:val="24"/>
                <w:shd w:val="clear" w:color="auto" w:fill="FFFFFF"/>
              </w:rPr>
            </w:pPr>
            <w:r w:rsidRPr="007B7129">
              <w:rPr>
                <w:rFonts w:cs="Times New Roman"/>
                <w:b/>
                <w:color w:val="000000"/>
                <w:szCs w:val="24"/>
                <w:shd w:val="clear" w:color="auto" w:fill="FFFFFF"/>
              </w:rPr>
              <w:object w:dxaOrig="5563" w:dyaOrig="1714" w14:anchorId="09834173">
                <v:shape id="_x0000_i1109" type="#_x0000_t75" style="width:277.7pt;height:86.5pt" o:ole="">
                  <v:imagedata r:id="rId317" o:title=""/>
                </v:shape>
                <o:OLEObject Type="Embed" ProgID="ChemDraw.Document.6.0" ShapeID="_x0000_i1109" DrawAspect="Content" ObjectID="_1713353462" r:id="rId318"/>
              </w:object>
            </w:r>
          </w:p>
        </w:tc>
      </w:tr>
      <w:tr w:rsidR="007B7129" w:rsidRPr="007B7129" w14:paraId="7EDC2587" w14:textId="77777777" w:rsidTr="00562397">
        <w:tc>
          <w:tcPr>
            <w:tcW w:w="878" w:type="dxa"/>
            <w:shd w:val="clear" w:color="auto" w:fill="E7E6E6" w:themeFill="background2"/>
            <w:vAlign w:val="center"/>
          </w:tcPr>
          <w:p w14:paraId="61ECF9F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Entry</w:t>
            </w:r>
          </w:p>
        </w:tc>
        <w:tc>
          <w:tcPr>
            <w:tcW w:w="917" w:type="dxa"/>
            <w:shd w:val="clear" w:color="auto" w:fill="E7E6E6" w:themeFill="background2"/>
          </w:tcPr>
          <w:p w14:paraId="5B3F1DB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w:t>
            </w:r>
          </w:p>
        </w:tc>
        <w:tc>
          <w:tcPr>
            <w:tcW w:w="2340" w:type="dxa"/>
            <w:shd w:val="clear" w:color="auto" w:fill="E7E6E6" w:themeFill="background2"/>
            <w:vAlign w:val="center"/>
          </w:tcPr>
          <w:p w14:paraId="1F633E1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Protecting Group (R)</w:t>
            </w:r>
          </w:p>
        </w:tc>
        <w:tc>
          <w:tcPr>
            <w:tcW w:w="1980" w:type="dxa"/>
            <w:shd w:val="clear" w:color="auto" w:fill="E7E6E6" w:themeFill="background2"/>
            <w:vAlign w:val="center"/>
          </w:tcPr>
          <w:p w14:paraId="3D52891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Base</w:t>
            </w:r>
          </w:p>
        </w:tc>
        <w:tc>
          <w:tcPr>
            <w:tcW w:w="1620" w:type="dxa"/>
            <w:shd w:val="clear" w:color="auto" w:fill="E7E6E6" w:themeFill="background2"/>
            <w:vAlign w:val="center"/>
          </w:tcPr>
          <w:p w14:paraId="22623E2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Additive</w:t>
            </w:r>
          </w:p>
        </w:tc>
        <w:tc>
          <w:tcPr>
            <w:tcW w:w="1620" w:type="dxa"/>
            <w:shd w:val="clear" w:color="auto" w:fill="E7E6E6" w:themeFill="background2"/>
            <w:vAlign w:val="center"/>
          </w:tcPr>
          <w:p w14:paraId="2DF72F3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Product</w:t>
            </w:r>
          </w:p>
        </w:tc>
      </w:tr>
      <w:tr w:rsidR="007B7129" w:rsidRPr="007B7129" w14:paraId="0203A76A" w14:textId="77777777" w:rsidTr="00562397">
        <w:tc>
          <w:tcPr>
            <w:tcW w:w="878" w:type="dxa"/>
            <w:vAlign w:val="center"/>
          </w:tcPr>
          <w:p w14:paraId="5E989B3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w:t>
            </w:r>
          </w:p>
        </w:tc>
        <w:tc>
          <w:tcPr>
            <w:tcW w:w="917" w:type="dxa"/>
          </w:tcPr>
          <w:p w14:paraId="1F883BE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D1</w:t>
            </w:r>
          </w:p>
        </w:tc>
        <w:tc>
          <w:tcPr>
            <w:tcW w:w="2340" w:type="dxa"/>
            <w:vAlign w:val="center"/>
          </w:tcPr>
          <w:p w14:paraId="486F682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H</w:t>
            </w:r>
          </w:p>
        </w:tc>
        <w:tc>
          <w:tcPr>
            <w:tcW w:w="1980" w:type="dxa"/>
            <w:vAlign w:val="center"/>
          </w:tcPr>
          <w:p w14:paraId="74FBB2CD"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LDA</w:t>
            </w:r>
          </w:p>
        </w:tc>
        <w:tc>
          <w:tcPr>
            <w:tcW w:w="1620" w:type="dxa"/>
            <w:vAlign w:val="center"/>
          </w:tcPr>
          <w:p w14:paraId="77074E5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BF</w:t>
            </w:r>
            <w:r w:rsidRPr="007B7129">
              <w:rPr>
                <w:rFonts w:cs="Times New Roman"/>
                <w:bCs/>
                <w:color w:val="000000"/>
                <w:szCs w:val="24"/>
                <w:shd w:val="clear" w:color="auto" w:fill="FFFFFF"/>
                <w:vertAlign w:val="subscript"/>
              </w:rPr>
              <w:t>3</w:t>
            </w:r>
            <w:r w:rsidRPr="007B7129">
              <w:rPr>
                <w:rFonts w:cs="Times New Roman"/>
                <w:bCs/>
                <w:color w:val="000000"/>
                <w:szCs w:val="24"/>
                <w:shd w:val="clear" w:color="auto" w:fill="FFFFFF"/>
              </w:rPr>
              <w:t>OEt</w:t>
            </w:r>
            <w:r w:rsidRPr="007B7129">
              <w:rPr>
                <w:rFonts w:cs="Times New Roman"/>
                <w:bCs/>
                <w:color w:val="000000"/>
                <w:szCs w:val="24"/>
                <w:shd w:val="clear" w:color="auto" w:fill="FFFFFF"/>
                <w:vertAlign w:val="subscript"/>
              </w:rPr>
              <w:t>2</w:t>
            </w:r>
          </w:p>
        </w:tc>
        <w:tc>
          <w:tcPr>
            <w:tcW w:w="1620" w:type="dxa"/>
            <w:vAlign w:val="center"/>
          </w:tcPr>
          <w:p w14:paraId="6E565B9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No Reaction</w:t>
            </w:r>
          </w:p>
        </w:tc>
      </w:tr>
      <w:tr w:rsidR="007B7129" w:rsidRPr="007B7129" w14:paraId="36D879AC" w14:textId="77777777" w:rsidTr="00562397">
        <w:tc>
          <w:tcPr>
            <w:tcW w:w="878" w:type="dxa"/>
            <w:vAlign w:val="center"/>
          </w:tcPr>
          <w:p w14:paraId="613A49F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2</w:t>
            </w:r>
          </w:p>
        </w:tc>
        <w:tc>
          <w:tcPr>
            <w:tcW w:w="917" w:type="dxa"/>
          </w:tcPr>
          <w:p w14:paraId="1434C5B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D1</w:t>
            </w:r>
          </w:p>
        </w:tc>
        <w:tc>
          <w:tcPr>
            <w:tcW w:w="2340" w:type="dxa"/>
            <w:vAlign w:val="center"/>
          </w:tcPr>
          <w:p w14:paraId="4791589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H</w:t>
            </w:r>
          </w:p>
        </w:tc>
        <w:tc>
          <w:tcPr>
            <w:tcW w:w="1980" w:type="dxa"/>
            <w:vAlign w:val="center"/>
          </w:tcPr>
          <w:p w14:paraId="2E01712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LDA</w:t>
            </w:r>
          </w:p>
        </w:tc>
        <w:tc>
          <w:tcPr>
            <w:tcW w:w="1620" w:type="dxa"/>
            <w:vAlign w:val="center"/>
          </w:tcPr>
          <w:p w14:paraId="085EB12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c>
          <w:tcPr>
            <w:tcW w:w="1620" w:type="dxa"/>
            <w:vAlign w:val="center"/>
          </w:tcPr>
          <w:p w14:paraId="33BEB95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No Reaction</w:t>
            </w:r>
          </w:p>
        </w:tc>
      </w:tr>
      <w:tr w:rsidR="007B7129" w:rsidRPr="007B7129" w14:paraId="048A04B5" w14:textId="77777777" w:rsidTr="00562397">
        <w:tc>
          <w:tcPr>
            <w:tcW w:w="878" w:type="dxa"/>
            <w:vAlign w:val="center"/>
          </w:tcPr>
          <w:p w14:paraId="29C0912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w:t>
            </w:r>
          </w:p>
        </w:tc>
        <w:tc>
          <w:tcPr>
            <w:tcW w:w="917" w:type="dxa"/>
          </w:tcPr>
          <w:p w14:paraId="5B8C6A1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D1</w:t>
            </w:r>
          </w:p>
        </w:tc>
        <w:tc>
          <w:tcPr>
            <w:tcW w:w="2340" w:type="dxa"/>
            <w:vAlign w:val="center"/>
          </w:tcPr>
          <w:p w14:paraId="34CDE82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 xml:space="preserve">H </w:t>
            </w:r>
          </w:p>
        </w:tc>
        <w:tc>
          <w:tcPr>
            <w:tcW w:w="1980" w:type="dxa"/>
            <w:vAlign w:val="center"/>
          </w:tcPr>
          <w:p w14:paraId="5A5072DD"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LiHMDS</w:t>
            </w:r>
            <w:proofErr w:type="spellEnd"/>
          </w:p>
        </w:tc>
        <w:tc>
          <w:tcPr>
            <w:tcW w:w="1620" w:type="dxa"/>
            <w:vAlign w:val="center"/>
          </w:tcPr>
          <w:p w14:paraId="5B537FC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BF</w:t>
            </w:r>
            <w:r w:rsidRPr="007B7129">
              <w:rPr>
                <w:rFonts w:cs="Times New Roman"/>
                <w:bCs/>
                <w:color w:val="000000"/>
                <w:szCs w:val="24"/>
                <w:shd w:val="clear" w:color="auto" w:fill="FFFFFF"/>
                <w:vertAlign w:val="subscript"/>
              </w:rPr>
              <w:t>3</w:t>
            </w:r>
            <w:r w:rsidRPr="007B7129">
              <w:rPr>
                <w:rFonts w:cs="Times New Roman"/>
                <w:bCs/>
                <w:color w:val="000000"/>
                <w:szCs w:val="24"/>
                <w:shd w:val="clear" w:color="auto" w:fill="FFFFFF"/>
              </w:rPr>
              <w:t>OEt</w:t>
            </w:r>
            <w:r w:rsidRPr="007B7129">
              <w:rPr>
                <w:rFonts w:cs="Times New Roman"/>
                <w:bCs/>
                <w:color w:val="000000"/>
                <w:szCs w:val="24"/>
                <w:shd w:val="clear" w:color="auto" w:fill="FFFFFF"/>
                <w:vertAlign w:val="subscript"/>
              </w:rPr>
              <w:t>2</w:t>
            </w:r>
          </w:p>
        </w:tc>
        <w:tc>
          <w:tcPr>
            <w:tcW w:w="1620" w:type="dxa"/>
            <w:vAlign w:val="center"/>
          </w:tcPr>
          <w:p w14:paraId="2D5A8416"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Unknown</w:t>
            </w:r>
            <w:r w:rsidRPr="007B7129">
              <w:rPr>
                <w:rFonts w:cs="Times New Roman"/>
                <w:bCs/>
                <w:color w:val="000000"/>
                <w:szCs w:val="24"/>
                <w:shd w:val="clear" w:color="auto" w:fill="FFFFFF"/>
                <w:vertAlign w:val="superscript"/>
              </w:rPr>
              <w:t>a</w:t>
            </w:r>
            <w:proofErr w:type="spellEnd"/>
          </w:p>
        </w:tc>
      </w:tr>
      <w:tr w:rsidR="007B7129" w:rsidRPr="007B7129" w14:paraId="1DBEF475" w14:textId="77777777" w:rsidTr="00562397">
        <w:tc>
          <w:tcPr>
            <w:tcW w:w="878" w:type="dxa"/>
            <w:vAlign w:val="center"/>
          </w:tcPr>
          <w:p w14:paraId="3DE3368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4</w:t>
            </w:r>
          </w:p>
        </w:tc>
        <w:tc>
          <w:tcPr>
            <w:tcW w:w="917" w:type="dxa"/>
          </w:tcPr>
          <w:p w14:paraId="50AF70F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D1</w:t>
            </w:r>
          </w:p>
        </w:tc>
        <w:tc>
          <w:tcPr>
            <w:tcW w:w="2340" w:type="dxa"/>
            <w:vAlign w:val="center"/>
          </w:tcPr>
          <w:p w14:paraId="758CCB9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H</w:t>
            </w:r>
          </w:p>
        </w:tc>
        <w:tc>
          <w:tcPr>
            <w:tcW w:w="1980" w:type="dxa"/>
            <w:vAlign w:val="center"/>
          </w:tcPr>
          <w:p w14:paraId="356ADA89"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LiHMDS</w:t>
            </w:r>
            <w:proofErr w:type="spellEnd"/>
          </w:p>
        </w:tc>
        <w:tc>
          <w:tcPr>
            <w:tcW w:w="1620" w:type="dxa"/>
            <w:vAlign w:val="center"/>
          </w:tcPr>
          <w:p w14:paraId="5F4E97A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c>
          <w:tcPr>
            <w:tcW w:w="1620" w:type="dxa"/>
            <w:vAlign w:val="center"/>
          </w:tcPr>
          <w:p w14:paraId="651CD25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No Reaction</w:t>
            </w:r>
          </w:p>
        </w:tc>
      </w:tr>
      <w:tr w:rsidR="007B7129" w:rsidRPr="007B7129" w14:paraId="3BA4A1D1" w14:textId="77777777" w:rsidTr="00562397">
        <w:tc>
          <w:tcPr>
            <w:tcW w:w="878" w:type="dxa"/>
            <w:vAlign w:val="center"/>
          </w:tcPr>
          <w:p w14:paraId="41B4E89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5</w:t>
            </w:r>
          </w:p>
        </w:tc>
        <w:tc>
          <w:tcPr>
            <w:tcW w:w="917" w:type="dxa"/>
          </w:tcPr>
          <w:p w14:paraId="544C02FB"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D1</w:t>
            </w:r>
          </w:p>
        </w:tc>
        <w:tc>
          <w:tcPr>
            <w:tcW w:w="2340" w:type="dxa"/>
            <w:vAlign w:val="center"/>
          </w:tcPr>
          <w:p w14:paraId="031B4961"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H</w:t>
            </w:r>
          </w:p>
        </w:tc>
        <w:tc>
          <w:tcPr>
            <w:tcW w:w="1980" w:type="dxa"/>
            <w:vAlign w:val="center"/>
          </w:tcPr>
          <w:p w14:paraId="48DABAD2"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nBuLi</w:t>
            </w:r>
            <w:proofErr w:type="spellEnd"/>
          </w:p>
        </w:tc>
        <w:tc>
          <w:tcPr>
            <w:tcW w:w="1620" w:type="dxa"/>
            <w:vAlign w:val="center"/>
          </w:tcPr>
          <w:p w14:paraId="0A3DE70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BF</w:t>
            </w:r>
            <w:r w:rsidRPr="007B7129">
              <w:rPr>
                <w:rFonts w:cs="Times New Roman"/>
                <w:bCs/>
                <w:color w:val="000000"/>
                <w:szCs w:val="24"/>
                <w:shd w:val="clear" w:color="auto" w:fill="FFFFFF"/>
                <w:vertAlign w:val="subscript"/>
              </w:rPr>
              <w:t>3</w:t>
            </w:r>
            <w:r w:rsidRPr="007B7129">
              <w:rPr>
                <w:rFonts w:cs="Times New Roman"/>
                <w:bCs/>
                <w:color w:val="000000"/>
                <w:szCs w:val="24"/>
                <w:shd w:val="clear" w:color="auto" w:fill="FFFFFF"/>
              </w:rPr>
              <w:t>OEt</w:t>
            </w:r>
            <w:r w:rsidRPr="007B7129">
              <w:rPr>
                <w:rFonts w:cs="Times New Roman"/>
                <w:bCs/>
                <w:color w:val="000000"/>
                <w:szCs w:val="24"/>
                <w:shd w:val="clear" w:color="auto" w:fill="FFFFFF"/>
                <w:vertAlign w:val="subscript"/>
              </w:rPr>
              <w:t>2</w:t>
            </w:r>
          </w:p>
        </w:tc>
        <w:tc>
          <w:tcPr>
            <w:tcW w:w="1620" w:type="dxa"/>
            <w:vAlign w:val="center"/>
          </w:tcPr>
          <w:p w14:paraId="03D5C9A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3.47 (14%)</w:t>
            </w:r>
          </w:p>
        </w:tc>
      </w:tr>
      <w:tr w:rsidR="007B7129" w:rsidRPr="007B7129" w14:paraId="5AD90B43" w14:textId="77777777" w:rsidTr="00562397">
        <w:tc>
          <w:tcPr>
            <w:tcW w:w="878" w:type="dxa"/>
            <w:vAlign w:val="center"/>
          </w:tcPr>
          <w:p w14:paraId="35E0AC9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6</w:t>
            </w:r>
          </w:p>
        </w:tc>
        <w:tc>
          <w:tcPr>
            <w:tcW w:w="917" w:type="dxa"/>
          </w:tcPr>
          <w:p w14:paraId="0749D24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D1</w:t>
            </w:r>
          </w:p>
        </w:tc>
        <w:tc>
          <w:tcPr>
            <w:tcW w:w="2340" w:type="dxa"/>
            <w:vAlign w:val="center"/>
          </w:tcPr>
          <w:p w14:paraId="3614DB3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H</w:t>
            </w:r>
          </w:p>
        </w:tc>
        <w:tc>
          <w:tcPr>
            <w:tcW w:w="1980" w:type="dxa"/>
            <w:vAlign w:val="center"/>
          </w:tcPr>
          <w:p w14:paraId="5929A1C5"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nBuLi</w:t>
            </w:r>
            <w:proofErr w:type="spellEnd"/>
          </w:p>
        </w:tc>
        <w:tc>
          <w:tcPr>
            <w:tcW w:w="1620" w:type="dxa"/>
            <w:vAlign w:val="center"/>
          </w:tcPr>
          <w:p w14:paraId="2D2FDA8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c>
          <w:tcPr>
            <w:tcW w:w="1620" w:type="dxa"/>
            <w:vAlign w:val="center"/>
          </w:tcPr>
          <w:p w14:paraId="1FDF76B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No Reaction</w:t>
            </w:r>
          </w:p>
        </w:tc>
      </w:tr>
      <w:tr w:rsidR="007B7129" w:rsidRPr="007B7129" w14:paraId="175BBB93" w14:textId="77777777" w:rsidTr="00562397">
        <w:tc>
          <w:tcPr>
            <w:tcW w:w="878" w:type="dxa"/>
            <w:vAlign w:val="center"/>
          </w:tcPr>
          <w:p w14:paraId="5391F49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7</w:t>
            </w:r>
          </w:p>
        </w:tc>
        <w:tc>
          <w:tcPr>
            <w:tcW w:w="917" w:type="dxa"/>
          </w:tcPr>
          <w:p w14:paraId="21600F62"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D1</w:t>
            </w:r>
          </w:p>
        </w:tc>
        <w:tc>
          <w:tcPr>
            <w:tcW w:w="2340" w:type="dxa"/>
            <w:vAlign w:val="center"/>
          </w:tcPr>
          <w:p w14:paraId="7D3AD89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H</w:t>
            </w:r>
          </w:p>
        </w:tc>
        <w:tc>
          <w:tcPr>
            <w:tcW w:w="1980" w:type="dxa"/>
            <w:vAlign w:val="center"/>
          </w:tcPr>
          <w:p w14:paraId="55954A8A"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LiDMAE</w:t>
            </w:r>
            <w:proofErr w:type="spellEnd"/>
          </w:p>
        </w:tc>
        <w:tc>
          <w:tcPr>
            <w:tcW w:w="1620" w:type="dxa"/>
            <w:vAlign w:val="center"/>
          </w:tcPr>
          <w:p w14:paraId="5B5976DC"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c>
          <w:tcPr>
            <w:tcW w:w="1620" w:type="dxa"/>
            <w:vAlign w:val="center"/>
          </w:tcPr>
          <w:p w14:paraId="1231B0E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No Reaction</w:t>
            </w:r>
          </w:p>
        </w:tc>
      </w:tr>
      <w:tr w:rsidR="007B7129" w:rsidRPr="007B7129" w14:paraId="5F19B6EB" w14:textId="77777777" w:rsidTr="00562397">
        <w:tc>
          <w:tcPr>
            <w:tcW w:w="878" w:type="dxa"/>
            <w:vAlign w:val="center"/>
          </w:tcPr>
          <w:p w14:paraId="3537B857"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8</w:t>
            </w:r>
          </w:p>
        </w:tc>
        <w:tc>
          <w:tcPr>
            <w:tcW w:w="917" w:type="dxa"/>
          </w:tcPr>
          <w:p w14:paraId="35A7B574"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D2</w:t>
            </w:r>
          </w:p>
        </w:tc>
        <w:tc>
          <w:tcPr>
            <w:tcW w:w="2340" w:type="dxa"/>
            <w:vAlign w:val="center"/>
          </w:tcPr>
          <w:p w14:paraId="7DE8E06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Boc</w:t>
            </w:r>
          </w:p>
        </w:tc>
        <w:tc>
          <w:tcPr>
            <w:tcW w:w="1980" w:type="dxa"/>
            <w:vAlign w:val="center"/>
          </w:tcPr>
          <w:p w14:paraId="69F6CC2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LDA</w:t>
            </w:r>
          </w:p>
        </w:tc>
        <w:tc>
          <w:tcPr>
            <w:tcW w:w="1620" w:type="dxa"/>
            <w:vAlign w:val="center"/>
          </w:tcPr>
          <w:p w14:paraId="3C01E4AE"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BF</w:t>
            </w:r>
            <w:r w:rsidRPr="007B7129">
              <w:rPr>
                <w:rFonts w:cs="Times New Roman"/>
                <w:bCs/>
                <w:color w:val="000000"/>
                <w:szCs w:val="24"/>
                <w:shd w:val="clear" w:color="auto" w:fill="FFFFFF"/>
                <w:vertAlign w:val="subscript"/>
              </w:rPr>
              <w:t>3</w:t>
            </w:r>
            <w:r w:rsidRPr="007B7129">
              <w:rPr>
                <w:rFonts w:cs="Times New Roman"/>
                <w:bCs/>
                <w:color w:val="000000"/>
                <w:szCs w:val="24"/>
                <w:shd w:val="clear" w:color="auto" w:fill="FFFFFF"/>
              </w:rPr>
              <w:t>OEt</w:t>
            </w:r>
            <w:r w:rsidRPr="007B7129">
              <w:rPr>
                <w:rFonts w:cs="Times New Roman"/>
                <w:bCs/>
                <w:color w:val="000000"/>
                <w:szCs w:val="24"/>
                <w:shd w:val="clear" w:color="auto" w:fill="FFFFFF"/>
                <w:vertAlign w:val="subscript"/>
              </w:rPr>
              <w:t>2</w:t>
            </w:r>
          </w:p>
        </w:tc>
        <w:tc>
          <w:tcPr>
            <w:tcW w:w="1620" w:type="dxa"/>
            <w:vAlign w:val="center"/>
          </w:tcPr>
          <w:p w14:paraId="2FAEC71F"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No Reaction</w:t>
            </w:r>
          </w:p>
        </w:tc>
      </w:tr>
      <w:tr w:rsidR="007B7129" w:rsidRPr="007B7129" w14:paraId="4A5FB298" w14:textId="77777777" w:rsidTr="00562397">
        <w:tc>
          <w:tcPr>
            <w:tcW w:w="878" w:type="dxa"/>
            <w:vAlign w:val="center"/>
          </w:tcPr>
          <w:p w14:paraId="788B3A3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9</w:t>
            </w:r>
          </w:p>
        </w:tc>
        <w:tc>
          <w:tcPr>
            <w:tcW w:w="917" w:type="dxa"/>
          </w:tcPr>
          <w:p w14:paraId="10458948"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D2</w:t>
            </w:r>
          </w:p>
        </w:tc>
        <w:tc>
          <w:tcPr>
            <w:tcW w:w="2340" w:type="dxa"/>
            <w:vAlign w:val="center"/>
          </w:tcPr>
          <w:p w14:paraId="56B04A46"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Boc</w:t>
            </w:r>
          </w:p>
        </w:tc>
        <w:tc>
          <w:tcPr>
            <w:tcW w:w="1980" w:type="dxa"/>
            <w:vAlign w:val="center"/>
          </w:tcPr>
          <w:p w14:paraId="441E4555"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LiHMDS</w:t>
            </w:r>
            <w:proofErr w:type="spellEnd"/>
          </w:p>
        </w:tc>
        <w:tc>
          <w:tcPr>
            <w:tcW w:w="1620" w:type="dxa"/>
            <w:vAlign w:val="center"/>
          </w:tcPr>
          <w:p w14:paraId="5856A8EA"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BF</w:t>
            </w:r>
            <w:r w:rsidRPr="007B7129">
              <w:rPr>
                <w:rFonts w:cs="Times New Roman"/>
                <w:bCs/>
                <w:color w:val="000000"/>
                <w:szCs w:val="24"/>
                <w:shd w:val="clear" w:color="auto" w:fill="FFFFFF"/>
                <w:vertAlign w:val="subscript"/>
              </w:rPr>
              <w:t>3</w:t>
            </w:r>
            <w:r w:rsidRPr="007B7129">
              <w:rPr>
                <w:rFonts w:cs="Times New Roman"/>
                <w:bCs/>
                <w:color w:val="000000"/>
                <w:szCs w:val="24"/>
                <w:shd w:val="clear" w:color="auto" w:fill="FFFFFF"/>
              </w:rPr>
              <w:t>OEt</w:t>
            </w:r>
            <w:r w:rsidRPr="007B7129">
              <w:rPr>
                <w:rFonts w:cs="Times New Roman"/>
                <w:bCs/>
                <w:color w:val="000000"/>
                <w:szCs w:val="24"/>
                <w:shd w:val="clear" w:color="auto" w:fill="FFFFFF"/>
                <w:vertAlign w:val="subscript"/>
              </w:rPr>
              <w:t>2</w:t>
            </w:r>
          </w:p>
        </w:tc>
        <w:tc>
          <w:tcPr>
            <w:tcW w:w="1620" w:type="dxa"/>
            <w:vAlign w:val="center"/>
          </w:tcPr>
          <w:p w14:paraId="0F9B0D7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No Reaction</w:t>
            </w:r>
          </w:p>
        </w:tc>
      </w:tr>
      <w:tr w:rsidR="007B7129" w:rsidRPr="007B7129" w14:paraId="78A8411F" w14:textId="77777777" w:rsidTr="00562397">
        <w:tc>
          <w:tcPr>
            <w:tcW w:w="878" w:type="dxa"/>
            <w:vAlign w:val="center"/>
          </w:tcPr>
          <w:p w14:paraId="54534570"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10</w:t>
            </w:r>
          </w:p>
        </w:tc>
        <w:tc>
          <w:tcPr>
            <w:tcW w:w="917" w:type="dxa"/>
          </w:tcPr>
          <w:p w14:paraId="199BB9D3"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D3</w:t>
            </w:r>
          </w:p>
        </w:tc>
        <w:tc>
          <w:tcPr>
            <w:tcW w:w="2340" w:type="dxa"/>
            <w:vAlign w:val="center"/>
          </w:tcPr>
          <w:p w14:paraId="063488DB"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Tos</w:t>
            </w:r>
            <w:proofErr w:type="spellEnd"/>
          </w:p>
        </w:tc>
        <w:tc>
          <w:tcPr>
            <w:tcW w:w="1980" w:type="dxa"/>
            <w:vAlign w:val="center"/>
          </w:tcPr>
          <w:p w14:paraId="2872EBB0" w14:textId="77777777" w:rsidR="007B7129" w:rsidRPr="007B7129" w:rsidRDefault="007B7129" w:rsidP="007B7129">
            <w:pPr>
              <w:spacing w:line="240" w:lineRule="auto"/>
              <w:contextualSpacing/>
              <w:jc w:val="center"/>
              <w:rPr>
                <w:rFonts w:cs="Times New Roman"/>
                <w:bCs/>
                <w:color w:val="000000"/>
                <w:szCs w:val="24"/>
                <w:shd w:val="clear" w:color="auto" w:fill="FFFFFF"/>
              </w:rPr>
            </w:pPr>
            <w:proofErr w:type="spellStart"/>
            <w:r w:rsidRPr="007B7129">
              <w:rPr>
                <w:rFonts w:cs="Times New Roman"/>
                <w:bCs/>
                <w:color w:val="000000"/>
                <w:szCs w:val="24"/>
                <w:shd w:val="clear" w:color="auto" w:fill="FFFFFF"/>
              </w:rPr>
              <w:t>LiDMAE</w:t>
            </w:r>
            <w:proofErr w:type="spellEnd"/>
          </w:p>
        </w:tc>
        <w:tc>
          <w:tcPr>
            <w:tcW w:w="1620" w:type="dxa"/>
            <w:vAlign w:val="center"/>
          </w:tcPr>
          <w:p w14:paraId="5BC88645"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w:t>
            </w:r>
          </w:p>
        </w:tc>
        <w:tc>
          <w:tcPr>
            <w:tcW w:w="1620" w:type="dxa"/>
            <w:vAlign w:val="center"/>
          </w:tcPr>
          <w:p w14:paraId="36D3DBE9" w14:textId="77777777" w:rsidR="007B7129" w:rsidRPr="007B7129" w:rsidRDefault="007B7129" w:rsidP="007B7129">
            <w:pPr>
              <w:spacing w:line="240" w:lineRule="auto"/>
              <w:contextualSpacing/>
              <w:jc w:val="center"/>
              <w:rPr>
                <w:rFonts w:cs="Times New Roman"/>
                <w:bCs/>
                <w:color w:val="000000"/>
                <w:szCs w:val="24"/>
                <w:shd w:val="clear" w:color="auto" w:fill="FFFFFF"/>
              </w:rPr>
            </w:pPr>
            <w:r w:rsidRPr="007B7129">
              <w:rPr>
                <w:rFonts w:cs="Times New Roman"/>
                <w:bCs/>
                <w:color w:val="000000"/>
                <w:szCs w:val="24"/>
                <w:shd w:val="clear" w:color="auto" w:fill="FFFFFF"/>
              </w:rPr>
              <w:t>No Reaction</w:t>
            </w:r>
          </w:p>
        </w:tc>
      </w:tr>
    </w:tbl>
    <w:p w14:paraId="69D74D67" w14:textId="77777777" w:rsidR="007B7129" w:rsidRPr="007B7129" w:rsidRDefault="007B7129" w:rsidP="007B7129">
      <w:pPr>
        <w:spacing w:after="0" w:line="240" w:lineRule="auto"/>
        <w:rPr>
          <w:rFonts w:cs="Times New Roman"/>
          <w:szCs w:val="24"/>
        </w:rPr>
      </w:pPr>
      <w:r w:rsidRPr="007B7129">
        <w:t xml:space="preserve"> </w:t>
      </w:r>
      <w:r w:rsidRPr="007B7129">
        <w:rPr>
          <w:rFonts w:cs="Times New Roman"/>
          <w:szCs w:val="24"/>
        </w:rPr>
        <w:t xml:space="preserve">PG = protecting group. </w:t>
      </w:r>
    </w:p>
    <w:p w14:paraId="03C14E1A" w14:textId="77777777" w:rsidR="007B7129" w:rsidRPr="007B7129" w:rsidRDefault="007B7129" w:rsidP="007B7129">
      <w:pPr>
        <w:spacing w:after="0" w:line="240" w:lineRule="auto"/>
        <w:rPr>
          <w:rFonts w:cs="Times New Roman"/>
          <w:szCs w:val="24"/>
        </w:rPr>
      </w:pPr>
      <w:r w:rsidRPr="007B7129">
        <w:rPr>
          <w:rFonts w:cs="Times New Roman"/>
          <w:szCs w:val="24"/>
          <w:vertAlign w:val="superscript"/>
        </w:rPr>
        <w:t>a</w:t>
      </w:r>
      <w:r w:rsidRPr="007B7129">
        <w:rPr>
          <w:rFonts w:cs="Times New Roman"/>
          <w:szCs w:val="24"/>
        </w:rPr>
        <w:t xml:space="preserve"> One complex uncharacterizable product was isolated in trace amounts. </w:t>
      </w:r>
    </w:p>
    <w:p w14:paraId="29DDDB37" w14:textId="77777777" w:rsidR="007B7129" w:rsidRPr="007B7129" w:rsidRDefault="007B7129" w:rsidP="007B7129">
      <w:r w:rsidRPr="007B7129">
        <w:tab/>
      </w:r>
    </w:p>
    <w:p w14:paraId="3F2FA76B" w14:textId="3C771291" w:rsidR="007B7129" w:rsidRPr="007B7129" w:rsidRDefault="007B7129" w:rsidP="00E138C0">
      <w:pPr>
        <w:ind w:firstLine="720"/>
      </w:pPr>
      <w:r w:rsidRPr="007B7129">
        <w:t xml:space="preserve">Overall, my initial attempts at </w:t>
      </w:r>
      <w:r w:rsidRPr="007B7129">
        <w:rPr>
          <w:rFonts w:cs="Times New Roman"/>
        </w:rPr>
        <w:t>β</w:t>
      </w:r>
      <w:r w:rsidRPr="007B7129">
        <w:t xml:space="preserve">-carboline lithiation showed me that the reaction is more complex than a basic deprotonation mechanism. I tried to gain insight into potential issues with this methodology by looking into </w:t>
      </w:r>
      <w:proofErr w:type="spellStart"/>
      <w:r w:rsidRPr="007B7129">
        <w:t>pKa</w:t>
      </w:r>
      <w:proofErr w:type="spellEnd"/>
      <w:r w:rsidRPr="007B7129">
        <w:t xml:space="preserve"> prediction models by Grzybowski with THF as the solvent.</w:t>
      </w:r>
      <w:r w:rsidRPr="007B7129">
        <w:fldChar w:fldCharType="begin"/>
      </w:r>
      <w:r w:rsidRPr="007B7129">
        <w:instrText xml:space="preserve"> ADDIN ZOTERO_ITEM CSL_CITATION {"citationID":"JfdDfVTU","properties":{"formattedCitation":"\\super 87\\nosupersub{}","plainCitation":"87","noteIndex":0},"citationItems":[{"id":681,"uris":["http://zotero.org/users/6503767/items/5JXLAQNH"],"itemData":{"id":681,"type":"article-journal","abstract":"The ability to estimate the acidity of C–H groups within organic molecules in non-aqueous solvents is important in synthetic planning to correctly predict which protons will be abstracted in reactions such as alkylations, Michael additions, or aldol condensations. This Article describes the use of the so-called graph convolutional neural networks (GCNNs) to perform such predictions on the time scales of milliseconds and with accuracy comparing favorably with state-of-the-art solutions, including commercial ones. The crux of the method is to train GCNNs using descriptors that reflect not only topological but also chemical properties of atomic environments. The model is validated against adversarial controls, supplemented by the discussion of realistic synthetic problems (on which it correctly predicts the most acidic protons in &gt;90% of cases), and accompanied by a Web application intended to aid the community in everyday synthetic planning.","container-title":"Journal of the American Chemical Society","DOI":"10.1021/jacs.9b05895","ISSN":"0002-7863","issue":"43","journalAbbreviation":"J. Am. Chem. Soc.","note":"publisher: American Chemical Society","page":"17142-17149","source":"ACS Publications","title":"Rapid and Accurate Prediction of pKa Values of C–H Acids Using Graph Convolutional Neural Networks","volume":"141","author":[{"family":"Roszak","given":"Rafał"},{"family":"Beker","given":"Wiktor"},{"family":"Molga","given":"Karol"},{"family":"Grzybowski","given":"Bartosz A."}],"issued":{"date-parts":[["2019",10,30]]}}}],"schema":"https://github.com/citation-style-language/schema/raw/master/csl-citation.json"} </w:instrText>
      </w:r>
      <w:r w:rsidRPr="007B7129">
        <w:fldChar w:fldCharType="separate"/>
      </w:r>
      <w:r w:rsidRPr="007B7129">
        <w:rPr>
          <w:rFonts w:cs="Times New Roman"/>
          <w:szCs w:val="24"/>
          <w:vertAlign w:val="superscript"/>
        </w:rPr>
        <w:t>87</w:t>
      </w:r>
      <w:r w:rsidRPr="007B7129">
        <w:fldChar w:fldCharType="end"/>
      </w:r>
      <w:r w:rsidRPr="007B7129">
        <w:t xml:space="preserve"> The C4-H and C1-H are the most acidic protons on the </w:t>
      </w:r>
      <w:r w:rsidRPr="007B7129">
        <w:rPr>
          <w:rFonts w:cs="Times New Roman"/>
        </w:rPr>
        <w:t>β</w:t>
      </w:r>
      <w:r w:rsidRPr="007B7129">
        <w:t>-carboline ring, but they may not be acidic enough to be deprotonated by organolithium bases (</w:t>
      </w:r>
      <w:r w:rsidR="00B304B9" w:rsidRPr="00B304B9">
        <w:rPr>
          <w:b/>
          <w:bCs/>
        </w:rPr>
        <w:fldChar w:fldCharType="begin"/>
      </w:r>
      <w:r w:rsidR="00B304B9" w:rsidRPr="00B304B9">
        <w:rPr>
          <w:b/>
          <w:bCs/>
        </w:rPr>
        <w:instrText xml:space="preserve"> REF _Ref102583418 \h  \* MERGEFORMAT </w:instrText>
      </w:r>
      <w:r w:rsidR="00B304B9" w:rsidRPr="00B304B9">
        <w:rPr>
          <w:b/>
          <w:bCs/>
        </w:rPr>
      </w:r>
      <w:r w:rsidR="00B304B9" w:rsidRPr="00B304B9">
        <w:rPr>
          <w:b/>
          <w:bCs/>
        </w:rPr>
        <w:fldChar w:fldCharType="separate"/>
      </w:r>
      <w:r w:rsidR="00AA5AAC" w:rsidRPr="00AA5AAC">
        <w:rPr>
          <w:b/>
          <w:bCs/>
        </w:rPr>
        <w:t>Figure 3.14</w:t>
      </w:r>
      <w:r w:rsidR="00B304B9" w:rsidRPr="00B304B9">
        <w:rPr>
          <w:b/>
          <w:bCs/>
        </w:rPr>
        <w:fldChar w:fldCharType="end"/>
      </w:r>
      <w:r w:rsidRPr="007B7129">
        <w:t xml:space="preserve">). Evidence of lithiation on </w:t>
      </w:r>
      <w:r w:rsidRPr="007B7129">
        <w:lastRenderedPageBreak/>
        <w:t>pyridine by the superbase LiDMAE,</w:t>
      </w:r>
      <w:r w:rsidRPr="007B7129">
        <w:fldChar w:fldCharType="begin"/>
      </w:r>
      <w:r w:rsidRPr="007B7129">
        <w:instrText xml:space="preserve"> ADDIN ZOTERO_ITEM CSL_CITATION {"citationID":"IyPnE9fz","properties":{"formattedCitation":"\\super 88\\nosupersub{}","plainCitation":"88","noteIndex":0},"citationItems":[{"id":684,"uris":["http://zotero.org/users/6503767/items/2D39Q5WB"],"itemData":{"id":684,"type":"article-journal","abstract":"The determination of the initial deprotonation site of 2-chloro- and 2-methoxypyridine during reaction with BuLi−LiDMAE has been investigated. A series of experiments on deuterated regioisomers revealed a direct lithiation at C-6 excluding a potential first classical ortholithiation and lithium equilibration in the reaction medium. These results suggested that the formation of lithium aggregates at the neighboring of the pyridinic nitrogen atom favored BuLi delivery at C-6 as well as 6-lithio intermediate stabilization.","container-title":"The Journal of Organic Chemistry","DOI":"10.1021/jo015855o","ISSN":"0022-3263","issue":"1","journalAbbreviation":"J. Org. Chem.","note":"publisher: American Chemical Society","page":"234-237","source":"ACS Publications","title":"Lithiation of 2-Heterosubstituted Pyridines with BuLi−LiDMAE:  Evidence for Regiospecificity at C-6","title-short":"Lithiation of 2-Heterosubstituted Pyridines with BuLi−LiDMAE","volume":"67","author":[{"family":"Gros","given":"Philippe"},{"family":"Choppin","given":"Sabine"},{"family":"Mathieu","given":"Julien"},{"family":"Fort","given":"Yves"}],"issued":{"date-parts":[["2002",1,1]]}}}],"schema":"https://github.com/citation-style-language/schema/raw/master/csl-citation.json"} </w:instrText>
      </w:r>
      <w:r w:rsidRPr="007B7129">
        <w:fldChar w:fldCharType="separate"/>
      </w:r>
      <w:r w:rsidRPr="007B7129">
        <w:rPr>
          <w:rFonts w:cs="Times New Roman"/>
          <w:szCs w:val="24"/>
          <w:vertAlign w:val="superscript"/>
        </w:rPr>
        <w:t>88</w:t>
      </w:r>
      <w:r w:rsidRPr="007B7129">
        <w:fldChar w:fldCharType="end"/>
      </w:r>
      <w:r w:rsidRPr="007B7129">
        <w:t xml:space="preserve"> however, may suggest otherwise, because the Grzybowski model predicts the acidity of pyridine C1-H to be approximately 10 </w:t>
      </w:r>
      <w:proofErr w:type="spellStart"/>
      <w:r w:rsidRPr="007B7129">
        <w:t>pKa</w:t>
      </w:r>
      <w:proofErr w:type="spellEnd"/>
      <w:r w:rsidRPr="007B7129">
        <w:t xml:space="preserve"> units over the </w:t>
      </w:r>
      <w:r w:rsidRPr="007B7129">
        <w:rPr>
          <w:rFonts w:cs="Times New Roman"/>
        </w:rPr>
        <w:t>β</w:t>
      </w:r>
      <w:r w:rsidRPr="007B7129">
        <w:t>-carboline 1-position (</w:t>
      </w:r>
      <w:r w:rsidR="00B304B9" w:rsidRPr="00B304B9">
        <w:rPr>
          <w:b/>
          <w:bCs/>
        </w:rPr>
        <w:fldChar w:fldCharType="begin"/>
      </w:r>
      <w:r w:rsidR="00B304B9" w:rsidRPr="00B304B9">
        <w:rPr>
          <w:b/>
          <w:bCs/>
        </w:rPr>
        <w:instrText xml:space="preserve"> REF _Ref102583418 \h </w:instrText>
      </w:r>
      <w:r w:rsidR="00B304B9">
        <w:rPr>
          <w:b/>
          <w:bCs/>
        </w:rPr>
        <w:instrText xml:space="preserve"> \* MERGEFORMAT </w:instrText>
      </w:r>
      <w:r w:rsidR="00B304B9" w:rsidRPr="00B304B9">
        <w:rPr>
          <w:b/>
          <w:bCs/>
        </w:rPr>
      </w:r>
      <w:r w:rsidR="00B304B9" w:rsidRPr="00B304B9">
        <w:rPr>
          <w:b/>
          <w:bCs/>
        </w:rPr>
        <w:fldChar w:fldCharType="separate"/>
      </w:r>
      <w:r w:rsidR="00AA5AAC" w:rsidRPr="00AA5AAC">
        <w:rPr>
          <w:b/>
          <w:bCs/>
        </w:rPr>
        <w:t>Figure 3.14</w:t>
      </w:r>
      <w:r w:rsidR="00B304B9" w:rsidRPr="00B304B9">
        <w:rPr>
          <w:b/>
          <w:bCs/>
        </w:rPr>
        <w:fldChar w:fldCharType="end"/>
      </w:r>
      <w:r w:rsidRPr="007B7129">
        <w:t xml:space="preserve">). As such, a general </w:t>
      </w:r>
      <w:proofErr w:type="spellStart"/>
      <w:r w:rsidRPr="007B7129">
        <w:t>pKa</w:t>
      </w:r>
      <w:proofErr w:type="spellEnd"/>
      <w:r w:rsidRPr="007B7129">
        <w:t xml:space="preserve"> analysis does not explain the outcomes of my lithiation reactions. </w:t>
      </w:r>
    </w:p>
    <w:p w14:paraId="223696EE" w14:textId="77777777" w:rsidR="007B7129" w:rsidRPr="007B7129" w:rsidRDefault="007B7129" w:rsidP="00E138C0">
      <w:pPr>
        <w:ind w:firstLine="720"/>
      </w:pPr>
      <w:r w:rsidRPr="007B7129">
        <w:rPr>
          <w:noProof/>
        </w:rPr>
        <mc:AlternateContent>
          <mc:Choice Requires="wps">
            <w:drawing>
              <wp:inline distT="0" distB="0" distL="0" distR="0" wp14:anchorId="4FE2402E" wp14:editId="35C50512">
                <wp:extent cx="4910924" cy="2043485"/>
                <wp:effectExtent l="0" t="0" r="23495" b="13970"/>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924" cy="2043485"/>
                        </a:xfrm>
                        <a:prstGeom prst="rect">
                          <a:avLst/>
                        </a:prstGeom>
                        <a:solidFill>
                          <a:srgbClr val="FFFFFF"/>
                        </a:solidFill>
                        <a:ln w="9525">
                          <a:solidFill>
                            <a:srgbClr val="000000"/>
                          </a:solidFill>
                          <a:miter lim="800000"/>
                          <a:headEnd/>
                          <a:tailEnd/>
                        </a:ln>
                      </wps:spPr>
                      <wps:txbx>
                        <w:txbxContent>
                          <w:p w14:paraId="0E603896" w14:textId="77777777" w:rsidR="00621755" w:rsidRDefault="007B7129" w:rsidP="00621755">
                            <w:pPr>
                              <w:keepNext/>
                              <w:spacing w:after="0"/>
                              <w:jc w:val="center"/>
                            </w:pPr>
                            <w:r>
                              <w:rPr>
                                <w:noProof/>
                              </w:rPr>
                              <w:drawing>
                                <wp:inline distT="0" distB="0" distL="0" distR="0" wp14:anchorId="10B8C493" wp14:editId="6F398390">
                                  <wp:extent cx="866277" cy="841209"/>
                                  <wp:effectExtent l="0" t="0" r="0" b="0"/>
                                  <wp:docPr id="289" name="Picture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a:extLst>
                                              <a:ext uri="{C183D7F6-B498-43B3-948B-1728B52AA6E4}">
                                                <adec:decorative xmlns:adec="http://schemas.microsoft.com/office/drawing/2017/decorative" val="1"/>
                                              </a:ext>
                                            </a:extLst>
                                          </pic:cNvPr>
                                          <pic:cNvPicPr/>
                                        </pic:nvPicPr>
                                        <pic:blipFill rotWithShape="1">
                                          <a:blip r:embed="rId319"/>
                                          <a:srcRect l="50294" t="22432" r="45688" b="63846"/>
                                          <a:stretch/>
                                        </pic:blipFill>
                                        <pic:spPr bwMode="auto">
                                          <a:xfrm>
                                            <a:off x="0" y="0"/>
                                            <a:ext cx="879173" cy="853732"/>
                                          </a:xfrm>
                                          <a:prstGeom prst="rect">
                                            <a:avLst/>
                                          </a:prstGeom>
                                          <a:ln>
                                            <a:noFill/>
                                          </a:ln>
                                          <a:extLst>
                                            <a:ext uri="{53640926-AAD7-44D8-BBD7-CCE9431645EC}">
                                              <a14:shadowObscured xmlns:a14="http://schemas.microsoft.com/office/drawing/2010/main"/>
                                            </a:ext>
                                          </a:extLst>
                                        </pic:spPr>
                                      </pic:pic>
                                    </a:graphicData>
                                  </a:graphic>
                                </wp:inline>
                              </w:drawing>
                            </w:r>
                            <w:r>
                              <w:tab/>
                            </w:r>
                            <w:r>
                              <w:rPr>
                                <w:noProof/>
                              </w:rPr>
                              <w:drawing>
                                <wp:inline distT="0" distB="0" distL="0" distR="0" wp14:anchorId="67305CC0" wp14:editId="28EB8AD3">
                                  <wp:extent cx="1764115" cy="874643"/>
                                  <wp:effectExtent l="0" t="0" r="7620" b="1905"/>
                                  <wp:docPr id="290" name="Picture 290" descr="Predicted pKa values of C-H in unsubstituted pyridine (left) and β-carboline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Predicted pKa values of C-H in unsubstituted pyridine (left) and β-carboline (right). "/>
                                          <pic:cNvPicPr/>
                                        </pic:nvPicPr>
                                        <pic:blipFill rotWithShape="1">
                                          <a:blip r:embed="rId320"/>
                                          <a:srcRect l="50008" t="22474" r="40074" b="60233"/>
                                          <a:stretch/>
                                        </pic:blipFill>
                                        <pic:spPr bwMode="auto">
                                          <a:xfrm>
                                            <a:off x="0" y="0"/>
                                            <a:ext cx="1777169" cy="881115"/>
                                          </a:xfrm>
                                          <a:prstGeom prst="rect">
                                            <a:avLst/>
                                          </a:prstGeom>
                                          <a:ln>
                                            <a:noFill/>
                                          </a:ln>
                                          <a:extLst>
                                            <a:ext uri="{53640926-AAD7-44D8-BBD7-CCE9431645EC}">
                                              <a14:shadowObscured xmlns:a14="http://schemas.microsoft.com/office/drawing/2010/main"/>
                                            </a:ext>
                                          </a:extLst>
                                        </pic:spPr>
                                      </pic:pic>
                                    </a:graphicData>
                                  </a:graphic>
                                </wp:inline>
                              </w:drawing>
                            </w:r>
                          </w:p>
                          <w:p w14:paraId="71E0E019" w14:textId="5DF047B9" w:rsidR="007B7129" w:rsidRDefault="00621755" w:rsidP="00DF51F5">
                            <w:pPr>
                              <w:pStyle w:val="Caption"/>
                            </w:pPr>
                            <w:bookmarkStart w:id="389" w:name="_Ref102583418"/>
                            <w:bookmarkStart w:id="390" w:name="_Toc100748321"/>
                            <w:r>
                              <w:t>Figure 3.</w:t>
                            </w:r>
                            <w:fldSimple w:instr=" SEQ Figure \* ARABIC ">
                              <w:r w:rsidR="00AA5AAC">
                                <w:rPr>
                                  <w:noProof/>
                                </w:rPr>
                                <w:t>14</w:t>
                              </w:r>
                            </w:fldSimple>
                            <w:bookmarkStart w:id="391" w:name="_Toc100243266"/>
                            <w:bookmarkEnd w:id="389"/>
                            <w:r w:rsidR="007B7129">
                              <w:t xml:space="preserve">. Predicted </w:t>
                            </w:r>
                            <w:proofErr w:type="spellStart"/>
                            <w:r w:rsidR="007B7129">
                              <w:t>pKa</w:t>
                            </w:r>
                            <w:proofErr w:type="spellEnd"/>
                            <w:r w:rsidR="007B7129">
                              <w:t xml:space="preserve"> values of C-H in unsubstituted pyridine (left) and </w:t>
                            </w:r>
                            <w:r w:rsidR="007B7129">
                              <w:rPr>
                                <w:rFonts w:cs="Times New Roman"/>
                              </w:rPr>
                              <w:t>β</w:t>
                            </w:r>
                            <w:r w:rsidR="007B7129">
                              <w:t>-carboline (right).</w:t>
                            </w:r>
                            <w:bookmarkEnd w:id="390"/>
                            <w:bookmarkEnd w:id="391"/>
                            <w:r w:rsidR="007B7129">
                              <w:t xml:space="preserve"> </w:t>
                            </w:r>
                          </w:p>
                          <w:p w14:paraId="5B020E93" w14:textId="77777777" w:rsidR="007B7129" w:rsidRPr="007135C0" w:rsidRDefault="007B7129" w:rsidP="007B7129">
                            <w:pPr>
                              <w:spacing w:line="240" w:lineRule="auto"/>
                            </w:pPr>
                            <w:r>
                              <w:t xml:space="preserve">Color code: Red is the most acidic position in a molecule. Blue are positions which are acidic but unfavorable in lithiation (due to electronic repulsion). </w:t>
                            </w:r>
                          </w:p>
                        </w:txbxContent>
                      </wps:txbx>
                      <wps:bodyPr rot="0" vert="horz" wrap="square" lIns="91440" tIns="45720" rIns="91440" bIns="45720" anchor="t" anchorCtr="0">
                        <a:noAutofit/>
                      </wps:bodyPr>
                    </wps:wsp>
                  </a:graphicData>
                </a:graphic>
              </wp:inline>
            </w:drawing>
          </mc:Choice>
          <mc:Fallback>
            <w:pict>
              <v:shape w14:anchorId="4FE2402E" id="_x0000_s1102" type="#_x0000_t202" style="width:386.7pt;height:16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daFgIAACgEAAAOAAAAZHJzL2Uyb0RvYy54bWysU9tu2zAMfR+wfxD0vtjxnD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">
                <v:textbox>
                  <w:txbxContent>
                    <w:p w14:paraId="0E603896" w14:textId="77777777" w:rsidR="00621755" w:rsidRDefault="007B7129" w:rsidP="00621755">
                      <w:pPr>
                        <w:keepNext/>
                        <w:spacing w:after="0"/>
                        <w:jc w:val="center"/>
                      </w:pPr>
                      <w:r>
                        <w:rPr>
                          <w:noProof/>
                        </w:rPr>
                        <w:drawing>
                          <wp:inline distT="0" distB="0" distL="0" distR="0" wp14:anchorId="10B8C493" wp14:editId="6F398390">
                            <wp:extent cx="866277" cy="841209"/>
                            <wp:effectExtent l="0" t="0" r="0" b="0"/>
                            <wp:docPr id="289" name="Picture 2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a:extLst>
                                        <a:ext uri="{C183D7F6-B498-43B3-948B-1728B52AA6E4}">
                                          <adec:decorative xmlns:adec="http://schemas.microsoft.com/office/drawing/2017/decorative" val="1"/>
                                        </a:ext>
                                      </a:extLst>
                                    </pic:cNvPr>
                                    <pic:cNvPicPr/>
                                  </pic:nvPicPr>
                                  <pic:blipFill rotWithShape="1">
                                    <a:blip r:embed="rId319"/>
                                    <a:srcRect l="50294" t="22432" r="45688" b="63846"/>
                                    <a:stretch/>
                                  </pic:blipFill>
                                  <pic:spPr bwMode="auto">
                                    <a:xfrm>
                                      <a:off x="0" y="0"/>
                                      <a:ext cx="879173" cy="853732"/>
                                    </a:xfrm>
                                    <a:prstGeom prst="rect">
                                      <a:avLst/>
                                    </a:prstGeom>
                                    <a:ln>
                                      <a:noFill/>
                                    </a:ln>
                                    <a:extLst>
                                      <a:ext uri="{53640926-AAD7-44D8-BBD7-CCE9431645EC}">
                                        <a14:shadowObscured xmlns:a14="http://schemas.microsoft.com/office/drawing/2010/main"/>
                                      </a:ext>
                                    </a:extLst>
                                  </pic:spPr>
                                </pic:pic>
                              </a:graphicData>
                            </a:graphic>
                          </wp:inline>
                        </w:drawing>
                      </w:r>
                      <w:r>
                        <w:tab/>
                      </w:r>
                      <w:r>
                        <w:rPr>
                          <w:noProof/>
                        </w:rPr>
                        <w:drawing>
                          <wp:inline distT="0" distB="0" distL="0" distR="0" wp14:anchorId="67305CC0" wp14:editId="28EB8AD3">
                            <wp:extent cx="1764115" cy="874643"/>
                            <wp:effectExtent l="0" t="0" r="7620" b="1905"/>
                            <wp:docPr id="290" name="Picture 290" descr="Predicted pKa values of C-H in unsubstituted pyridine (left) and β-carboline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Predicted pKa values of C-H in unsubstituted pyridine (left) and β-carboline (right). "/>
                                    <pic:cNvPicPr/>
                                  </pic:nvPicPr>
                                  <pic:blipFill rotWithShape="1">
                                    <a:blip r:embed="rId320"/>
                                    <a:srcRect l="50008" t="22474" r="40074" b="60233"/>
                                    <a:stretch/>
                                  </pic:blipFill>
                                  <pic:spPr bwMode="auto">
                                    <a:xfrm>
                                      <a:off x="0" y="0"/>
                                      <a:ext cx="1777169" cy="881115"/>
                                    </a:xfrm>
                                    <a:prstGeom prst="rect">
                                      <a:avLst/>
                                    </a:prstGeom>
                                    <a:ln>
                                      <a:noFill/>
                                    </a:ln>
                                    <a:extLst>
                                      <a:ext uri="{53640926-AAD7-44D8-BBD7-CCE9431645EC}">
                                        <a14:shadowObscured xmlns:a14="http://schemas.microsoft.com/office/drawing/2010/main"/>
                                      </a:ext>
                                    </a:extLst>
                                  </pic:spPr>
                                </pic:pic>
                              </a:graphicData>
                            </a:graphic>
                          </wp:inline>
                        </w:drawing>
                      </w:r>
                    </w:p>
                    <w:p w14:paraId="71E0E019" w14:textId="5DF047B9" w:rsidR="007B7129" w:rsidRDefault="00621755" w:rsidP="00DF51F5">
                      <w:pPr>
                        <w:pStyle w:val="Caption"/>
                      </w:pPr>
                      <w:bookmarkStart w:id="392" w:name="_Ref102583418"/>
                      <w:bookmarkStart w:id="393" w:name="_Toc100748321"/>
                      <w:r>
                        <w:t>Figure 3.</w:t>
                      </w:r>
                      <w:fldSimple w:instr=" SEQ Figure \* ARABIC ">
                        <w:r w:rsidR="00AA5AAC">
                          <w:rPr>
                            <w:noProof/>
                          </w:rPr>
                          <w:t>14</w:t>
                        </w:r>
                      </w:fldSimple>
                      <w:bookmarkStart w:id="394" w:name="_Toc100243266"/>
                      <w:bookmarkEnd w:id="392"/>
                      <w:r w:rsidR="007B7129">
                        <w:t xml:space="preserve">. Predicted </w:t>
                      </w:r>
                      <w:proofErr w:type="spellStart"/>
                      <w:r w:rsidR="007B7129">
                        <w:t>pKa</w:t>
                      </w:r>
                      <w:proofErr w:type="spellEnd"/>
                      <w:r w:rsidR="007B7129">
                        <w:t xml:space="preserve"> values of C-H in unsubstituted pyridine (left) and </w:t>
                      </w:r>
                      <w:r w:rsidR="007B7129">
                        <w:rPr>
                          <w:rFonts w:cs="Times New Roman"/>
                        </w:rPr>
                        <w:t>β</w:t>
                      </w:r>
                      <w:r w:rsidR="007B7129">
                        <w:t>-carboline (right).</w:t>
                      </w:r>
                      <w:bookmarkEnd w:id="393"/>
                      <w:bookmarkEnd w:id="394"/>
                      <w:r w:rsidR="007B7129">
                        <w:t xml:space="preserve"> </w:t>
                      </w:r>
                    </w:p>
                    <w:p w14:paraId="5B020E93" w14:textId="77777777" w:rsidR="007B7129" w:rsidRPr="007135C0" w:rsidRDefault="007B7129" w:rsidP="007B7129">
                      <w:pPr>
                        <w:spacing w:line="240" w:lineRule="auto"/>
                      </w:pPr>
                      <w:r>
                        <w:t xml:space="preserve">Color code: Red is the most acidic position in a molecule. Blue are positions which are acidic but unfavorable in lithiation (due to electronic repulsion). </w:t>
                      </w:r>
                    </w:p>
                  </w:txbxContent>
                </v:textbox>
                <w10:anchorlock/>
              </v:shape>
            </w:pict>
          </mc:Fallback>
        </mc:AlternateContent>
      </w:r>
    </w:p>
    <w:p w14:paraId="2348E0E2" w14:textId="77777777" w:rsidR="007B7129" w:rsidRPr="007B7129" w:rsidRDefault="007B7129" w:rsidP="00595321">
      <w:pPr>
        <w:pStyle w:val="Subsection"/>
      </w:pPr>
      <w:bookmarkStart w:id="395" w:name="_Toc97337862"/>
      <w:bookmarkStart w:id="396" w:name="_Toc100241917"/>
      <w:bookmarkStart w:id="397" w:name="_Toc102586281"/>
      <w:r w:rsidRPr="007B7129">
        <w:t>3.4.2 Discussion on the products of β-carboline substitution reactions.</w:t>
      </w:r>
      <w:bookmarkEnd w:id="395"/>
      <w:bookmarkEnd w:id="396"/>
      <w:bookmarkEnd w:id="397"/>
      <w:r w:rsidRPr="007B7129">
        <w:t xml:space="preserve"> </w:t>
      </w:r>
    </w:p>
    <w:p w14:paraId="3DE80F53" w14:textId="77777777" w:rsidR="007B7129" w:rsidRPr="007B7129" w:rsidRDefault="007B7129" w:rsidP="007B7129">
      <w:pPr>
        <w:spacing w:after="0"/>
        <w:ind w:left="1440" w:firstLine="720"/>
        <w:rPr>
          <w:rFonts w:eastAsia="Times New Roman"/>
          <w:szCs w:val="20"/>
        </w:rPr>
      </w:pPr>
      <w:r w:rsidRPr="007B7129">
        <w:rPr>
          <w:noProof/>
        </w:rPr>
        <mc:AlternateContent>
          <mc:Choice Requires="wps">
            <w:drawing>
              <wp:inline distT="0" distB="0" distL="0" distR="0" wp14:anchorId="62604DA4" wp14:editId="238F7F12">
                <wp:extent cx="3164205" cy="1614115"/>
                <wp:effectExtent l="0" t="0" r="17145" b="24765"/>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1614115"/>
                        </a:xfrm>
                        <a:prstGeom prst="rect">
                          <a:avLst/>
                        </a:prstGeom>
                        <a:solidFill>
                          <a:srgbClr val="FFFFFF"/>
                        </a:solidFill>
                        <a:ln w="9525">
                          <a:solidFill>
                            <a:srgbClr val="000000"/>
                          </a:solidFill>
                          <a:miter lim="800000"/>
                          <a:headEnd/>
                          <a:tailEnd/>
                        </a:ln>
                      </wps:spPr>
                      <wps:txbx>
                        <w:txbxContent>
                          <w:p w14:paraId="248AD8AF" w14:textId="77777777" w:rsidR="00621755" w:rsidRDefault="007B7129" w:rsidP="00DF51F5">
                            <w:pPr>
                              <w:pStyle w:val="Caption"/>
                            </w:pPr>
                            <w:r>
                              <w:rPr>
                                <w:b w:val="0"/>
                              </w:rPr>
                              <w:object w:dxaOrig="1867" w:dyaOrig="1433" w14:anchorId="04E5A457">
                                <v:shape id="_x0000_i1111" type="#_x0000_t75" style="width:92.1pt;height:71.55pt">
                                  <v:imagedata r:id="rId321" o:title=""/>
                                </v:shape>
                                <o:OLEObject Type="Embed" ProgID="ChemDraw.Document.6.0" ShapeID="_x0000_i1111" DrawAspect="Content" ObjectID="_1713353513" r:id="rId322"/>
                              </w:object>
                            </w:r>
                            <w:r>
                              <w:t xml:space="preserve"> </w:t>
                            </w:r>
                            <w:r>
                              <w:rPr>
                                <w:b w:val="0"/>
                              </w:rPr>
                              <w:object w:dxaOrig="1490" w:dyaOrig="1522" w14:anchorId="78DE5247">
                                <v:shape id="_x0000_i1113" type="#_x0000_t75" style="width:74.35pt;height:76.2pt">
                                  <v:imagedata r:id="rId323" o:title=""/>
                                </v:shape>
                                <o:OLEObject Type="Embed" ProgID="ChemDraw.Document.6.0" ShapeID="_x0000_i1113" DrawAspect="Content" ObjectID="_1713353514" r:id="rId324"/>
                              </w:object>
                            </w:r>
                          </w:p>
                          <w:p w14:paraId="2A5055C4" w14:textId="557A9647" w:rsidR="007B7129" w:rsidRDefault="00621755" w:rsidP="00DF51F5">
                            <w:pPr>
                              <w:pStyle w:val="Caption"/>
                            </w:pPr>
                            <w:bookmarkStart w:id="398" w:name="_Ref102583395"/>
                            <w:bookmarkStart w:id="399" w:name="_Toc100748322"/>
                            <w:r>
                              <w:t>Figure 3.</w:t>
                            </w:r>
                            <w:fldSimple w:instr=" SEQ Figure \* ARABIC ">
                              <w:r w:rsidR="00AA5AAC">
                                <w:rPr>
                                  <w:noProof/>
                                </w:rPr>
                                <w:t>15</w:t>
                              </w:r>
                            </w:fldSimple>
                            <w:bookmarkStart w:id="400" w:name="_Toc100243267"/>
                            <w:bookmarkEnd w:id="398"/>
                            <w:r w:rsidR="007B7129">
                              <w:t xml:space="preserve">. Structures of products 3.47 and 3.48 from </w:t>
                            </w:r>
                            <w:r w:rsidR="007B7129">
                              <w:rPr>
                                <w:rFonts w:cs="Times New Roman"/>
                              </w:rPr>
                              <w:t>β</w:t>
                            </w:r>
                            <w:r w:rsidR="007B7129">
                              <w:t>-carboline substitution reactions.</w:t>
                            </w:r>
                            <w:bookmarkEnd w:id="399"/>
                            <w:bookmarkEnd w:id="400"/>
                            <w:r w:rsidR="007B7129">
                              <w:t xml:space="preserve"> </w:t>
                            </w:r>
                          </w:p>
                        </w:txbxContent>
                      </wps:txbx>
                      <wps:bodyPr rot="0" vert="horz" wrap="square" lIns="91440" tIns="45720" rIns="91440" bIns="45720" anchor="t" anchorCtr="0">
                        <a:noAutofit/>
                      </wps:bodyPr>
                    </wps:wsp>
                  </a:graphicData>
                </a:graphic>
              </wp:inline>
            </w:drawing>
          </mc:Choice>
          <mc:Fallback>
            <w:pict>
              <v:shape w14:anchorId="62604DA4" id="_x0000_s1103" type="#_x0000_t202" style="width:249.15pt;height:12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">
                <v:textbox>
                  <w:txbxContent>
                    <w:p w14:paraId="248AD8AF" w14:textId="77777777" w:rsidR="00621755" w:rsidRDefault="007B7129" w:rsidP="00DF51F5">
                      <w:pPr>
                        <w:pStyle w:val="Caption"/>
                      </w:pPr>
                      <w:r>
                        <w:rPr>
                          <w:b w:val="0"/>
                        </w:rPr>
                        <w:object w:dxaOrig="1867" w:dyaOrig="1433" w14:anchorId="04E5A457">
                          <v:shape id="_x0000_i1111" type="#_x0000_t75" style="width:92.1pt;height:71.55pt">
                            <v:imagedata r:id="rId321" o:title=""/>
                          </v:shape>
                          <o:OLEObject Type="Embed" ProgID="ChemDraw.Document.6.0" ShapeID="_x0000_i1111" DrawAspect="Content" ObjectID="_1713353513" r:id="rId325"/>
                        </w:object>
                      </w:r>
                      <w:r>
                        <w:t xml:space="preserve"> </w:t>
                      </w:r>
                      <w:r>
                        <w:rPr>
                          <w:b w:val="0"/>
                        </w:rPr>
                        <w:object w:dxaOrig="1490" w:dyaOrig="1522" w14:anchorId="78DE5247">
                          <v:shape id="_x0000_i1113" type="#_x0000_t75" style="width:74.35pt;height:76.2pt">
                            <v:imagedata r:id="rId323" o:title=""/>
                          </v:shape>
                          <o:OLEObject Type="Embed" ProgID="ChemDraw.Document.6.0" ShapeID="_x0000_i1113" DrawAspect="Content" ObjectID="_1713353514" r:id="rId326"/>
                        </w:object>
                      </w:r>
                    </w:p>
                    <w:p w14:paraId="2A5055C4" w14:textId="557A9647" w:rsidR="007B7129" w:rsidRDefault="00621755" w:rsidP="00DF51F5">
                      <w:pPr>
                        <w:pStyle w:val="Caption"/>
                      </w:pPr>
                      <w:bookmarkStart w:id="401" w:name="_Ref102583395"/>
                      <w:bookmarkStart w:id="402" w:name="_Toc100748322"/>
                      <w:r>
                        <w:t>Figure 3.</w:t>
                      </w:r>
                      <w:fldSimple w:instr=" SEQ Figure \* ARABIC ">
                        <w:r w:rsidR="00AA5AAC">
                          <w:rPr>
                            <w:noProof/>
                          </w:rPr>
                          <w:t>15</w:t>
                        </w:r>
                      </w:fldSimple>
                      <w:bookmarkStart w:id="403" w:name="_Toc100243267"/>
                      <w:bookmarkEnd w:id="401"/>
                      <w:r w:rsidR="007B7129">
                        <w:t xml:space="preserve">. Structures of products 3.47 and 3.48 from </w:t>
                      </w:r>
                      <w:r w:rsidR="007B7129">
                        <w:rPr>
                          <w:rFonts w:cs="Times New Roman"/>
                        </w:rPr>
                        <w:t>β</w:t>
                      </w:r>
                      <w:r w:rsidR="007B7129">
                        <w:t>-carboline substitution reactions.</w:t>
                      </w:r>
                      <w:bookmarkEnd w:id="402"/>
                      <w:bookmarkEnd w:id="403"/>
                      <w:r w:rsidR="007B7129">
                        <w:t xml:space="preserve"> </w:t>
                      </w:r>
                    </w:p>
                  </w:txbxContent>
                </v:textbox>
                <w10:anchorlock/>
              </v:shape>
            </w:pict>
          </mc:Fallback>
        </mc:AlternateContent>
      </w:r>
      <w:r w:rsidRPr="007B7129">
        <w:rPr>
          <w:rFonts w:eastAsia="Times New Roman"/>
          <w:szCs w:val="20"/>
        </w:rPr>
        <w:tab/>
      </w:r>
    </w:p>
    <w:p w14:paraId="0AA0B919" w14:textId="3287D35D" w:rsidR="007B7129" w:rsidRPr="007B7129" w:rsidRDefault="007B7129" w:rsidP="00E138C0">
      <w:pPr>
        <w:ind w:firstLine="720"/>
        <w:rPr>
          <w:rFonts w:eastAsia="Times New Roman"/>
          <w:szCs w:val="20"/>
        </w:rPr>
      </w:pPr>
      <w:r w:rsidRPr="007B7129">
        <w:rPr>
          <w:rFonts w:eastAsia="Times New Roman"/>
          <w:szCs w:val="20"/>
        </w:rPr>
        <w:t xml:space="preserve">One </w:t>
      </w:r>
      <w:r w:rsidRPr="007B7129">
        <w:rPr>
          <w:rFonts w:eastAsia="Times New Roman" w:cs="Times New Roman"/>
          <w:szCs w:val="20"/>
        </w:rPr>
        <w:t>β</w:t>
      </w:r>
      <w:r w:rsidRPr="007B7129">
        <w:rPr>
          <w:rFonts w:eastAsia="Times New Roman"/>
          <w:szCs w:val="20"/>
        </w:rPr>
        <w:t xml:space="preserve">-carboline substitution reaction from </w:t>
      </w:r>
      <w:r w:rsidRPr="007B7129">
        <w:rPr>
          <w:rFonts w:eastAsia="Times New Roman"/>
          <w:b/>
          <w:bCs/>
          <w:szCs w:val="20"/>
        </w:rPr>
        <w:fldChar w:fldCharType="begin"/>
      </w:r>
      <w:r w:rsidRPr="007B7129">
        <w:rPr>
          <w:rFonts w:eastAsia="Times New Roman"/>
          <w:b/>
          <w:bCs/>
          <w:szCs w:val="20"/>
        </w:rPr>
        <w:instrText xml:space="preserve"> REF _Ref87209609 \h  \* MERGEFORMAT </w:instrText>
      </w:r>
      <w:r w:rsidRPr="007B7129">
        <w:rPr>
          <w:rFonts w:eastAsia="Times New Roman"/>
          <w:b/>
          <w:bCs/>
          <w:szCs w:val="20"/>
        </w:rPr>
      </w:r>
      <w:r w:rsidRPr="007B7129">
        <w:rPr>
          <w:rFonts w:eastAsia="Times New Roman"/>
          <w:b/>
          <w:bCs/>
          <w:szCs w:val="20"/>
        </w:rPr>
        <w:fldChar w:fldCharType="separate"/>
      </w:r>
      <w:r w:rsidR="00AA5AAC" w:rsidRPr="00AA5AAC">
        <w:rPr>
          <w:b/>
          <w:bCs/>
        </w:rPr>
        <w:t xml:space="preserve">Table </w:t>
      </w:r>
      <w:r w:rsidR="00AA5AAC" w:rsidRPr="00AA5AAC">
        <w:rPr>
          <w:b/>
          <w:bCs/>
          <w:noProof/>
        </w:rPr>
        <w:t>3.10</w:t>
      </w:r>
      <w:r w:rsidRPr="007B7129">
        <w:rPr>
          <w:rFonts w:eastAsia="Times New Roman"/>
          <w:b/>
          <w:bCs/>
          <w:szCs w:val="20"/>
        </w:rPr>
        <w:fldChar w:fldCharType="end"/>
      </w:r>
      <w:r w:rsidRPr="007B7129">
        <w:rPr>
          <w:rFonts w:eastAsia="Times New Roman"/>
          <w:szCs w:val="20"/>
        </w:rPr>
        <w:t xml:space="preserve"> did provide the new product </w:t>
      </w:r>
      <w:r w:rsidRPr="007B7129">
        <w:rPr>
          <w:rFonts w:eastAsia="Times New Roman"/>
          <w:b/>
          <w:bCs/>
          <w:szCs w:val="20"/>
        </w:rPr>
        <w:t>3.47</w:t>
      </w:r>
      <w:r w:rsidRPr="007B7129">
        <w:rPr>
          <w:rFonts w:eastAsia="Times New Roman"/>
          <w:szCs w:val="20"/>
        </w:rPr>
        <w:t xml:space="preserve">, albeit in a poor 14% yield. </w:t>
      </w:r>
      <w:r w:rsidRPr="007B7129">
        <w:rPr>
          <w:rFonts w:eastAsia="Times New Roman" w:cs="Times New Roman"/>
          <w:szCs w:val="20"/>
        </w:rPr>
        <w:t>β</w:t>
      </w:r>
      <w:r w:rsidRPr="007B7129">
        <w:rPr>
          <w:rFonts w:eastAsia="Times New Roman"/>
          <w:szCs w:val="20"/>
        </w:rPr>
        <w:t>-carboline without a protecting group (</w:t>
      </w:r>
      <w:r w:rsidRPr="007B7129">
        <w:rPr>
          <w:rFonts w:eastAsia="Times New Roman"/>
          <w:b/>
          <w:bCs/>
          <w:szCs w:val="20"/>
        </w:rPr>
        <w:t>D1</w:t>
      </w:r>
      <w:r w:rsidRPr="007B7129">
        <w:rPr>
          <w:rFonts w:eastAsia="Times New Roman"/>
          <w:szCs w:val="20"/>
        </w:rPr>
        <w:t xml:space="preserve">) was dissolved in THF at 0 </w:t>
      </w:r>
      <w:r w:rsidRPr="007B7129">
        <w:rPr>
          <w:rFonts w:eastAsia="Times New Roman" w:cs="Times New Roman"/>
          <w:szCs w:val="20"/>
        </w:rPr>
        <w:t>̊</w:t>
      </w:r>
      <w:r w:rsidRPr="007B7129">
        <w:rPr>
          <w:rFonts w:eastAsia="Times New Roman"/>
          <w:szCs w:val="20"/>
        </w:rPr>
        <w:t xml:space="preserve">C under anhydrous conditions, followed by the addition of </w:t>
      </w:r>
      <w:r w:rsidRPr="007B7129">
        <w:t>BF</w:t>
      </w:r>
      <w:r w:rsidRPr="007B7129">
        <w:rPr>
          <w:vertAlign w:val="subscript"/>
        </w:rPr>
        <w:t>3</w:t>
      </w:r>
      <w:r w:rsidRPr="007B7129">
        <w:t>OEt</w:t>
      </w:r>
      <w:r w:rsidRPr="007B7129">
        <w:rPr>
          <w:vertAlign w:val="subscript"/>
        </w:rPr>
        <w:t>2</w:t>
      </w:r>
      <w:r w:rsidRPr="007B7129">
        <w:rPr>
          <w:rFonts w:eastAsia="Times New Roman"/>
          <w:szCs w:val="20"/>
        </w:rPr>
        <w:t xml:space="preserve">. After stirring for about thirty minutes at 0 </w:t>
      </w:r>
      <w:r w:rsidRPr="007B7129">
        <w:rPr>
          <w:rFonts w:eastAsia="Times New Roman" w:cs="Times New Roman"/>
          <w:szCs w:val="20"/>
        </w:rPr>
        <w:t>̊</w:t>
      </w:r>
      <w:r w:rsidRPr="007B7129">
        <w:rPr>
          <w:rFonts w:eastAsia="Times New Roman"/>
          <w:szCs w:val="20"/>
        </w:rPr>
        <w:t xml:space="preserve">C, n-BuLi was added and the reaction stirred for another thirty minutes, to allow for deprotonation/lithiation. Electrophile </w:t>
      </w:r>
      <w:r w:rsidRPr="007B7129">
        <w:rPr>
          <w:rFonts w:eastAsia="Times New Roman"/>
          <w:b/>
          <w:bCs/>
          <w:szCs w:val="20"/>
        </w:rPr>
        <w:t>3.45</w:t>
      </w:r>
      <w:r w:rsidRPr="007B7129">
        <w:rPr>
          <w:rFonts w:eastAsia="Times New Roman"/>
          <w:szCs w:val="20"/>
        </w:rPr>
        <w:t xml:space="preserve"> was then added dropwise. This reaction seemed promising at first, because a single product appeared by TLC during the reaction. However, </w:t>
      </w:r>
      <w:r w:rsidRPr="007B7129">
        <w:rPr>
          <w:rFonts w:eastAsia="Times New Roman"/>
          <w:szCs w:val="20"/>
        </w:rPr>
        <w:lastRenderedPageBreak/>
        <w:t>structural characterization by NMR surprisingly found the product to be 1-(tetrahydrofuran-2-yl)-9</w:t>
      </w:r>
      <w:r w:rsidRPr="007B7129">
        <w:rPr>
          <w:rFonts w:eastAsia="Times New Roman"/>
          <w:i/>
          <w:iCs/>
          <w:szCs w:val="20"/>
        </w:rPr>
        <w:t>H</w:t>
      </w:r>
      <w:r w:rsidRPr="007B7129">
        <w:rPr>
          <w:rFonts w:eastAsia="Times New Roman"/>
          <w:szCs w:val="20"/>
        </w:rPr>
        <w:t>-pyrido[3,4-</w:t>
      </w:r>
      <w:proofErr w:type="gramStart"/>
      <w:r w:rsidRPr="007B7129">
        <w:rPr>
          <w:rFonts w:eastAsia="Times New Roman"/>
          <w:i/>
          <w:iCs/>
          <w:szCs w:val="20"/>
        </w:rPr>
        <w:t>b</w:t>
      </w:r>
      <w:r w:rsidRPr="007B7129">
        <w:rPr>
          <w:rFonts w:eastAsia="Times New Roman"/>
          <w:szCs w:val="20"/>
        </w:rPr>
        <w:t>]indole</w:t>
      </w:r>
      <w:proofErr w:type="gramEnd"/>
      <w:r w:rsidRPr="007B7129">
        <w:rPr>
          <w:rFonts w:eastAsia="Times New Roman"/>
          <w:szCs w:val="20"/>
        </w:rPr>
        <w:t xml:space="preserve"> (</w:t>
      </w:r>
      <w:r w:rsidRPr="007B7129">
        <w:rPr>
          <w:rFonts w:eastAsia="Times New Roman"/>
          <w:b/>
          <w:bCs/>
          <w:szCs w:val="20"/>
        </w:rPr>
        <w:t>3.47</w:t>
      </w:r>
      <w:r w:rsidRPr="007B7129">
        <w:rPr>
          <w:rFonts w:eastAsia="Times New Roman"/>
          <w:szCs w:val="20"/>
        </w:rPr>
        <w:t xml:space="preserve">). Ethers such as THF have been known to undergo lithiation with </w:t>
      </w:r>
      <w:r w:rsidRPr="007B7129">
        <w:rPr>
          <w:rFonts w:eastAsia="Times New Roman"/>
          <w:i/>
          <w:iCs/>
          <w:szCs w:val="20"/>
        </w:rPr>
        <w:t>n</w:t>
      </w:r>
      <w:r w:rsidRPr="007B7129">
        <w:rPr>
          <w:rFonts w:eastAsia="Times New Roman"/>
          <w:szCs w:val="20"/>
        </w:rPr>
        <w:t>-BuLi in a temperature-dependent manner.</w:t>
      </w:r>
      <w:r w:rsidRPr="007B7129">
        <w:rPr>
          <w:rFonts w:eastAsia="Times New Roman"/>
          <w:szCs w:val="20"/>
        </w:rPr>
        <w:fldChar w:fldCharType="begin"/>
      </w:r>
      <w:r w:rsidRPr="007B7129">
        <w:rPr>
          <w:rFonts w:eastAsia="Times New Roman"/>
          <w:szCs w:val="20"/>
        </w:rPr>
        <w:instrText xml:space="preserve"> ADDIN ZOTERO_ITEM CSL_CITATION {"citationID":"coqtEwjY","properties":{"formattedCitation":"\\super 89\\nosupersub{}","plainCitation":"89","noteIndex":0},"citationItems":[{"id":690,"uris":["http://zotero.org/users/6503767/items/YPBQRBND"],"itemData":{"id":690,"type":"book","publisher":"WIley","title":"Organometallics in Organic Synthesis","volume":"172","author":[{"family":"Schlosser","given":"M"}],"issued":{"date-parts":[["1994"]]}}}],"schema":"https://github.com/citation-style-language/schema/raw/master/csl-citation.json"} </w:instrText>
      </w:r>
      <w:r w:rsidRPr="007B7129">
        <w:rPr>
          <w:rFonts w:eastAsia="Times New Roman"/>
          <w:szCs w:val="20"/>
        </w:rPr>
        <w:fldChar w:fldCharType="separate"/>
      </w:r>
      <w:r w:rsidRPr="007B7129">
        <w:rPr>
          <w:rFonts w:cs="Times New Roman"/>
          <w:szCs w:val="24"/>
          <w:vertAlign w:val="superscript"/>
        </w:rPr>
        <w:t>89</w:t>
      </w:r>
      <w:r w:rsidRPr="007B7129">
        <w:rPr>
          <w:rFonts w:eastAsia="Times New Roman"/>
          <w:szCs w:val="20"/>
        </w:rPr>
        <w:fldChar w:fldCharType="end"/>
      </w:r>
      <w:r w:rsidRPr="007B7129">
        <w:rPr>
          <w:rFonts w:eastAsia="Times New Roman"/>
          <w:szCs w:val="20"/>
        </w:rPr>
        <w:t xml:space="preserve"> As such, reducing the temperature to avoid the formation of THF-Li is worth interrogating in future studies. Despite the unwanted side product of this </w:t>
      </w:r>
      <w:r w:rsidRPr="007B7129">
        <w:rPr>
          <w:rFonts w:eastAsia="Times New Roman"/>
          <w:i/>
          <w:iCs/>
          <w:szCs w:val="20"/>
        </w:rPr>
        <w:t>n</w:t>
      </w:r>
      <w:r w:rsidRPr="007B7129">
        <w:rPr>
          <w:rFonts w:eastAsia="Times New Roman"/>
          <w:szCs w:val="20"/>
        </w:rPr>
        <w:t xml:space="preserve">-BuLi reaction, it did provide some useful insight for </w:t>
      </w:r>
      <w:r w:rsidRPr="007B7129">
        <w:rPr>
          <w:rFonts w:eastAsia="Times New Roman" w:cs="Times New Roman"/>
          <w:szCs w:val="20"/>
        </w:rPr>
        <w:t>β</w:t>
      </w:r>
      <w:r w:rsidRPr="007B7129">
        <w:rPr>
          <w:rFonts w:eastAsia="Times New Roman"/>
          <w:szCs w:val="20"/>
        </w:rPr>
        <w:t>-carboline lithiation reactivity. Since THF-Li is expected to be nucleophilic, this suggests that the boron is indeed coordinating with the sp</w:t>
      </w:r>
      <w:r w:rsidRPr="007B7129">
        <w:rPr>
          <w:rFonts w:eastAsia="Times New Roman"/>
          <w:szCs w:val="20"/>
          <w:vertAlign w:val="superscript"/>
        </w:rPr>
        <w:t>2</w:t>
      </w:r>
      <w:r w:rsidRPr="007B7129">
        <w:rPr>
          <w:rFonts w:eastAsia="Times New Roman"/>
          <w:szCs w:val="20"/>
        </w:rPr>
        <w:t xml:space="preserve"> nitrogen, pulling electron density towards the nitrogen atom, and thus forming a relatively electrophilic C1. </w:t>
      </w:r>
    </w:p>
    <w:p w14:paraId="52E9B4AB" w14:textId="77777777" w:rsidR="007B7129" w:rsidRPr="007B7129" w:rsidRDefault="007B7129" w:rsidP="007B7129">
      <w:pPr>
        <w:ind w:left="720" w:firstLine="720"/>
        <w:rPr>
          <w:rFonts w:eastAsia="Times New Roman"/>
          <w:szCs w:val="20"/>
        </w:rPr>
      </w:pPr>
      <w:r w:rsidRPr="007B7129">
        <w:rPr>
          <w:rFonts w:eastAsia="DengXian"/>
          <w:noProof/>
          <w:color w:val="000000"/>
          <w:kern w:val="2"/>
        </w:rPr>
        <mc:AlternateContent>
          <mc:Choice Requires="wps">
            <w:drawing>
              <wp:inline distT="0" distB="0" distL="0" distR="0" wp14:anchorId="530A9DFE" wp14:editId="595C0BEA">
                <wp:extent cx="3641090" cy="1757238"/>
                <wp:effectExtent l="0" t="0" r="16510" b="14605"/>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090" cy="1757238"/>
                        </a:xfrm>
                        <a:prstGeom prst="rect">
                          <a:avLst/>
                        </a:prstGeom>
                        <a:solidFill>
                          <a:srgbClr val="FFFFFF"/>
                        </a:solidFill>
                        <a:ln w="9525">
                          <a:solidFill>
                            <a:srgbClr val="000000"/>
                          </a:solidFill>
                          <a:miter lim="800000"/>
                          <a:headEnd/>
                          <a:tailEnd/>
                        </a:ln>
                      </wps:spPr>
                      <wps:txbx>
                        <w:txbxContent>
                          <w:p w14:paraId="04FB405C" w14:textId="77777777" w:rsidR="007B7129" w:rsidRDefault="007B7129" w:rsidP="007B7129">
                            <w:pPr>
                              <w:keepNext/>
                              <w:spacing w:after="0"/>
                              <w:jc w:val="center"/>
                            </w:pPr>
                            <w:r>
                              <w:object w:dxaOrig="4227" w:dyaOrig="1526" w14:anchorId="2C2E3D87">
                                <v:shape id="_x0000_i1115" type="#_x0000_t75" style="width:212.25pt;height:76.2pt">
                                  <v:imagedata r:id="rId327" o:title=""/>
                                </v:shape>
                                <o:OLEObject Type="Embed" ProgID="ChemDraw.Document.6.0" ShapeID="_x0000_i1115" DrawAspect="Content" ObjectID="_1713353515" r:id="rId328"/>
                              </w:object>
                            </w:r>
                          </w:p>
                          <w:p w14:paraId="35E0B482" w14:textId="67974965" w:rsidR="007B7129" w:rsidRDefault="007B7129" w:rsidP="00DF51F5">
                            <w:pPr>
                              <w:pStyle w:val="Caption"/>
                            </w:pPr>
                            <w:bookmarkStart w:id="404" w:name="_Ref97333328"/>
                            <w:r>
                              <w:t>Scheme 3.</w:t>
                            </w:r>
                            <w:bookmarkEnd w:id="404"/>
                            <w:r w:rsidR="00AC327E">
                              <w:t>15</w:t>
                            </w:r>
                            <w:r>
                              <w:t xml:space="preserve">. </w:t>
                            </w:r>
                            <w:r>
                              <w:rPr>
                                <w:rFonts w:cs="Times New Roman"/>
                              </w:rPr>
                              <w:t>β</w:t>
                            </w:r>
                            <w:r>
                              <w:t xml:space="preserve">-carboline methylation of D3. </w:t>
                            </w:r>
                          </w:p>
                          <w:p w14:paraId="0879A3B7" w14:textId="77777777" w:rsidR="007B7129" w:rsidRDefault="007B7129" w:rsidP="007B7129">
                            <w:r>
                              <w:t xml:space="preserve">Reagents and conditions: </w:t>
                            </w:r>
                            <w:proofErr w:type="spellStart"/>
                            <w:r>
                              <w:t>nBuLi</w:t>
                            </w:r>
                            <w:proofErr w:type="spellEnd"/>
                            <w:r>
                              <w:t xml:space="preserve">, </w:t>
                            </w:r>
                            <w:proofErr w:type="spellStart"/>
                            <w:r>
                              <w:t>MeI</w:t>
                            </w:r>
                            <w:proofErr w:type="spellEnd"/>
                            <w:r>
                              <w:t xml:space="preserve">, THF, -78 – 23 </w:t>
                            </w:r>
                            <w:r>
                              <w:rPr>
                                <w:rFonts w:cs="Times New Roman"/>
                              </w:rPr>
                              <w:t>̊</w:t>
                            </w:r>
                            <w:r>
                              <w:t>C.</w:t>
                            </w:r>
                          </w:p>
                        </w:txbxContent>
                      </wps:txbx>
                      <wps:bodyPr rot="0" vert="horz" wrap="square" lIns="91440" tIns="45720" rIns="91440" bIns="45720" anchor="t" anchorCtr="0">
                        <a:noAutofit/>
                      </wps:bodyPr>
                    </wps:wsp>
                  </a:graphicData>
                </a:graphic>
              </wp:inline>
            </w:drawing>
          </mc:Choice>
          <mc:Fallback>
            <w:pict>
              <v:shape w14:anchorId="530A9DFE" id="_x0000_s1104" type="#_x0000_t202" style="width:286.7pt;height:1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">
                <v:textbox>
                  <w:txbxContent>
                    <w:p w14:paraId="04FB405C" w14:textId="77777777" w:rsidR="007B7129" w:rsidRDefault="007B7129" w:rsidP="007B7129">
                      <w:pPr>
                        <w:keepNext/>
                        <w:spacing w:after="0"/>
                        <w:jc w:val="center"/>
                      </w:pPr>
                      <w:r>
                        <w:object w:dxaOrig="4227" w:dyaOrig="1526" w14:anchorId="2C2E3D87">
                          <v:shape id="_x0000_i1115" type="#_x0000_t75" style="width:212.25pt;height:76.2pt">
                            <v:imagedata r:id="rId327" o:title=""/>
                          </v:shape>
                          <o:OLEObject Type="Embed" ProgID="ChemDraw.Document.6.0" ShapeID="_x0000_i1115" DrawAspect="Content" ObjectID="_1713353515" r:id="rId329"/>
                        </w:object>
                      </w:r>
                    </w:p>
                    <w:p w14:paraId="35E0B482" w14:textId="67974965" w:rsidR="007B7129" w:rsidRDefault="007B7129" w:rsidP="00DF51F5">
                      <w:pPr>
                        <w:pStyle w:val="Caption"/>
                      </w:pPr>
                      <w:bookmarkStart w:id="405" w:name="_Ref97333328"/>
                      <w:r>
                        <w:t>Scheme 3.</w:t>
                      </w:r>
                      <w:bookmarkEnd w:id="405"/>
                      <w:r w:rsidR="00AC327E">
                        <w:t>15</w:t>
                      </w:r>
                      <w:r>
                        <w:t xml:space="preserve">. </w:t>
                      </w:r>
                      <w:r>
                        <w:rPr>
                          <w:rFonts w:cs="Times New Roman"/>
                        </w:rPr>
                        <w:t>β</w:t>
                      </w:r>
                      <w:r>
                        <w:t xml:space="preserve">-carboline methylation of D3. </w:t>
                      </w:r>
                    </w:p>
                    <w:p w14:paraId="0879A3B7" w14:textId="77777777" w:rsidR="007B7129" w:rsidRDefault="007B7129" w:rsidP="007B7129">
                      <w:r>
                        <w:t xml:space="preserve">Reagents and conditions: </w:t>
                      </w:r>
                      <w:proofErr w:type="spellStart"/>
                      <w:r>
                        <w:t>nBuLi</w:t>
                      </w:r>
                      <w:proofErr w:type="spellEnd"/>
                      <w:r>
                        <w:t xml:space="preserve">, </w:t>
                      </w:r>
                      <w:proofErr w:type="spellStart"/>
                      <w:r>
                        <w:t>MeI</w:t>
                      </w:r>
                      <w:proofErr w:type="spellEnd"/>
                      <w:r>
                        <w:t xml:space="preserve">, THF, -78 – 23 </w:t>
                      </w:r>
                      <w:r>
                        <w:rPr>
                          <w:rFonts w:cs="Times New Roman"/>
                        </w:rPr>
                        <w:t>̊</w:t>
                      </w:r>
                      <w:r>
                        <w:t>C.</w:t>
                      </w:r>
                    </w:p>
                  </w:txbxContent>
                </v:textbox>
                <w10:anchorlock/>
              </v:shape>
            </w:pict>
          </mc:Fallback>
        </mc:AlternateContent>
      </w:r>
    </w:p>
    <w:p w14:paraId="6AC4F3FD" w14:textId="5CD9D17D" w:rsidR="007B7129" w:rsidRPr="007B7129" w:rsidRDefault="007B7129" w:rsidP="007B7129">
      <w:pPr>
        <w:ind w:firstLine="720"/>
        <w:rPr>
          <w:rFonts w:eastAsia="Times New Roman"/>
          <w:szCs w:val="20"/>
        </w:rPr>
      </w:pPr>
      <w:r w:rsidRPr="007B7129">
        <w:rPr>
          <w:rFonts w:eastAsia="Times New Roman"/>
          <w:szCs w:val="20"/>
        </w:rPr>
        <w:t xml:space="preserve">After finding that electrophilic trapping by carbonyl substrate </w:t>
      </w:r>
      <w:r w:rsidRPr="007B7129">
        <w:rPr>
          <w:rFonts w:eastAsia="Times New Roman"/>
          <w:b/>
          <w:bCs/>
          <w:szCs w:val="20"/>
        </w:rPr>
        <w:t>3.45</w:t>
      </w:r>
      <w:r w:rsidRPr="007B7129">
        <w:rPr>
          <w:rFonts w:eastAsia="Times New Roman"/>
          <w:szCs w:val="20"/>
        </w:rPr>
        <w:t xml:space="preserve"> was largely unsuccessful, I decided to try the stronger electrophile, iodomethane (</w:t>
      </w:r>
      <w:r w:rsidRPr="007B7129">
        <w:rPr>
          <w:rFonts w:eastAsia="Times New Roman"/>
          <w:b/>
          <w:bCs/>
          <w:szCs w:val="20"/>
        </w:rPr>
        <w:fldChar w:fldCharType="begin"/>
      </w:r>
      <w:r w:rsidRPr="007B7129">
        <w:rPr>
          <w:rFonts w:eastAsia="Times New Roman"/>
          <w:b/>
          <w:bCs/>
          <w:szCs w:val="20"/>
        </w:rPr>
        <w:instrText xml:space="preserve"> REF _Ref97333328 \h  \* MERGEFORMAT </w:instrText>
      </w:r>
      <w:r w:rsidRPr="007B7129">
        <w:rPr>
          <w:rFonts w:eastAsia="Times New Roman"/>
          <w:b/>
          <w:bCs/>
          <w:szCs w:val="20"/>
        </w:rPr>
      </w:r>
      <w:r w:rsidRPr="007B7129">
        <w:rPr>
          <w:rFonts w:eastAsia="Times New Roman"/>
          <w:b/>
          <w:bCs/>
          <w:szCs w:val="20"/>
        </w:rPr>
        <w:fldChar w:fldCharType="separate"/>
      </w:r>
      <w:r w:rsidR="00AA5AAC" w:rsidRPr="00AA5AAC">
        <w:rPr>
          <w:b/>
          <w:bCs/>
        </w:rPr>
        <w:t xml:space="preserve">Scheme </w:t>
      </w:r>
      <w:r w:rsidR="00AA5AAC" w:rsidRPr="00AA5AAC">
        <w:rPr>
          <w:b/>
          <w:bCs/>
          <w:noProof/>
        </w:rPr>
        <w:t>3.</w:t>
      </w:r>
      <w:r w:rsidRPr="007B7129">
        <w:rPr>
          <w:rFonts w:eastAsia="Times New Roman"/>
          <w:b/>
          <w:bCs/>
          <w:szCs w:val="20"/>
        </w:rPr>
        <w:fldChar w:fldCharType="end"/>
      </w:r>
      <w:r w:rsidR="0025271B">
        <w:rPr>
          <w:rFonts w:eastAsia="Times New Roman"/>
          <w:b/>
          <w:bCs/>
          <w:szCs w:val="20"/>
        </w:rPr>
        <w:t>15</w:t>
      </w:r>
      <w:r w:rsidRPr="007B7129">
        <w:rPr>
          <w:rFonts w:eastAsia="Times New Roman"/>
          <w:szCs w:val="20"/>
        </w:rPr>
        <w:t xml:space="preserve">) to test if a </w:t>
      </w:r>
      <w:r w:rsidRPr="007B7129">
        <w:rPr>
          <w:rFonts w:eastAsia="Times New Roman" w:cs="Times New Roman"/>
          <w:szCs w:val="20"/>
        </w:rPr>
        <w:t>β</w:t>
      </w:r>
      <w:r w:rsidRPr="007B7129">
        <w:rPr>
          <w:rFonts w:eastAsia="Times New Roman"/>
          <w:szCs w:val="20"/>
        </w:rPr>
        <w:t xml:space="preserve">-carboline nucleophile was actually being formed, and to generally explore its reactivity. </w:t>
      </w:r>
      <w:r w:rsidRPr="007B7129">
        <w:t xml:space="preserve">To a solution of N-tosyl-β-carboline </w:t>
      </w:r>
      <w:r w:rsidRPr="007B7129">
        <w:rPr>
          <w:b/>
          <w:bCs/>
        </w:rPr>
        <w:t>D3</w:t>
      </w:r>
      <w:r w:rsidRPr="007B7129">
        <w:t xml:space="preserve"> in THF under anhydrous conditions, </w:t>
      </w:r>
      <w:r w:rsidRPr="007B7129">
        <w:rPr>
          <w:i/>
          <w:iCs/>
        </w:rPr>
        <w:t>n</w:t>
      </w:r>
      <w:r w:rsidRPr="007B7129">
        <w:t xml:space="preserve">-BuLi was added dropwise at -78 ̊C. Iodomethane was added to the solution before the reaction was allowed to warm to room temperature (23 ̊C). After workup, purification, and NMR analysis, I found that the </w:t>
      </w:r>
      <w:proofErr w:type="spellStart"/>
      <w:r w:rsidRPr="007B7129">
        <w:t>tosyl</w:t>
      </w:r>
      <w:proofErr w:type="spellEnd"/>
      <w:r w:rsidRPr="007B7129">
        <w:t xml:space="preserve">-protected β-carboline was methylated at the C3-position. Despite the undesired regioselectivity, this reaction demonstrated the ability to form a nucleophilic carbon on a β-carboline. </w:t>
      </w:r>
    </w:p>
    <w:p w14:paraId="20D11205" w14:textId="77777777" w:rsidR="007B7129" w:rsidRPr="007B7129" w:rsidRDefault="007B7129" w:rsidP="007B7129">
      <w:pPr>
        <w:spacing w:line="259" w:lineRule="auto"/>
        <w:jc w:val="left"/>
      </w:pPr>
    </w:p>
    <w:p w14:paraId="0FAD0CE1" w14:textId="77777777" w:rsidR="007B7129" w:rsidRPr="007B7129" w:rsidRDefault="007B7129" w:rsidP="00595321">
      <w:pPr>
        <w:pStyle w:val="Section"/>
      </w:pPr>
      <w:bookmarkStart w:id="406" w:name="_Toc97337863"/>
      <w:bookmarkStart w:id="407" w:name="_Toc100241918"/>
      <w:bookmarkStart w:id="408" w:name="_Toc102586282"/>
      <w:r w:rsidRPr="007B7129">
        <w:lastRenderedPageBreak/>
        <w:t>3.5 Conclusions and future directions</w:t>
      </w:r>
      <w:bookmarkEnd w:id="406"/>
      <w:bookmarkEnd w:id="407"/>
      <w:bookmarkEnd w:id="408"/>
    </w:p>
    <w:p w14:paraId="7CD3DD04" w14:textId="77777777" w:rsidR="007B7129" w:rsidRPr="007B7129" w:rsidRDefault="007B7129" w:rsidP="007B7129">
      <w:pPr>
        <w:spacing w:after="0"/>
        <w:ind w:firstLine="720"/>
        <w:rPr>
          <w:rFonts w:cs="Times New Roman"/>
          <w:szCs w:val="24"/>
        </w:rPr>
      </w:pPr>
      <w:bookmarkStart w:id="409" w:name="_Hlk86868648"/>
      <w:r w:rsidRPr="007B7129">
        <w:t>Towards synthesizing the target molecule, picrasidine C (</w:t>
      </w:r>
      <w:r w:rsidRPr="007B7129">
        <w:rPr>
          <w:b/>
          <w:bCs/>
        </w:rPr>
        <w:t>3.1</w:t>
      </w:r>
      <w:r w:rsidRPr="007B7129">
        <w:t xml:space="preserve">), two distinct approaches were pursued: (1) sequential Pictet-Spengler </w:t>
      </w:r>
      <w:proofErr w:type="spellStart"/>
      <w:r w:rsidRPr="007B7129">
        <w:t>cyclizations</w:t>
      </w:r>
      <w:proofErr w:type="spellEnd"/>
      <w:r w:rsidRPr="007B7129">
        <w:t xml:space="preserve"> for the construction of each β-carboline heterocycle individually, and (2) direct functionalization of β-carboline via C-H lithiation</w:t>
      </w:r>
      <w:r w:rsidRPr="007B7129">
        <w:rPr>
          <w:rFonts w:cs="Times New Roman"/>
          <w:szCs w:val="24"/>
        </w:rPr>
        <w:t xml:space="preserve">. Although the initial goal of completing the total synthesis of picrasidine C has yet to be accomplished, interesting synthetic discoveries were made that set the stage for the pursuit of more members of this natural product family. </w:t>
      </w:r>
    </w:p>
    <w:p w14:paraId="66D2D504" w14:textId="77777777" w:rsidR="007B7129" w:rsidRPr="007B7129" w:rsidRDefault="007B7129" w:rsidP="00595321">
      <w:pPr>
        <w:pStyle w:val="Subsection"/>
      </w:pPr>
      <w:bookmarkStart w:id="410" w:name="_Toc97337864"/>
      <w:bookmarkStart w:id="411" w:name="_Toc100241919"/>
      <w:bookmarkStart w:id="412" w:name="_Toc102586283"/>
      <w:r w:rsidRPr="007B7129">
        <w:t xml:space="preserve">3.5.1 Six new </w:t>
      </w:r>
      <w:r w:rsidRPr="007B7129">
        <w:rPr>
          <w:i/>
          <w:iCs/>
        </w:rPr>
        <w:t>Picrasma</w:t>
      </w:r>
      <w:r w:rsidRPr="007B7129">
        <w:t xml:space="preserve"> alkaloid analogues were synthesized.</w:t>
      </w:r>
      <w:bookmarkEnd w:id="410"/>
      <w:bookmarkEnd w:id="411"/>
      <w:bookmarkEnd w:id="412"/>
      <w:r w:rsidRPr="007B7129">
        <w:t xml:space="preserve"> </w:t>
      </w:r>
    </w:p>
    <w:p w14:paraId="4142F051" w14:textId="561AC2DD" w:rsidR="007B7129" w:rsidRDefault="007B7129" w:rsidP="007B7129">
      <w:pPr>
        <w:spacing w:after="0"/>
        <w:ind w:firstLine="720"/>
        <w:rPr>
          <w:rFonts w:cs="Times New Roman"/>
          <w:szCs w:val="24"/>
        </w:rPr>
      </w:pPr>
      <w:r w:rsidRPr="007B7129">
        <w:rPr>
          <w:rFonts w:cs="Times New Roman"/>
          <w:szCs w:val="24"/>
        </w:rPr>
        <w:t xml:space="preserve">The carbon-nitrogen bis-β-carboline skeleton of </w:t>
      </w:r>
      <w:r w:rsidRPr="007B7129">
        <w:rPr>
          <w:rFonts w:cs="Times New Roman"/>
          <w:i/>
          <w:iCs/>
          <w:szCs w:val="24"/>
        </w:rPr>
        <w:t>Picrasma</w:t>
      </w:r>
      <w:r w:rsidRPr="007B7129">
        <w:rPr>
          <w:rFonts w:cs="Times New Roman"/>
          <w:szCs w:val="24"/>
        </w:rPr>
        <w:t xml:space="preserve"> alkaloids </w:t>
      </w:r>
      <w:r w:rsidRPr="007B7129">
        <w:rPr>
          <w:b/>
          <w:bCs/>
        </w:rPr>
        <w:t>3.</w:t>
      </w:r>
      <w:r w:rsidRPr="007B7129">
        <w:rPr>
          <w:rFonts w:cs="Times New Roman"/>
          <w:b/>
          <w:bCs/>
          <w:szCs w:val="24"/>
        </w:rPr>
        <w:t>7</w:t>
      </w:r>
      <w:r w:rsidRPr="007B7129">
        <w:rPr>
          <w:rFonts w:cs="Times New Roman"/>
          <w:szCs w:val="24"/>
        </w:rPr>
        <w:t xml:space="preserve"> – </w:t>
      </w:r>
      <w:r w:rsidRPr="007B7129">
        <w:rPr>
          <w:b/>
          <w:bCs/>
        </w:rPr>
        <w:t>3.</w:t>
      </w:r>
      <w:r w:rsidRPr="007B7129">
        <w:rPr>
          <w:rFonts w:cs="Times New Roman"/>
          <w:b/>
          <w:bCs/>
          <w:szCs w:val="24"/>
        </w:rPr>
        <w:t xml:space="preserve">14 </w:t>
      </w:r>
      <w:r w:rsidRPr="007B7129">
        <w:rPr>
          <w:rFonts w:cs="Times New Roman"/>
          <w:szCs w:val="24"/>
        </w:rPr>
        <w:t xml:space="preserve">was successfully constructed, via the iterative PSR </w:t>
      </w:r>
      <w:r w:rsidRPr="007B7129">
        <w:rPr>
          <w:rFonts w:cs="Times New Roman"/>
          <w:b/>
          <w:bCs/>
          <w:szCs w:val="24"/>
        </w:rPr>
        <w:t>Approach 1</w:t>
      </w:r>
      <w:r w:rsidRPr="007B7129">
        <w:rPr>
          <w:rFonts w:cs="Times New Roman"/>
          <w:szCs w:val="24"/>
        </w:rPr>
        <w:t>, laying a foundation for the total synthesis of picrasidine C to be completed in the future. Notably, four new bis-β-carbolines (</w:t>
      </w:r>
      <w:r w:rsidRPr="007B7129">
        <w:rPr>
          <w:b/>
          <w:bCs/>
        </w:rPr>
        <w:t>3.</w:t>
      </w:r>
      <w:r w:rsidRPr="007B7129">
        <w:rPr>
          <w:rFonts w:cs="Times New Roman"/>
          <w:b/>
          <w:bCs/>
          <w:szCs w:val="24"/>
        </w:rPr>
        <w:t>41</w:t>
      </w:r>
      <w:r w:rsidRPr="007B7129">
        <w:rPr>
          <w:rFonts w:cs="Times New Roman"/>
          <w:szCs w:val="24"/>
        </w:rPr>
        <w:t xml:space="preserve"> – </w:t>
      </w:r>
      <w:r w:rsidRPr="007B7129">
        <w:rPr>
          <w:b/>
          <w:bCs/>
        </w:rPr>
        <w:t>3.</w:t>
      </w:r>
      <w:r w:rsidRPr="007B7129">
        <w:rPr>
          <w:rFonts w:cs="Times New Roman"/>
          <w:b/>
          <w:bCs/>
          <w:szCs w:val="24"/>
        </w:rPr>
        <w:t>44</w:t>
      </w:r>
      <w:r w:rsidRPr="007B7129">
        <w:rPr>
          <w:rFonts w:cs="Times New Roman"/>
          <w:szCs w:val="24"/>
        </w:rPr>
        <w:t>) were synthesized along with two new mono-β-carbolines (</w:t>
      </w:r>
      <w:r w:rsidRPr="007B7129">
        <w:rPr>
          <w:b/>
          <w:bCs/>
        </w:rPr>
        <w:t>3.</w:t>
      </w:r>
      <w:r w:rsidRPr="007B7129">
        <w:rPr>
          <w:rFonts w:cs="Times New Roman"/>
          <w:b/>
          <w:bCs/>
          <w:szCs w:val="24"/>
        </w:rPr>
        <w:t>37</w:t>
      </w:r>
      <w:r w:rsidRPr="007B7129">
        <w:rPr>
          <w:rFonts w:cs="Times New Roman"/>
          <w:szCs w:val="24"/>
        </w:rPr>
        <w:t xml:space="preserve"> – </w:t>
      </w:r>
      <w:r w:rsidRPr="007B7129">
        <w:rPr>
          <w:b/>
          <w:bCs/>
        </w:rPr>
        <w:t>3.</w:t>
      </w:r>
      <w:r w:rsidRPr="007B7129">
        <w:rPr>
          <w:rFonts w:cs="Times New Roman"/>
          <w:b/>
          <w:bCs/>
          <w:szCs w:val="24"/>
        </w:rPr>
        <w:t>38</w:t>
      </w:r>
      <w:r w:rsidRPr="007B7129">
        <w:rPr>
          <w:rFonts w:cs="Times New Roman"/>
          <w:szCs w:val="24"/>
        </w:rPr>
        <w:t xml:space="preserve">), each are novel </w:t>
      </w:r>
      <w:r w:rsidRPr="007B7129">
        <w:rPr>
          <w:rFonts w:cs="Times New Roman"/>
          <w:i/>
          <w:iCs/>
          <w:szCs w:val="24"/>
        </w:rPr>
        <w:t>Picrasma</w:t>
      </w:r>
      <w:r w:rsidRPr="007B7129">
        <w:rPr>
          <w:rFonts w:cs="Times New Roman"/>
          <w:szCs w:val="24"/>
        </w:rPr>
        <w:t xml:space="preserve"> alkaloid analogues that await biological activity studies</w:t>
      </w:r>
      <w:r w:rsidR="00AC327E">
        <w:rPr>
          <w:rFonts w:cs="Times New Roman"/>
          <w:szCs w:val="24"/>
        </w:rPr>
        <w:t xml:space="preserve"> (</w:t>
      </w:r>
      <w:r w:rsidR="00AC327E" w:rsidRPr="00AC327E">
        <w:rPr>
          <w:rFonts w:cs="Times New Roman"/>
          <w:b/>
          <w:bCs/>
          <w:szCs w:val="24"/>
        </w:rPr>
        <w:t>Figure 3.16</w:t>
      </w:r>
      <w:r w:rsidR="00AC327E">
        <w:rPr>
          <w:rFonts w:cs="Times New Roman"/>
          <w:szCs w:val="24"/>
        </w:rPr>
        <w:t>)</w:t>
      </w:r>
      <w:r w:rsidRPr="007B7129">
        <w:rPr>
          <w:rFonts w:cs="Times New Roman"/>
          <w:szCs w:val="24"/>
        </w:rPr>
        <w:t xml:space="preserve">. These new </w:t>
      </w:r>
      <w:r w:rsidRPr="007B7129">
        <w:rPr>
          <w:rFonts w:cs="Times New Roman"/>
          <w:i/>
          <w:iCs/>
          <w:szCs w:val="24"/>
        </w:rPr>
        <w:t>Picrasma</w:t>
      </w:r>
      <w:r w:rsidRPr="007B7129">
        <w:rPr>
          <w:rFonts w:cs="Times New Roman"/>
          <w:szCs w:val="24"/>
        </w:rPr>
        <w:t xml:space="preserve"> analogs also hold synthetic potential, due to the presence of reactive functional groups that provide synthetic handles for structural diversification. </w:t>
      </w:r>
    </w:p>
    <w:p w14:paraId="68412240" w14:textId="77777777" w:rsidR="00095D0F" w:rsidRPr="007B7129" w:rsidRDefault="00095D0F" w:rsidP="00095D0F">
      <w:pPr>
        <w:spacing w:after="0"/>
        <w:ind w:firstLine="720"/>
        <w:rPr>
          <w:rFonts w:cs="Times New Roman"/>
          <w:szCs w:val="24"/>
        </w:rPr>
      </w:pPr>
      <w:r w:rsidRPr="007B7129">
        <w:rPr>
          <w:rFonts w:cs="Times New Roman"/>
          <w:szCs w:val="24"/>
        </w:rPr>
        <w:t xml:space="preserve">The structural diversity of these newly discovered β-carboline compounds makes them attractive for future biological evaluations. The presence of reactive functional groups such as epoxides </w:t>
      </w:r>
      <w:r w:rsidRPr="007B7129">
        <w:rPr>
          <w:b/>
          <w:bCs/>
        </w:rPr>
        <w:t>3.</w:t>
      </w:r>
      <w:r w:rsidRPr="007B7129">
        <w:rPr>
          <w:rFonts w:cs="Times New Roman"/>
          <w:b/>
          <w:bCs/>
          <w:szCs w:val="24"/>
        </w:rPr>
        <w:t>37</w:t>
      </w:r>
      <w:r w:rsidRPr="007B7129">
        <w:rPr>
          <w:rFonts w:cs="Times New Roman"/>
          <w:szCs w:val="24"/>
        </w:rPr>
        <w:t xml:space="preserve"> and </w:t>
      </w:r>
      <w:r w:rsidRPr="007B7129">
        <w:rPr>
          <w:b/>
          <w:bCs/>
        </w:rPr>
        <w:t>3.</w:t>
      </w:r>
      <w:r w:rsidRPr="007B7129">
        <w:rPr>
          <w:rFonts w:cs="Times New Roman"/>
          <w:b/>
          <w:bCs/>
          <w:szCs w:val="24"/>
        </w:rPr>
        <w:t>43</w:t>
      </w:r>
      <w:r w:rsidRPr="007B7129">
        <w:rPr>
          <w:rFonts w:cs="Times New Roman"/>
          <w:szCs w:val="24"/>
        </w:rPr>
        <w:t xml:space="preserve">, aldehyde </w:t>
      </w:r>
      <w:r w:rsidRPr="007B7129">
        <w:rPr>
          <w:b/>
          <w:bCs/>
        </w:rPr>
        <w:t>3.</w:t>
      </w:r>
      <w:r w:rsidRPr="007B7129">
        <w:rPr>
          <w:rFonts w:cs="Times New Roman"/>
          <w:b/>
          <w:bCs/>
          <w:szCs w:val="24"/>
        </w:rPr>
        <w:t>38</w:t>
      </w:r>
      <w:r w:rsidRPr="007B7129">
        <w:rPr>
          <w:rFonts w:cs="Times New Roman"/>
          <w:szCs w:val="24"/>
        </w:rPr>
        <w:t xml:space="preserve">, and enamine </w:t>
      </w:r>
      <w:r w:rsidRPr="007B7129">
        <w:rPr>
          <w:b/>
          <w:bCs/>
        </w:rPr>
        <w:t>3.</w:t>
      </w:r>
      <w:r w:rsidRPr="007B7129">
        <w:rPr>
          <w:rFonts w:cs="Times New Roman"/>
          <w:b/>
          <w:bCs/>
          <w:szCs w:val="24"/>
        </w:rPr>
        <w:t>41</w:t>
      </w:r>
      <w:r w:rsidRPr="007B7129">
        <w:rPr>
          <w:rFonts w:cs="Times New Roman"/>
          <w:szCs w:val="24"/>
        </w:rPr>
        <w:t xml:space="preserve"> provides for synthetic handles to either advance this synthetic endeavor or continue to create new </w:t>
      </w:r>
      <w:r w:rsidRPr="007B7129">
        <w:rPr>
          <w:rFonts w:cs="Times New Roman"/>
          <w:i/>
          <w:iCs/>
          <w:szCs w:val="24"/>
        </w:rPr>
        <w:t>Picrasma</w:t>
      </w:r>
      <w:r w:rsidRPr="007B7129">
        <w:rPr>
          <w:rFonts w:cs="Times New Roman"/>
          <w:szCs w:val="24"/>
        </w:rPr>
        <w:t xml:space="preserve"> alkaloid analogues. While the oxidation, reduction, and bromination of enamine </w:t>
      </w:r>
      <w:r w:rsidRPr="007B7129">
        <w:rPr>
          <w:b/>
          <w:bCs/>
        </w:rPr>
        <w:t>3.</w:t>
      </w:r>
      <w:r w:rsidRPr="007B7129">
        <w:rPr>
          <w:rFonts w:cs="Times New Roman"/>
          <w:b/>
          <w:bCs/>
          <w:szCs w:val="24"/>
        </w:rPr>
        <w:t>41</w:t>
      </w:r>
      <w:r w:rsidRPr="007B7129">
        <w:rPr>
          <w:rFonts w:cs="Times New Roman"/>
          <w:szCs w:val="24"/>
        </w:rPr>
        <w:t xml:space="preserve"> was attempted, complex product mixtures complicated structural characterization. Consequently, studies to advance the total synthesis of </w:t>
      </w:r>
      <w:r w:rsidRPr="007B7129">
        <w:rPr>
          <w:rFonts w:cs="Times New Roman"/>
          <w:i/>
          <w:iCs/>
          <w:szCs w:val="24"/>
        </w:rPr>
        <w:t>Picrasma</w:t>
      </w:r>
      <w:r w:rsidRPr="007B7129">
        <w:rPr>
          <w:rFonts w:cs="Times New Roman"/>
          <w:szCs w:val="24"/>
        </w:rPr>
        <w:t xml:space="preserve"> alkaloid family members are still ongoing. </w:t>
      </w:r>
    </w:p>
    <w:p w14:paraId="5BB2750C" w14:textId="77777777" w:rsidR="00095D0F" w:rsidRPr="007B7129" w:rsidRDefault="00095D0F" w:rsidP="007B7129">
      <w:pPr>
        <w:spacing w:after="0"/>
        <w:ind w:firstLine="720"/>
        <w:rPr>
          <w:rFonts w:cs="Times New Roman"/>
          <w:szCs w:val="24"/>
        </w:rPr>
      </w:pPr>
    </w:p>
    <w:p w14:paraId="400A228D" w14:textId="77777777" w:rsidR="007B7129" w:rsidRPr="007B7129" w:rsidRDefault="007B7129" w:rsidP="007B7129">
      <w:pPr>
        <w:spacing w:after="0"/>
        <w:ind w:firstLine="720"/>
        <w:rPr>
          <w:rFonts w:cs="Times New Roman"/>
          <w:szCs w:val="24"/>
        </w:rPr>
      </w:pPr>
      <w:r w:rsidRPr="007B7129">
        <w:rPr>
          <w:rFonts w:cs="Times New Roman"/>
          <w:szCs w:val="24"/>
        </w:rPr>
        <w:lastRenderedPageBreak/>
        <w:t xml:space="preserve"> </w:t>
      </w:r>
      <w:r w:rsidRPr="007B7129">
        <w:rPr>
          <w:rFonts w:cs="Times New Roman"/>
          <w:noProof/>
          <w:szCs w:val="24"/>
        </w:rPr>
        <mc:AlternateContent>
          <mc:Choice Requires="wps">
            <w:drawing>
              <wp:inline distT="0" distB="0" distL="0" distR="0" wp14:anchorId="3B41E667" wp14:editId="6A30C173">
                <wp:extent cx="4914900" cy="4078605"/>
                <wp:effectExtent l="0" t="0" r="19050" b="17145"/>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4078605"/>
                        </a:xfrm>
                        <a:prstGeom prst="rect">
                          <a:avLst/>
                        </a:prstGeom>
                        <a:solidFill>
                          <a:srgbClr val="FFFFFF"/>
                        </a:solidFill>
                        <a:ln w="9525">
                          <a:solidFill>
                            <a:srgbClr val="000000"/>
                          </a:solidFill>
                          <a:miter lim="800000"/>
                          <a:headEnd/>
                          <a:tailEnd/>
                        </a:ln>
                      </wps:spPr>
                      <wps:txbx>
                        <w:txbxContent>
                          <w:p w14:paraId="009412EA" w14:textId="77777777" w:rsidR="00621755" w:rsidRDefault="007B7129" w:rsidP="00621755">
                            <w:pPr>
                              <w:keepNext/>
                              <w:spacing w:after="0"/>
                              <w:jc w:val="center"/>
                            </w:pPr>
                            <w:r>
                              <w:object w:dxaOrig="6871" w:dyaOrig="5644" w14:anchorId="7F538561">
                                <v:shape id="_x0000_i1117" type="#_x0000_t75" style="width:343.65pt;height:281.45pt">
                                  <v:imagedata r:id="rId330" o:title=""/>
                                </v:shape>
                                <o:OLEObject Type="Embed" ProgID="ChemDraw.Document.6.0" ShapeID="_x0000_i1117" DrawAspect="Content" ObjectID="_1713353516" r:id="rId331"/>
                              </w:object>
                            </w:r>
                          </w:p>
                          <w:p w14:paraId="66BA787C" w14:textId="542C17C6" w:rsidR="007B7129" w:rsidRDefault="00621755" w:rsidP="00DF51F5">
                            <w:pPr>
                              <w:pStyle w:val="Caption"/>
                            </w:pPr>
                            <w:bookmarkStart w:id="413" w:name="_Toc100748323"/>
                            <w:r>
                              <w:t>Figure 3.</w:t>
                            </w:r>
                            <w:fldSimple w:instr=" SEQ Figure \* ARABIC ">
                              <w:r w:rsidR="00AA5AAC">
                                <w:rPr>
                                  <w:noProof/>
                                </w:rPr>
                                <w:t>16</w:t>
                              </w:r>
                            </w:fldSimple>
                            <w:bookmarkStart w:id="414" w:name="_Toc100243268"/>
                            <w:r w:rsidR="007B7129">
                              <w:t xml:space="preserve">. Structures of novel </w:t>
                            </w:r>
                            <w:r w:rsidR="007B7129" w:rsidRPr="008D0BA5">
                              <w:rPr>
                                <w:i/>
                              </w:rPr>
                              <w:t>Picrasma</w:t>
                            </w:r>
                            <w:r w:rsidR="007B7129">
                              <w:t xml:space="preserve"> alkaloid analogues.</w:t>
                            </w:r>
                            <w:bookmarkEnd w:id="413"/>
                            <w:bookmarkEnd w:id="414"/>
                          </w:p>
                        </w:txbxContent>
                      </wps:txbx>
                      <wps:bodyPr rot="0" vert="horz" wrap="square" lIns="91440" tIns="45720" rIns="91440" bIns="45720" anchor="t" anchorCtr="0">
                        <a:noAutofit/>
                      </wps:bodyPr>
                    </wps:wsp>
                  </a:graphicData>
                </a:graphic>
              </wp:inline>
            </w:drawing>
          </mc:Choice>
          <mc:Fallback>
            <w:pict>
              <v:shape w14:anchorId="3B41E667" id="_x0000_s1105" type="#_x0000_t202" style="width:387pt;height:3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">
                <v:textbox>
                  <w:txbxContent>
                    <w:p w14:paraId="009412EA" w14:textId="77777777" w:rsidR="00621755" w:rsidRDefault="007B7129" w:rsidP="00621755">
                      <w:pPr>
                        <w:keepNext/>
                        <w:spacing w:after="0"/>
                        <w:jc w:val="center"/>
                      </w:pPr>
                      <w:r>
                        <w:object w:dxaOrig="6871" w:dyaOrig="5644" w14:anchorId="7F538561">
                          <v:shape id="_x0000_i1117" type="#_x0000_t75" style="width:343.65pt;height:281.45pt">
                            <v:imagedata r:id="rId330" o:title=""/>
                          </v:shape>
                          <o:OLEObject Type="Embed" ProgID="ChemDraw.Document.6.0" ShapeID="_x0000_i1117" DrawAspect="Content" ObjectID="_1713353516" r:id="rId332"/>
                        </w:object>
                      </w:r>
                    </w:p>
                    <w:p w14:paraId="66BA787C" w14:textId="542C17C6" w:rsidR="007B7129" w:rsidRDefault="00621755" w:rsidP="00DF51F5">
                      <w:pPr>
                        <w:pStyle w:val="Caption"/>
                      </w:pPr>
                      <w:bookmarkStart w:id="415" w:name="_Toc100748323"/>
                      <w:r>
                        <w:t>Figure 3.</w:t>
                      </w:r>
                      <w:fldSimple w:instr=" SEQ Figure \* ARABIC ">
                        <w:r w:rsidR="00AA5AAC">
                          <w:rPr>
                            <w:noProof/>
                          </w:rPr>
                          <w:t>16</w:t>
                        </w:r>
                      </w:fldSimple>
                      <w:bookmarkStart w:id="416" w:name="_Toc100243268"/>
                      <w:r w:rsidR="007B7129">
                        <w:t xml:space="preserve">. Structures of novel </w:t>
                      </w:r>
                      <w:r w:rsidR="007B7129" w:rsidRPr="008D0BA5">
                        <w:rPr>
                          <w:i/>
                        </w:rPr>
                        <w:t>Picrasma</w:t>
                      </w:r>
                      <w:r w:rsidR="007B7129">
                        <w:t xml:space="preserve"> alkaloid analogues.</w:t>
                      </w:r>
                      <w:bookmarkEnd w:id="415"/>
                      <w:bookmarkEnd w:id="416"/>
                    </w:p>
                  </w:txbxContent>
                </v:textbox>
                <w10:anchorlock/>
              </v:shape>
            </w:pict>
          </mc:Fallback>
        </mc:AlternateContent>
      </w:r>
    </w:p>
    <w:p w14:paraId="5FDC4DDE" w14:textId="77777777" w:rsidR="007B7129" w:rsidRPr="007B7129" w:rsidRDefault="007B7129" w:rsidP="00595321">
      <w:pPr>
        <w:pStyle w:val="Subsection"/>
      </w:pPr>
      <w:bookmarkStart w:id="417" w:name="_Toc97337865"/>
      <w:bookmarkStart w:id="418" w:name="_Toc100241920"/>
      <w:bookmarkStart w:id="419" w:name="_Toc102586284"/>
      <w:r w:rsidRPr="007B7129">
        <w:t xml:space="preserve">3.5.2 A novel cascade reaction for access to </w:t>
      </w:r>
      <w:proofErr w:type="spellStart"/>
      <w:r w:rsidRPr="007B7129">
        <w:t>indoloquinolizines</w:t>
      </w:r>
      <w:proofErr w:type="spellEnd"/>
      <w:r w:rsidRPr="007B7129">
        <w:t xml:space="preserve"> was discovered.</w:t>
      </w:r>
      <w:bookmarkEnd w:id="417"/>
      <w:bookmarkEnd w:id="418"/>
      <w:bookmarkEnd w:id="419"/>
      <w:r w:rsidRPr="007B7129">
        <w:t xml:space="preserve"> </w:t>
      </w:r>
    </w:p>
    <w:p w14:paraId="21A424E7" w14:textId="757D1B4D" w:rsidR="007B7129" w:rsidRPr="007B7129" w:rsidRDefault="007B7129" w:rsidP="007B7129">
      <w:pPr>
        <w:spacing w:after="0"/>
        <w:ind w:firstLine="720"/>
        <w:rPr>
          <w:rFonts w:cs="Times New Roman"/>
          <w:szCs w:val="24"/>
        </w:rPr>
      </w:pPr>
      <w:r w:rsidRPr="007B7129">
        <w:rPr>
          <w:rFonts w:cs="Times New Roman"/>
          <w:szCs w:val="24"/>
        </w:rPr>
        <w:t xml:space="preserve">Perhaps serendipitously, the synthesis of </w:t>
      </w:r>
      <w:r w:rsidRPr="007B7129">
        <w:rPr>
          <w:b/>
          <w:bCs/>
        </w:rPr>
        <w:t>3.</w:t>
      </w:r>
      <w:r w:rsidRPr="007B7129">
        <w:rPr>
          <w:rFonts w:cs="Times New Roman"/>
          <w:b/>
          <w:bCs/>
          <w:szCs w:val="24"/>
        </w:rPr>
        <w:t>41</w:t>
      </w:r>
      <w:r w:rsidRPr="007B7129">
        <w:rPr>
          <w:rFonts w:cs="Times New Roman"/>
          <w:szCs w:val="24"/>
        </w:rPr>
        <w:t xml:space="preserve"> in </w:t>
      </w:r>
      <w:r w:rsidRPr="007B7129">
        <w:rPr>
          <w:rFonts w:cs="Times New Roman"/>
          <w:b/>
          <w:bCs/>
          <w:szCs w:val="24"/>
        </w:rPr>
        <w:t>Step 4</w:t>
      </w:r>
      <w:r w:rsidRPr="007B7129">
        <w:rPr>
          <w:rFonts w:cs="Times New Roman"/>
          <w:szCs w:val="24"/>
        </w:rPr>
        <w:t xml:space="preserve"> of </w:t>
      </w:r>
      <w:r w:rsidRPr="007B7129">
        <w:rPr>
          <w:rFonts w:cs="Times New Roman"/>
          <w:b/>
          <w:bCs/>
          <w:szCs w:val="24"/>
        </w:rPr>
        <w:t xml:space="preserve">Approach 1 </w:t>
      </w:r>
      <w:r w:rsidRPr="007B7129">
        <w:rPr>
          <w:rFonts w:cs="Times New Roman"/>
          <w:szCs w:val="24"/>
        </w:rPr>
        <w:t xml:space="preserve">was achieved from a novel, acid-catalyzed Pictet-Spengler enamine cyclization cascade, providing efficient access to </w:t>
      </w:r>
      <w:proofErr w:type="spellStart"/>
      <w:r w:rsidRPr="007B7129">
        <w:rPr>
          <w:rFonts w:cs="Times New Roman"/>
          <w:szCs w:val="24"/>
        </w:rPr>
        <w:t>indoloquinolizine</w:t>
      </w:r>
      <w:proofErr w:type="spellEnd"/>
      <w:r w:rsidRPr="007B7129">
        <w:rPr>
          <w:rFonts w:cs="Times New Roman"/>
          <w:szCs w:val="24"/>
        </w:rPr>
        <w:t xml:space="preserve"> heterocycles. Cascade reactions are powerful synthetic strategies, which offer economical and environmentally friendly means for generating molecular complexity.</w:t>
      </w:r>
      <w:r w:rsidRPr="007B7129">
        <w:rPr>
          <w:rFonts w:cs="Times New Roman"/>
          <w:szCs w:val="24"/>
        </w:rPr>
        <w:fldChar w:fldCharType="begin"/>
      </w:r>
      <w:r w:rsidRPr="007B7129">
        <w:rPr>
          <w:rFonts w:cs="Times New Roman"/>
          <w:szCs w:val="24"/>
        </w:rPr>
        <w:instrText xml:space="preserve"> ADDIN ZOTERO_ITEM CSL_CITATION {"citationID":"QuviwNS1","properties":{"formattedCitation":"\\super 90\\nosupersub{}","plainCitation":"90","noteIndex":0},"citationItems":[{"id":533,"uris":["http://zotero.org/users/6503767/items/BLYC66JP"],"itemData":{"id":533,"type":"article-journal","abstract":"The growing importance of cascade reactions reflects and imparts advances in the state of the art of organic synthesis and underscores the desire of synthetic chemists to achieve higher levels of elegance and efficiency. Besides their aesthetic appeal, cascade processes offer economical and environmentally friendly means for generating molecular complexity. Because of their many advantages, these reactions have found numerous applications in the synthesis of complex molecules, both natural and designed. In this Tutorial Review, we highlight the design and execution of cascade reactions within the context of total synthesis as demonstrated with selected examples from these laboratories.","container-title":"Chemical Society reviews","DOI":"10.1039/b903290h","ISSN":"0306-0012","issue":"11","journalAbbreviation":"Chem Soc Rev","note":"PMID: 19847336\nPMCID: PMC2766600","page":"2993-3009","source":"PubMed Central","title":"The Art of Total Synthesis Through Cascade Reactions","volume":"38","author":[{"family":"Nicolaou","given":"K. C."},{"family":"Chen","given":"Jason S."}],"issued":{"date-parts":[["2009",11]]}}}],"schema":"https://github.com/citation-style-language/schema/raw/master/csl-citation.json"}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90</w:t>
      </w:r>
      <w:r w:rsidRPr="007B7129">
        <w:rPr>
          <w:rFonts w:cs="Times New Roman"/>
          <w:szCs w:val="24"/>
        </w:rPr>
        <w:fldChar w:fldCharType="end"/>
      </w:r>
      <w:r w:rsidRPr="007B7129">
        <w:rPr>
          <w:rFonts w:cs="Times New Roman"/>
          <w:szCs w:val="24"/>
        </w:rPr>
        <w:t xml:space="preserve"> These cascade processes are often associated with cost savings in terms of reagents, catalysts, and solvents, as well as time and effort. The </w:t>
      </w:r>
      <w:proofErr w:type="spellStart"/>
      <w:r w:rsidRPr="007B7129">
        <w:rPr>
          <w:rFonts w:cs="Times New Roman"/>
          <w:szCs w:val="24"/>
        </w:rPr>
        <w:t>indoloquinolizine</w:t>
      </w:r>
      <w:proofErr w:type="spellEnd"/>
      <w:r w:rsidRPr="007B7129">
        <w:rPr>
          <w:rFonts w:cs="Times New Roman"/>
          <w:szCs w:val="24"/>
        </w:rPr>
        <w:t xml:space="preserve"> scaffold is significant because it is a common building block in several natural products and pharmaceuticals such as </w:t>
      </w:r>
      <w:proofErr w:type="spellStart"/>
      <w:r w:rsidRPr="007B7129">
        <w:rPr>
          <w:rFonts w:cs="Times New Roman"/>
          <w:szCs w:val="24"/>
        </w:rPr>
        <w:t>arborescidine</w:t>
      </w:r>
      <w:proofErr w:type="spellEnd"/>
      <w:r w:rsidRPr="007B7129">
        <w:rPr>
          <w:rFonts w:cs="Times New Roman"/>
          <w:szCs w:val="24"/>
        </w:rPr>
        <w:t xml:space="preserve"> A,</w:t>
      </w:r>
      <w:r w:rsidRPr="007B7129">
        <w:rPr>
          <w:rFonts w:cs="Times New Roman"/>
          <w:szCs w:val="24"/>
        </w:rPr>
        <w:fldChar w:fldCharType="begin"/>
      </w:r>
      <w:r w:rsidRPr="007B7129">
        <w:rPr>
          <w:rFonts w:cs="Times New Roman"/>
          <w:szCs w:val="24"/>
        </w:rPr>
        <w:instrText xml:space="preserve"> ADDIN ZOTERO_ITEM CSL_CITATION {"citationID":"RTX7GFVj","properties":{"formattedCitation":"\\super 91\\nosupersub{}","plainCitation":"91","noteIndex":0},"citationItems":[{"id":549,"uris":["http://zotero.org/users/6503767/items/FZ87H2NH"],"itemData":{"id":549,"type":"article-journal","container-title":"Journal of Natural Products","DOI":"10.1021/np50091a014","ISSN":"0163-3864","issue":"1","journalAbbreviation":"J. Nat. Prod.","note":"publisher: American Chemical Society","page":"99-104","source":"ACS Publications","title":"Brominated Indole Alkaloids from the Marine Tunicate Pseudodistoma arborescens","volume":"56","author":[{"family":"Chbani","given":"Mohammed"},{"family":"Païs","given":"Mary"},{"family":"Delauneux","given":"Jean-Marc"},{"family":"Debitus","given":"Cécile"}],"issued":{"date-parts":[["1993",1,1]]}}}],"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91</w:t>
      </w:r>
      <w:r w:rsidRPr="007B7129">
        <w:rPr>
          <w:rFonts w:cs="Times New Roman"/>
          <w:szCs w:val="24"/>
        </w:rPr>
        <w:fldChar w:fldCharType="end"/>
      </w:r>
      <w:r w:rsidRPr="007B7129">
        <w:rPr>
          <w:rFonts w:cs="Times New Roman"/>
          <w:szCs w:val="24"/>
        </w:rPr>
        <w:t xml:space="preserve"> deplancheine,</w:t>
      </w:r>
      <w:r w:rsidRPr="007B7129">
        <w:rPr>
          <w:rFonts w:cs="Times New Roman"/>
          <w:szCs w:val="24"/>
        </w:rPr>
        <w:fldChar w:fldCharType="begin"/>
      </w:r>
      <w:r w:rsidRPr="007B7129">
        <w:rPr>
          <w:rFonts w:cs="Times New Roman"/>
          <w:szCs w:val="24"/>
        </w:rPr>
        <w:instrText xml:space="preserve"> ADDIN ZOTERO_ITEM CSL_CITATION {"citationID":"5NHHdx5Q","properties":{"formattedCitation":"\\super 92\\nosupersub{}","plainCitation":"92","noteIndex":0},"citationItems":[{"id":552,"uris":["http://zotero.org/users/6503767/items/FNQEM8W5"],"itemData":{"id":552,"type":"article-journal","abstract":"Sixteen indole alkaloids have been identified in the root bark and in the leaves of Alstonia undulata from New Caledonia. They are vincamedine, tetrahydroalstonine, alstonidine, deplancheine, fluorocarpamine, pleiocarpamine, 11-methoxyakuammicine, cabucraline, desoxycabufiline, cabucraline-N(4)-oxide, 11-methoxyakuammicine N(4)-oxide, gentiacraline, plumocraline, vincorine, cathafoline and pericyclivine. Five bis indoles of unknown structure have been isolated. The root bark alkaloid mixture contains gentiacraline the first alkaloid made up of an indole and a pyridine alkaloid.","container-title":"Phytochemistry","DOI":"10.1016/S0031-9422(00)80574-9","ISSN":"0031-9422","issue":"10","journalAbbreviation":"Phytochemistry","language":"en","page":"2407-2408","source":"ScienceDirect","title":"Some alkaloids of Alstonia undulata","volume":"23","author":[{"family":"Guillaume","given":"D."},{"family":"Morfaux","given":"A. M."},{"family":"Richard","given":"B."},{"family":"Massiot","given":"G."},{"family":"Le Men-Olivier","given":"L."},{"family":"Pusset","given":"J."},{"family":"Sévenet","given":"T."}],"issued":{"date-parts":[["1984",1,1]]}}}],"schema":"https://github.com/citation-style-language/schema/raw/master/csl-citation.json"}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92</w:t>
      </w:r>
      <w:r w:rsidRPr="007B7129">
        <w:rPr>
          <w:rFonts w:cs="Times New Roman"/>
          <w:szCs w:val="24"/>
        </w:rPr>
        <w:fldChar w:fldCharType="end"/>
      </w:r>
      <w:r w:rsidRPr="007B7129">
        <w:rPr>
          <w:rFonts w:cs="Times New Roman"/>
          <w:szCs w:val="24"/>
        </w:rPr>
        <w:t xml:space="preserve"> and yohimbine</w:t>
      </w:r>
      <w:r w:rsidRPr="007B7129">
        <w:rPr>
          <w:rFonts w:cs="Times New Roman"/>
          <w:szCs w:val="24"/>
        </w:rPr>
        <w:fldChar w:fldCharType="begin"/>
      </w:r>
      <w:r w:rsidRPr="007B7129">
        <w:rPr>
          <w:rFonts w:cs="Times New Roman"/>
          <w:szCs w:val="24"/>
        </w:rPr>
        <w:instrText xml:space="preserve"> ADDIN ZOTERO_ITEM CSL_CITATION {"citationID":"4VVx9ZyS","properties":{"formattedCitation":"\\super 93\\nosupersub{}","plainCitation":"93","noteIndex":0},"citationItems":[{"id":70,"uris":["http://zotero.org/users/6503767/items/9E7KR7HF"],"itemData":{"id":70,"type":"article-journal","abstract":"An eﬃcient and one-pot method has been developed for the enantioselective synthesis of pentacyclic indole derivatives with the yohimbane skeleton via a sequence of asymmetric Michael−Michael−Mannich−reduction−amidationBischler−Napieralski−reduction reactions with a high diastereoselectivity and high enantioselectivities (up to &gt;99% ee). The seven-step reaction sequence, which generates ﬁve bonds and ﬁve stereocenters, can be conducted with a pot-economic synthetic strategy and one-pot operation in good yields. The structure and absolute stereochemistry of two products were conﬁrmed by X-ray crystallography analysis.","container-title":"The Journal of Organic Chemistry","DOI":"10.1021/acs.joc.9b01193","ISSN":"0022-3263, 1520-6904","issue":"18","journalAbbreviation":"J. Org. Chem.","language":"en","page":"12138-12147","source":"DOI.org (Crossref)","title":"Enantioselective Synthesis of Yohimbine Analogues by an Organocatalytic and Pot-Economic Strategy","volume":"84","author":[{"family":"Kao","given":"Hsin-Kai"},{"family":"Lin","given":"Xin-Jie"},{"family":"Hong","given":"Bor-Cherng"},{"family":"Yang","given":"Van-Wei"},{"family":"Lee","given":"Gene-Hsiang"}],"issued":{"date-parts":[["2019",9,20]]}}}],"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93</w:t>
      </w:r>
      <w:r w:rsidRPr="007B7129">
        <w:rPr>
          <w:rFonts w:cs="Times New Roman"/>
          <w:szCs w:val="24"/>
        </w:rPr>
        <w:fldChar w:fldCharType="end"/>
      </w:r>
      <w:r w:rsidRPr="007B7129">
        <w:rPr>
          <w:rFonts w:cs="Times New Roman"/>
          <w:szCs w:val="24"/>
        </w:rPr>
        <w:t xml:space="preserve"> (</w:t>
      </w:r>
      <w:r w:rsidR="00122FE7" w:rsidRPr="00122FE7">
        <w:rPr>
          <w:rFonts w:cs="Times New Roman"/>
          <w:b/>
          <w:bCs/>
          <w:szCs w:val="24"/>
        </w:rPr>
        <w:fldChar w:fldCharType="begin"/>
      </w:r>
      <w:r w:rsidR="00122FE7" w:rsidRPr="00122FE7">
        <w:rPr>
          <w:rFonts w:cs="Times New Roman"/>
          <w:b/>
          <w:bCs/>
          <w:szCs w:val="24"/>
        </w:rPr>
        <w:instrText xml:space="preserve"> REF _Ref102583466 \h  \* MERGEFORMAT </w:instrText>
      </w:r>
      <w:r w:rsidR="00122FE7" w:rsidRPr="00122FE7">
        <w:rPr>
          <w:rFonts w:cs="Times New Roman"/>
          <w:b/>
          <w:bCs/>
          <w:szCs w:val="24"/>
        </w:rPr>
      </w:r>
      <w:r w:rsidR="00122FE7" w:rsidRPr="00122FE7">
        <w:rPr>
          <w:rFonts w:cs="Times New Roman"/>
          <w:b/>
          <w:bCs/>
          <w:szCs w:val="24"/>
        </w:rPr>
        <w:fldChar w:fldCharType="separate"/>
      </w:r>
      <w:r w:rsidR="00AA5AAC" w:rsidRPr="00AA5AAC">
        <w:rPr>
          <w:b/>
          <w:bCs/>
        </w:rPr>
        <w:t>Figure 3.17</w:t>
      </w:r>
      <w:r w:rsidR="00122FE7" w:rsidRPr="00122FE7">
        <w:rPr>
          <w:rFonts w:cs="Times New Roman"/>
          <w:b/>
          <w:bCs/>
          <w:szCs w:val="24"/>
        </w:rPr>
        <w:fldChar w:fldCharType="end"/>
      </w:r>
      <w:r w:rsidRPr="007B7129">
        <w:rPr>
          <w:rFonts w:cs="Times New Roman"/>
          <w:szCs w:val="24"/>
        </w:rPr>
        <w:t xml:space="preserve">). Few methods for the synthesis of the </w:t>
      </w:r>
      <w:proofErr w:type="spellStart"/>
      <w:r w:rsidRPr="007B7129">
        <w:rPr>
          <w:rFonts w:cs="Times New Roman"/>
          <w:szCs w:val="24"/>
        </w:rPr>
        <w:t>indoloquinolizine</w:t>
      </w:r>
      <w:proofErr w:type="spellEnd"/>
      <w:r w:rsidRPr="007B7129">
        <w:rPr>
          <w:rFonts w:cs="Times New Roman"/>
          <w:szCs w:val="24"/>
        </w:rPr>
        <w:t xml:space="preserve"> scaffold have been reported, but they either require multiple steps,</w:t>
      </w:r>
      <w:r w:rsidRPr="007B7129">
        <w:rPr>
          <w:rFonts w:cs="Times New Roman"/>
          <w:szCs w:val="24"/>
        </w:rPr>
        <w:fldChar w:fldCharType="begin"/>
      </w:r>
      <w:r w:rsidRPr="007B7129">
        <w:rPr>
          <w:rFonts w:cs="Times New Roman"/>
          <w:szCs w:val="24"/>
        </w:rPr>
        <w:instrText xml:space="preserve"> ADDIN ZOTERO_ITEM CSL_CITATION {"citationID":"tyA1qjxY","properties":{"formattedCitation":"\\super 94\\uc0\\u8211{}96\\nosupersub{}","plainCitation":"94–96","noteIndex":0},"citationItems":[{"id":539,"uris":["http://zotero.org/users/6503767/items/JVKRHWQY"],"itemData":{"id":539,"type":"article-journal","container-title":"Journal of the American Chemical Society","DOI":"10.1021/ja00951a037","ISSN":"0002-7863","issue":"23","journalAbbreviation":"J. Am. Chem. Soc.","note":"publisher: American Chemical Society","page":"5461-5467","source":"ACS Publications","title":"General Methods of Synthesis of Indole Alkaloids. V. Syntheses of d,l-Corynantheidol and d,l-Epialloyohimbane1,2","volume":"87","author":[{"family":"Wenkert","given":"Ernest"},{"family":"Dave","given":"K. G."},{"family":"Haglid","given":"F."}],"issued":{"date-parts":[["1965",12,1]]}}},{"id":547,"uris":["http://zotero.org/users/6503767/items/975J52VI"],"itemData":{"id":547,"type":"article-journal","abstract":"The enantiomer of affinisine has been synthesized (from l-tryptophan) with 100% diastereoselectivity via the asymmetric Pictet–Spengler reaction coupled with a Pd0 (enolate mediated) coupling process. This enantiomer has also been converted into a key intermediate which provides a route to the enantiomers of both macroline and alstonerine following the previous work of LeQuesne.","container-title":"Tetrahedron Letters","DOI":"10.1016/S0040-4039(00)01061-3","ISSN":"0040-4039","issue":"33","journalAbbreviation":"Tetrahedron Letters","language":"en","page":"6299-6303","source":"ScienceDirect","title":"Enantiospecific total synthesis of the enantiomer of the indole alkaloid affinisine","volume":"41","author":[{"family":"Liu","given":"Xiaoxiang"},{"family":"Wang","given":"Tao"},{"family":"Xu","given":"Qingge"},{"family":"Ma","given":"Chunrong"},{"family":"Cook","given":"James M"}],"issued":{"date-parts":[["2000",8,12]]}}},{"id":544,"uris":["http://zotero.org/users/6503767/items/JY3NN3E3"],"itemData":{"id":544,"type":"article-journal","abstract":"Total syntheses of indoloquinolizidine alkaloid (±)-, R-(+)-, and S-(−)-deplancheine are described here. The synthesis features an enantioselective intramolecular formal aza-[3 + 3] cycloaddition for the construction of the quinolizidine CD-ring. This application serves to introduce a new synthetic strategy for the synthesis of indoloquinolizidine alkaloids.","container-title":"Organic &amp; Biomolecular Chemistry","DOI":"10.1039/B503862F","ISSN":"1477-0539","issue":"11","journalAbbreviation":"Org. Biomol. Chem.","language":"en","note":"publisher: The Royal Society of Chemistry","page":"2140-2144","source":"pubs-rsc-org.ezproxy.lib.ou.edu","title":"Total syntheses of enantiomerically enriched R-(+)- and S-(−)-deplancheine","volume":"3","author":[{"family":"Sydorenko","given":"Nadiya"},{"family":"Zificsak","given":"Craig A."},{"family":"Gerasyuto","given":"Aleksey I."},{"family":"Hsung","given":"Richard P."}],"issued":{"date-parts":[["2005",5,25]]}}}],"schema":"https://github.com/citation-style-language/schema/raw/master/csl-citation.json"}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94–96</w:t>
      </w:r>
      <w:r w:rsidRPr="007B7129">
        <w:rPr>
          <w:rFonts w:cs="Times New Roman"/>
          <w:szCs w:val="24"/>
        </w:rPr>
        <w:fldChar w:fldCharType="end"/>
      </w:r>
      <w:r w:rsidRPr="007B7129">
        <w:rPr>
          <w:rFonts w:cs="Times New Roman"/>
          <w:szCs w:val="24"/>
        </w:rPr>
        <w:t xml:space="preserve"> toxic reagents such as sodium cyanide</w:t>
      </w:r>
      <w:r w:rsidRPr="007B7129">
        <w:rPr>
          <w:rFonts w:cs="Times New Roman"/>
          <w:szCs w:val="24"/>
        </w:rPr>
        <w:fldChar w:fldCharType="begin"/>
      </w:r>
      <w:r w:rsidRPr="007B7129">
        <w:rPr>
          <w:rFonts w:cs="Times New Roman"/>
          <w:szCs w:val="24"/>
        </w:rPr>
        <w:instrText xml:space="preserve"> ADDIN ZOTERO_ITEM CSL_CITATION {"citationID":"cZmQmwcM","properties":{"formattedCitation":"\\super 97\\nosupersub{}","plainCitation":"97","noteIndex":0},"citationItems":[{"id":429,"uris":["http://zotero.org/users/6503767/items/QTZ3KLN6"],"itemData":{"id":429,"type":"article-journal","container-title":"Organic &amp; Biomolecular Chemistry","DOI":"10.1039/C7OB02691A","issue":"48","language":"en","note":"publisher: Royal Society of Chemistry","page":"10265-10275","source":"pubs.rsc.org","title":"A general strategy for the synthesis of indoloquinolizine alkaloids via a cyanide-catalyzed imino-Stetter reaction","volume":"15","author":[{"family":"Park","given":"Eunjoon"},{"family":"Cheon","given":"Cheol-Hong"}],"issued":{"date-parts":[["2017"]]}}}],"schema":"https://github.com/citation-style-language/schema/raw/master/csl-citation.json"}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97</w:t>
      </w:r>
      <w:r w:rsidRPr="007B7129">
        <w:rPr>
          <w:rFonts w:cs="Times New Roman"/>
          <w:szCs w:val="24"/>
        </w:rPr>
        <w:fldChar w:fldCharType="end"/>
      </w:r>
      <w:r w:rsidRPr="007B7129">
        <w:rPr>
          <w:rFonts w:cs="Times New Roman"/>
          <w:szCs w:val="24"/>
        </w:rPr>
        <w:t xml:space="preserve"> and phosphorus oxychloride,</w:t>
      </w:r>
      <w:r w:rsidRPr="007B7129">
        <w:rPr>
          <w:rFonts w:cs="Times New Roman"/>
          <w:szCs w:val="24"/>
        </w:rPr>
        <w:fldChar w:fldCharType="begin"/>
      </w:r>
      <w:r w:rsidRPr="007B7129">
        <w:rPr>
          <w:rFonts w:cs="Times New Roman"/>
          <w:szCs w:val="24"/>
        </w:rPr>
        <w:instrText xml:space="preserve"> ADDIN ZOTERO_ITEM CSL_CITATION {"citationID":"gMYlGCdc","properties":{"formattedCitation":"\\super 98\\nosupersub{}","plainCitation":"98","noteIndex":0},"citationItems":[{"id":537,"uris":["http://zotero.org/users/6503767/items/EXW849KH"],"itemData":{"id":537,"type":"article-journal","container-title":"Chemical and Pharmaceutical Bulletin","DOI":"10.1248/cpb.36.3348","ISSN":"0009-2363, 1347-5223","issue":"9","journalAbbreviation":"Chem. Pharm. Bull.","language":"en","page":"3348-3353","source":"DOI.org (Crossref)","title":"Quinolizidines. XXV. An extension of the \"lactim ether route\" to the racemic syntheses of several indolo[2,3-a]quinolizidine alkaloids.","volume":"36","author":[{"family":"Fujii","given":"Tozo"},{"family":"Yoshifuji","given":"Shigeyuki"},{"family":"Ito","given":"Harue"}],"issued":{"date-parts":[["1988"]]}}}],"schema":"https://github.com/citation-style-language/schema/raw/master/csl-citation.json"}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98</w:t>
      </w:r>
      <w:r w:rsidRPr="007B7129">
        <w:rPr>
          <w:rFonts w:cs="Times New Roman"/>
          <w:szCs w:val="24"/>
        </w:rPr>
        <w:fldChar w:fldCharType="end"/>
      </w:r>
      <w:r w:rsidRPr="007B7129">
        <w:rPr>
          <w:rFonts w:cs="Times New Roman"/>
          <w:szCs w:val="24"/>
        </w:rPr>
        <w:t xml:space="preserve"> or heavy metal catalysis.</w:t>
      </w:r>
      <w:r w:rsidRPr="007B7129">
        <w:rPr>
          <w:rFonts w:cs="Times New Roman"/>
          <w:szCs w:val="24"/>
        </w:rPr>
        <w:fldChar w:fldCharType="begin"/>
      </w:r>
      <w:r w:rsidRPr="007B7129">
        <w:rPr>
          <w:rFonts w:cs="Times New Roman"/>
          <w:szCs w:val="24"/>
        </w:rPr>
        <w:instrText xml:space="preserve"> ADDIN ZOTERO_ITEM CSL_CITATION {"citationID":"Txbfh9cF","properties":{"formattedCitation":"\\super 99\\nosupersub{}","plainCitation":"99","noteIndex":0},"citationItems":[{"id":541,"uris":["http://zotero.org/users/6503767/items/5LWMZXQV"],"itemData":{"id":541,"type":"article-journal","abstract":"Highly enantioselective gold-catalyzed intramolecular cyclization of N-allenamides was implemented by utilizing a designed chiral sulfinamide phosphine ligand (PC-Phos). This represents the first example of highly enantioselective intramolecular cyclization of N-allenamides. The practicality of this reaction was validated in the total synthesis of (R)-desbromoarborescidine A and formal synthesis of (R)-desbromoarborescidine C and (R)-deplancheine. Moreover, the catalyst system PC-Phos/AuNTf2 proved to be specifically efficient to promote the desymmetrization of N-allenamides in excellent yields with satisfactory ee values.","container-title":"Angewandte Chemie International Edition","DOI":"10.1002/anie.201709595","ISSN":"1521-3773","issue":"50","language":"en","note":"_eprint: https://onlinelibrary.wiley.com/doi/pdf/10.1002/anie.201709595","page":"15905-15909","source":"Wiley Online Library","title":"Gold-Catalyzed Asymmetric Intramolecular Cyclization of N-Allenamides for the Synthesis of Chiral Tetrahydrocarbolines","volume":"56","author":[{"family":"Wang","given":"Yidong"},{"family":"Zhang","given":"Peichao"},{"family":"Di","given":"Xiaoyu"},{"family":"Dai","given":"Qiang"},{"family":"Zhang","given":"Zhan-Ming"},{"family":"Zhang","given":"Junliang"}],"issued":{"date-parts":[["2017"]]}}}],"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99</w:t>
      </w:r>
      <w:r w:rsidRPr="007B7129">
        <w:rPr>
          <w:rFonts w:cs="Times New Roman"/>
          <w:szCs w:val="24"/>
        </w:rPr>
        <w:fldChar w:fldCharType="end"/>
      </w:r>
      <w:r w:rsidRPr="007B7129">
        <w:rPr>
          <w:rFonts w:cs="Times New Roman"/>
          <w:szCs w:val="24"/>
        </w:rPr>
        <w:t xml:space="preserve"> The </w:t>
      </w:r>
      <w:r w:rsidRPr="007B7129">
        <w:rPr>
          <w:rFonts w:cs="Times New Roman"/>
          <w:szCs w:val="24"/>
        </w:rPr>
        <w:lastRenderedPageBreak/>
        <w:t xml:space="preserve">cyclization cascade exhibited in </w:t>
      </w:r>
      <w:r w:rsidRPr="007B7129">
        <w:rPr>
          <w:rFonts w:cs="Times New Roman"/>
          <w:b/>
          <w:bCs/>
          <w:szCs w:val="24"/>
        </w:rPr>
        <w:t>Step 4</w:t>
      </w:r>
      <w:r w:rsidRPr="007B7129">
        <w:rPr>
          <w:rFonts w:cs="Times New Roman"/>
          <w:szCs w:val="24"/>
        </w:rPr>
        <w:t xml:space="preserve"> is beneficial compared to other methods due to its mild reaction conditions (2 M HCl in methanol, 0 – 23 ̊C) and its ability to form the tetracyclic </w:t>
      </w:r>
      <w:proofErr w:type="spellStart"/>
      <w:r w:rsidRPr="007B7129">
        <w:rPr>
          <w:rFonts w:cs="Times New Roman"/>
          <w:szCs w:val="24"/>
        </w:rPr>
        <w:t>indoloquinolizine</w:t>
      </w:r>
      <w:proofErr w:type="spellEnd"/>
      <w:r w:rsidRPr="007B7129">
        <w:rPr>
          <w:rFonts w:cs="Times New Roman"/>
          <w:szCs w:val="24"/>
        </w:rPr>
        <w:t xml:space="preserve"> structure a single step.</w:t>
      </w:r>
    </w:p>
    <w:p w14:paraId="312870EF" w14:textId="77777777" w:rsidR="007B7129" w:rsidRPr="007B7129" w:rsidRDefault="007B7129" w:rsidP="007B7129">
      <w:pPr>
        <w:spacing w:after="0"/>
        <w:ind w:left="720" w:firstLine="720"/>
        <w:rPr>
          <w:rFonts w:cs="Times New Roman"/>
          <w:szCs w:val="24"/>
        </w:rPr>
      </w:pPr>
      <w:r w:rsidRPr="007B7129">
        <w:rPr>
          <w:rFonts w:cs="Times New Roman"/>
          <w:noProof/>
          <w:szCs w:val="24"/>
        </w:rPr>
        <w:t xml:space="preserve"> </w:t>
      </w:r>
      <w:r w:rsidRPr="007B7129">
        <w:rPr>
          <w:rFonts w:cs="Times New Roman"/>
          <w:noProof/>
          <w:szCs w:val="24"/>
        </w:rPr>
        <mc:AlternateContent>
          <mc:Choice Requires="wps">
            <w:drawing>
              <wp:inline distT="0" distB="0" distL="0" distR="0" wp14:anchorId="6B7A5648" wp14:editId="4F4CEB83">
                <wp:extent cx="3967480" cy="3060700"/>
                <wp:effectExtent l="0" t="0" r="13970" b="25400"/>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3060700"/>
                        </a:xfrm>
                        <a:prstGeom prst="rect">
                          <a:avLst/>
                        </a:prstGeom>
                        <a:solidFill>
                          <a:srgbClr val="FFFFFF"/>
                        </a:solidFill>
                        <a:ln w="9525">
                          <a:solidFill>
                            <a:srgbClr val="000000"/>
                          </a:solidFill>
                          <a:miter lim="800000"/>
                          <a:headEnd/>
                          <a:tailEnd/>
                        </a:ln>
                      </wps:spPr>
                      <wps:txbx>
                        <w:txbxContent>
                          <w:p w14:paraId="40EB4845" w14:textId="77777777" w:rsidR="00621755" w:rsidRDefault="007B7129" w:rsidP="00621755">
                            <w:pPr>
                              <w:keepNext/>
                              <w:jc w:val="center"/>
                            </w:pPr>
                            <w:r>
                              <w:object w:dxaOrig="5134" w:dyaOrig="3552" w14:anchorId="001568C8">
                                <v:shape id="_x0000_i1119" type="#_x0000_t75" style="width:256.7pt;height:177.2pt">
                                  <v:imagedata r:id="rId333" o:title=""/>
                                </v:shape>
                                <o:OLEObject Type="Embed" ProgID="ChemDraw.Document.6.0" ShapeID="_x0000_i1119" DrawAspect="Content" ObjectID="_1713353517" r:id="rId334"/>
                              </w:object>
                            </w:r>
                          </w:p>
                          <w:p w14:paraId="43DC831B" w14:textId="31113401" w:rsidR="007B7129" w:rsidRDefault="00621755" w:rsidP="00DF51F5">
                            <w:pPr>
                              <w:pStyle w:val="Caption"/>
                            </w:pPr>
                            <w:bookmarkStart w:id="420" w:name="_Ref102583466"/>
                            <w:bookmarkStart w:id="421" w:name="_Toc100748324"/>
                            <w:r>
                              <w:t>Figure 3.</w:t>
                            </w:r>
                            <w:fldSimple w:instr=" SEQ Figure \* ARABIC ">
                              <w:r w:rsidR="00AA5AAC">
                                <w:rPr>
                                  <w:noProof/>
                                </w:rPr>
                                <w:t>17</w:t>
                              </w:r>
                            </w:fldSimple>
                            <w:bookmarkStart w:id="422" w:name="_Toc100243269"/>
                            <w:bookmarkEnd w:id="420"/>
                            <w:r>
                              <w:t>.</w:t>
                            </w:r>
                            <w:r w:rsidR="007B7129">
                              <w:t xml:space="preserve"> Representative examples of </w:t>
                            </w:r>
                            <w:proofErr w:type="spellStart"/>
                            <w:r w:rsidR="007B7129">
                              <w:t>indoloquinolizine</w:t>
                            </w:r>
                            <w:proofErr w:type="spellEnd"/>
                            <w:r w:rsidR="007B7129">
                              <w:t xml:space="preserve"> natural products.</w:t>
                            </w:r>
                            <w:bookmarkEnd w:id="421"/>
                            <w:bookmarkEnd w:id="422"/>
                            <w:r w:rsidR="007B7129">
                              <w:t xml:space="preserve"> </w:t>
                            </w:r>
                          </w:p>
                          <w:p w14:paraId="7D9E7706" w14:textId="77777777" w:rsidR="007B7129" w:rsidRDefault="007B7129" w:rsidP="007B7129"/>
                        </w:txbxContent>
                      </wps:txbx>
                      <wps:bodyPr rot="0" vert="horz" wrap="square" lIns="91440" tIns="45720" rIns="91440" bIns="45720" anchor="t" anchorCtr="0">
                        <a:noAutofit/>
                      </wps:bodyPr>
                    </wps:wsp>
                  </a:graphicData>
                </a:graphic>
              </wp:inline>
            </w:drawing>
          </mc:Choice>
          <mc:Fallback>
            <w:pict>
              <v:shape w14:anchorId="6B7A5648" id="_x0000_s1106" type="#_x0000_t202" style="width:312.4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">
                <v:textbox>
                  <w:txbxContent>
                    <w:p w14:paraId="40EB4845" w14:textId="77777777" w:rsidR="00621755" w:rsidRDefault="007B7129" w:rsidP="00621755">
                      <w:pPr>
                        <w:keepNext/>
                        <w:jc w:val="center"/>
                      </w:pPr>
                      <w:r>
                        <w:object w:dxaOrig="5134" w:dyaOrig="3552" w14:anchorId="001568C8">
                          <v:shape id="_x0000_i1119" type="#_x0000_t75" style="width:256.7pt;height:177.2pt">
                            <v:imagedata r:id="rId333" o:title=""/>
                          </v:shape>
                          <o:OLEObject Type="Embed" ProgID="ChemDraw.Document.6.0" ShapeID="_x0000_i1119" DrawAspect="Content" ObjectID="_1713353517" r:id="rId335"/>
                        </w:object>
                      </w:r>
                    </w:p>
                    <w:p w14:paraId="43DC831B" w14:textId="31113401" w:rsidR="007B7129" w:rsidRDefault="00621755" w:rsidP="00DF51F5">
                      <w:pPr>
                        <w:pStyle w:val="Caption"/>
                      </w:pPr>
                      <w:bookmarkStart w:id="423" w:name="_Ref102583466"/>
                      <w:bookmarkStart w:id="424" w:name="_Toc100748324"/>
                      <w:r>
                        <w:t>Figure 3.</w:t>
                      </w:r>
                      <w:fldSimple w:instr=" SEQ Figure \* ARABIC ">
                        <w:r w:rsidR="00AA5AAC">
                          <w:rPr>
                            <w:noProof/>
                          </w:rPr>
                          <w:t>17</w:t>
                        </w:r>
                      </w:fldSimple>
                      <w:bookmarkStart w:id="425" w:name="_Toc100243269"/>
                      <w:bookmarkEnd w:id="423"/>
                      <w:r>
                        <w:t>.</w:t>
                      </w:r>
                      <w:r w:rsidR="007B7129">
                        <w:t xml:space="preserve"> Representative examples of </w:t>
                      </w:r>
                      <w:proofErr w:type="spellStart"/>
                      <w:r w:rsidR="007B7129">
                        <w:t>indoloquinolizine</w:t>
                      </w:r>
                      <w:proofErr w:type="spellEnd"/>
                      <w:r w:rsidR="007B7129">
                        <w:t xml:space="preserve"> natural products.</w:t>
                      </w:r>
                      <w:bookmarkEnd w:id="424"/>
                      <w:bookmarkEnd w:id="425"/>
                      <w:r w:rsidR="007B7129">
                        <w:t xml:space="preserve"> </w:t>
                      </w:r>
                    </w:p>
                    <w:p w14:paraId="7D9E7706" w14:textId="77777777" w:rsidR="007B7129" w:rsidRDefault="007B7129" w:rsidP="007B7129"/>
                  </w:txbxContent>
                </v:textbox>
                <w10:anchorlock/>
              </v:shape>
            </w:pict>
          </mc:Fallback>
        </mc:AlternateContent>
      </w:r>
    </w:p>
    <w:p w14:paraId="77815172" w14:textId="77777777" w:rsidR="007B7129" w:rsidRPr="007B7129" w:rsidRDefault="007B7129" w:rsidP="00595321">
      <w:pPr>
        <w:pStyle w:val="Subsection"/>
      </w:pPr>
      <w:bookmarkStart w:id="426" w:name="_Toc97337866"/>
      <w:bookmarkStart w:id="427" w:name="_Toc100241921"/>
      <w:bookmarkStart w:id="428" w:name="_Toc102586285"/>
      <w:r w:rsidRPr="007B7129">
        <w:t>3.5.3 Complex pentacyclic ring system was synthesized from enamine 3.41 and DDQ.</w:t>
      </w:r>
      <w:bookmarkEnd w:id="426"/>
      <w:bookmarkEnd w:id="427"/>
      <w:bookmarkEnd w:id="428"/>
      <w:r w:rsidRPr="007B7129">
        <w:t xml:space="preserve"> </w:t>
      </w:r>
    </w:p>
    <w:p w14:paraId="371E6D56" w14:textId="745670A4" w:rsidR="007B7129" w:rsidRPr="007B7129" w:rsidRDefault="007B7129" w:rsidP="007B7129">
      <w:pPr>
        <w:spacing w:after="0"/>
        <w:ind w:firstLine="720"/>
        <w:rPr>
          <w:rFonts w:cs="Times New Roman"/>
          <w:szCs w:val="24"/>
        </w:rPr>
      </w:pPr>
      <w:r w:rsidRPr="007B7129">
        <w:rPr>
          <w:rFonts w:cs="Times New Roman"/>
          <w:szCs w:val="24"/>
        </w:rPr>
        <w:t xml:space="preserve">Compound </w:t>
      </w:r>
      <w:r w:rsidRPr="007B7129">
        <w:rPr>
          <w:b/>
          <w:bCs/>
        </w:rPr>
        <w:t>3.</w:t>
      </w:r>
      <w:r w:rsidRPr="007B7129">
        <w:rPr>
          <w:rFonts w:cs="Times New Roman"/>
          <w:b/>
          <w:bCs/>
          <w:szCs w:val="24"/>
        </w:rPr>
        <w:t>44</w:t>
      </w:r>
      <w:r w:rsidRPr="007B7129">
        <w:rPr>
          <w:rFonts w:cs="Times New Roman"/>
          <w:szCs w:val="24"/>
        </w:rPr>
        <w:t xml:space="preserve"> is interesting as it comprises a new oxygen-containing 5-membered ring fused to the β-carboline </w:t>
      </w:r>
      <w:r w:rsidRPr="007B7129">
        <w:rPr>
          <w:rFonts w:cs="Times New Roman"/>
          <w:b/>
          <w:bCs/>
          <w:szCs w:val="24"/>
        </w:rPr>
        <w:t>B</w:t>
      </w:r>
      <w:r w:rsidRPr="007B7129">
        <w:rPr>
          <w:rFonts w:cs="Times New Roman"/>
          <w:szCs w:val="24"/>
        </w:rPr>
        <w:t xml:space="preserve"> system. The DDQ controlled benzylic-type oxidation-cyclization cascade reaction used to form this ring system generates two new chiral centers, providing a total of three </w:t>
      </w:r>
      <w:proofErr w:type="spellStart"/>
      <w:r w:rsidRPr="007B7129">
        <w:rPr>
          <w:rFonts w:cs="Times New Roman"/>
          <w:szCs w:val="24"/>
        </w:rPr>
        <w:t>stereogenic</w:t>
      </w:r>
      <w:proofErr w:type="spellEnd"/>
      <w:r w:rsidRPr="007B7129">
        <w:rPr>
          <w:rFonts w:cs="Times New Roman"/>
          <w:szCs w:val="24"/>
        </w:rPr>
        <w:t xml:space="preserve"> centers in </w:t>
      </w:r>
      <w:r w:rsidRPr="007B7129">
        <w:rPr>
          <w:b/>
          <w:bCs/>
        </w:rPr>
        <w:t>3.</w:t>
      </w:r>
      <w:r w:rsidRPr="007B7129">
        <w:rPr>
          <w:rFonts w:cs="Times New Roman"/>
          <w:b/>
          <w:bCs/>
          <w:szCs w:val="24"/>
        </w:rPr>
        <w:t>44</w:t>
      </w:r>
      <w:r w:rsidRPr="007B7129">
        <w:rPr>
          <w:rFonts w:cs="Times New Roman"/>
          <w:szCs w:val="24"/>
        </w:rPr>
        <w:t>. The (6-6-5)-fused heterocyclic octahydro-2</w:t>
      </w:r>
      <w:r w:rsidRPr="007B7129">
        <w:rPr>
          <w:rFonts w:cs="Times New Roman"/>
          <w:i/>
          <w:iCs/>
          <w:szCs w:val="24"/>
        </w:rPr>
        <w:t>H</w:t>
      </w:r>
      <w:r w:rsidRPr="007B7129">
        <w:rPr>
          <w:rFonts w:cs="Times New Roman"/>
          <w:szCs w:val="24"/>
        </w:rPr>
        <w:t>-3,6-epoxyquinolizine skeleton (highlighted blue in</w:t>
      </w:r>
      <w:r w:rsidR="00122FE7">
        <w:rPr>
          <w:rFonts w:cs="Times New Roman"/>
          <w:b/>
          <w:bCs/>
          <w:szCs w:val="24"/>
        </w:rPr>
        <w:t xml:space="preserve"> </w:t>
      </w:r>
      <w:r w:rsidR="00122FE7" w:rsidRPr="00122FE7">
        <w:rPr>
          <w:rFonts w:cs="Times New Roman"/>
          <w:b/>
          <w:bCs/>
          <w:szCs w:val="24"/>
        </w:rPr>
        <w:fldChar w:fldCharType="begin"/>
      </w:r>
      <w:r w:rsidR="00122FE7" w:rsidRPr="00122FE7">
        <w:rPr>
          <w:rFonts w:cs="Times New Roman"/>
          <w:b/>
          <w:bCs/>
          <w:szCs w:val="24"/>
        </w:rPr>
        <w:instrText xml:space="preserve"> REF _Ref102583488 \h  \* MERGEFORMAT </w:instrText>
      </w:r>
      <w:r w:rsidR="00122FE7" w:rsidRPr="00122FE7">
        <w:rPr>
          <w:rFonts w:cs="Times New Roman"/>
          <w:b/>
          <w:bCs/>
          <w:szCs w:val="24"/>
        </w:rPr>
      </w:r>
      <w:r w:rsidR="00122FE7" w:rsidRPr="00122FE7">
        <w:rPr>
          <w:rFonts w:cs="Times New Roman"/>
          <w:b/>
          <w:bCs/>
          <w:szCs w:val="24"/>
        </w:rPr>
        <w:fldChar w:fldCharType="separate"/>
      </w:r>
      <w:r w:rsidR="00AA5AAC" w:rsidRPr="00AA5AAC">
        <w:rPr>
          <w:b/>
          <w:bCs/>
        </w:rPr>
        <w:t>Figure 3.18</w:t>
      </w:r>
      <w:r w:rsidR="00122FE7" w:rsidRPr="00122FE7">
        <w:rPr>
          <w:rFonts w:cs="Times New Roman"/>
          <w:b/>
          <w:bCs/>
          <w:szCs w:val="24"/>
        </w:rPr>
        <w:fldChar w:fldCharType="end"/>
      </w:r>
      <w:r w:rsidRPr="007B7129">
        <w:rPr>
          <w:rFonts w:cs="Times New Roman"/>
          <w:szCs w:val="24"/>
        </w:rPr>
        <w:t xml:space="preserve">) is only found in two iboga-type alkaloids, </w:t>
      </w:r>
      <w:proofErr w:type="spellStart"/>
      <w:r w:rsidRPr="007B7129">
        <w:rPr>
          <w:rFonts w:cs="Times New Roman"/>
          <w:szCs w:val="24"/>
        </w:rPr>
        <w:t>ervaoffines</w:t>
      </w:r>
      <w:proofErr w:type="spellEnd"/>
      <w:r w:rsidRPr="007B7129">
        <w:rPr>
          <w:rFonts w:cs="Times New Roman"/>
          <w:szCs w:val="24"/>
        </w:rPr>
        <w:t xml:space="preserve"> A and C.</w:t>
      </w:r>
      <w:r w:rsidRPr="007B7129">
        <w:rPr>
          <w:rFonts w:cs="Times New Roman"/>
          <w:szCs w:val="24"/>
        </w:rPr>
        <w:fldChar w:fldCharType="begin"/>
      </w:r>
      <w:r w:rsidRPr="007B7129">
        <w:rPr>
          <w:rFonts w:cs="Times New Roman"/>
          <w:szCs w:val="24"/>
        </w:rPr>
        <w:instrText xml:space="preserve"> ADDIN ZOTERO_ITEM CSL_CITATION {"citationID":"KRKBHid0","properties":{"formattedCitation":"\\super 80\\nosupersub{}","plainCitation":"80","noteIndex":0},"citationItems":[{"id":412,"uris":["http://zotero.org/users/6503767/items/U2R8M9G8"],"itemData":{"id":412,"type":"article-journal","abstract":"Seven new iboga-type alkaloids, ervaoffines A–D (1–4), (7S)-3-oxoibogaine hydroxyindolenine (5), ibogaine-5,6-dione (6), and 19-epi-5-oxovoacristine (7), and 10 known alkaloids were isolated from Ervatamia officinalis. The absolute configurations of 1–7 were determined through X-ray diffraction and electronic circular dichroism (ECD) analyses. Ervaoffines A and B represent the first iboga-type pseudoindoxyl alkaloids in which the C-2 spiro carbon configuration is opposite to that of other members of this class, such as iboluteine (8). The relationship between the absolute configuration of the spiro carbons and the Cotton effect in the ECD spectrum is established for the first time for iboga-type pseudoindoxyl and oxindole alkaloids. Additionally, a plausible biogenetic pathway for these alkaloids is proposed.","container-title":"Journal of Natural Products","DOI":"10.1021/np500240b","ISSN":"0163-3864","issue":"8","journalAbbreviation":"J. Nat. Prod.","note":"publisher: American Chemical Society","page":"1839-1846","source":"ACS Publications","title":"Iboga-Type Alkaloids from Ervatamia officinalis","volume":"77","author":[{"family":"Tang","given":"Ben-Qin"},{"family":"Wang","given":"Wen-Jing"},{"family":"Huang","given":"Xiao-Jun"},{"family":"Li","given":"Guo-Qiang"},{"family":"Wang","given":"Lei"},{"family":"Jiang","given":"Ren-Wang"},{"family":"Yang","given":"Ting-Ting"},{"family":"Shi","given":"Lei"},{"family":"Zhang","given":"Xiao-Qi"},{"family":"Ye","given":"Wen-Cai"}],"issued":{"date-parts":[["2014",8,22]]}}}],"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80</w:t>
      </w:r>
      <w:r w:rsidRPr="007B7129">
        <w:rPr>
          <w:rFonts w:cs="Times New Roman"/>
          <w:szCs w:val="24"/>
        </w:rPr>
        <w:fldChar w:fldCharType="end"/>
      </w:r>
      <w:r w:rsidRPr="007B7129">
        <w:rPr>
          <w:rFonts w:cs="Times New Roman"/>
          <w:szCs w:val="24"/>
        </w:rPr>
        <w:t xml:space="preserve"> These intricate oxindole-containing polycyclic compounds have no other structural similarities to the </w:t>
      </w:r>
      <w:r w:rsidRPr="007B7129">
        <w:rPr>
          <w:rFonts w:cs="Times New Roman"/>
          <w:i/>
          <w:iCs/>
          <w:szCs w:val="24"/>
        </w:rPr>
        <w:t>Picrasma</w:t>
      </w:r>
      <w:r w:rsidRPr="007B7129">
        <w:rPr>
          <w:rFonts w:cs="Times New Roman"/>
          <w:szCs w:val="24"/>
        </w:rPr>
        <w:t xml:space="preserve"> family of alkaloids but still exhibit a wide variety of biological activities.</w:t>
      </w:r>
      <w:r w:rsidRPr="007B7129">
        <w:rPr>
          <w:rFonts w:cs="Times New Roman"/>
          <w:szCs w:val="24"/>
        </w:rPr>
        <w:fldChar w:fldCharType="begin"/>
      </w:r>
      <w:r w:rsidRPr="007B7129">
        <w:rPr>
          <w:rFonts w:cs="Times New Roman"/>
          <w:szCs w:val="24"/>
        </w:rPr>
        <w:instrText xml:space="preserve"> ADDIN ZOTERO_ITEM CSL_CITATION {"citationID":"V7hUOCCt","properties":{"formattedCitation":"\\super 100\\nosupersub{}","plainCitation":"100","noteIndex":0},"citationItems":[{"id":438,"uris":["http://zotero.org/users/6503767/items/AW7FMPAD"],"itemData":{"id":438,"type":"article-journal","abstract":"Iboga alkaloids are a particular class of indolomonoterpenes most often characterized by an isoquinuclidine nucleus. Their first occurrence was detected in the roots of Tabernanthe iboga, a sacred plant to the people of Gabon, which made it cult object. Ibogaine is the main representative of this class of alkaloids and its psychoactive properties are well documented. It has been proposed as a drug cessation treatment and has a wide range of activities in targeting opioids, cocaine, and alcohol. The purpose of this chapter is to provide a background on this molecule and related compounds and to update knowledge on the most recent advances made. Difficulties linked to the status of ibogaine as a drug in several countries have hampered its development, but 18-methoxycoronaridine is currently under evaluation for the same purposes and for the treatment of leishmaniasis. The chapter is divided into six parts: an introduction aiming at defining what is called an iboga alkaloid, and this is followed by current knowledge on their biosynthesis, which unfortunately remains a \"black box\" as far as the key construction step is concerned. Many of these alkaloids are still being discovered and the third and fourth parts of the chapter discuss the analytical tools in use for this purpose and give lists of new monomeric and dimeric alkaloids belonging to this class. When necessary, the structures are discussed especially with regard to absolute configuration determinations, which remain a point of weakness in their assignments. Part V gives an account of progress made in the synthesis, partial and total, which the authors believe is key to providing solid solutions to the industrial development of the most promising molecules. The last part of the chapter is devoted to the biological properties of iboga alkaloids, with particular emphasis on ibogaine and 18-methoxycoronaridine.","container-title":"Progress in the Chemistry of Organic Natural Products","DOI":"10.1007/978-3-319-49712-9_2","ISSN":"2191-7043","journalAbbreviation":"Prog Chem Org Nat Prod","language":"eng","note":"PMID: 28194562","page":"89-136","source":"PubMed","title":"The Iboga Alkaloids","volume":"105","author":[{"family":"Lavaud","given":"Catherine"},{"family":"Massiot","given":"Georges"}],"issued":{"date-parts":[["2017"]]}}}],"schema":"https://github.com/citation-style-language/schema/raw/master/csl-citation.json"} </w:instrText>
      </w:r>
      <w:r w:rsidRPr="007B7129">
        <w:rPr>
          <w:rFonts w:cs="Times New Roman"/>
          <w:szCs w:val="24"/>
        </w:rPr>
        <w:fldChar w:fldCharType="separate"/>
      </w:r>
      <w:r w:rsidRPr="007B7129">
        <w:rPr>
          <w:rFonts w:cs="Times New Roman"/>
          <w:szCs w:val="24"/>
          <w:vertAlign w:val="superscript"/>
        </w:rPr>
        <w:t>100</w:t>
      </w:r>
      <w:r w:rsidRPr="007B7129">
        <w:rPr>
          <w:rFonts w:cs="Times New Roman"/>
          <w:szCs w:val="24"/>
        </w:rPr>
        <w:fldChar w:fldCharType="end"/>
      </w:r>
      <w:r w:rsidRPr="007B7129">
        <w:rPr>
          <w:rFonts w:cs="Times New Roman"/>
          <w:szCs w:val="24"/>
        </w:rPr>
        <w:t xml:space="preserve"> Overall, compound </w:t>
      </w:r>
      <w:r w:rsidRPr="007B7129">
        <w:rPr>
          <w:b/>
          <w:bCs/>
        </w:rPr>
        <w:t>3.</w:t>
      </w:r>
      <w:r w:rsidRPr="007B7129">
        <w:rPr>
          <w:rFonts w:cs="Times New Roman"/>
          <w:b/>
          <w:bCs/>
          <w:szCs w:val="24"/>
        </w:rPr>
        <w:t>44</w:t>
      </w:r>
      <w:r w:rsidRPr="007B7129">
        <w:rPr>
          <w:rFonts w:cs="Times New Roman"/>
          <w:szCs w:val="24"/>
        </w:rPr>
        <w:t xml:space="preserve"> exhibits a novel and complex structure.</w:t>
      </w:r>
    </w:p>
    <w:p w14:paraId="25555DE0" w14:textId="77777777" w:rsidR="007B7129" w:rsidRPr="007B7129" w:rsidRDefault="007B7129" w:rsidP="007B7129">
      <w:pPr>
        <w:spacing w:after="0"/>
        <w:ind w:left="720"/>
        <w:rPr>
          <w:rFonts w:cs="Times New Roman"/>
          <w:szCs w:val="24"/>
        </w:rPr>
      </w:pPr>
      <w:r w:rsidRPr="007B7129">
        <w:rPr>
          <w:rFonts w:cs="Times New Roman"/>
          <w:noProof/>
          <w:szCs w:val="24"/>
        </w:rPr>
        <w:lastRenderedPageBreak/>
        <mc:AlternateContent>
          <mc:Choice Requires="wps">
            <w:drawing>
              <wp:inline distT="0" distB="0" distL="0" distR="0" wp14:anchorId="54F3D508" wp14:editId="294088F2">
                <wp:extent cx="3784054" cy="2035175"/>
                <wp:effectExtent l="0" t="0" r="13335" b="22225"/>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4054" cy="2035175"/>
                        </a:xfrm>
                        <a:prstGeom prst="rect">
                          <a:avLst/>
                        </a:prstGeom>
                        <a:solidFill>
                          <a:srgbClr val="FFFFFF"/>
                        </a:solidFill>
                        <a:ln w="9525">
                          <a:solidFill>
                            <a:srgbClr val="000000"/>
                          </a:solidFill>
                          <a:miter lim="800000"/>
                          <a:headEnd/>
                          <a:tailEnd/>
                        </a:ln>
                      </wps:spPr>
                      <wps:txbx>
                        <w:txbxContent>
                          <w:p w14:paraId="3E0E715E" w14:textId="77777777" w:rsidR="00621755" w:rsidRDefault="007B7129" w:rsidP="00621755">
                            <w:pPr>
                              <w:keepNext/>
                              <w:spacing w:after="0"/>
                              <w:jc w:val="center"/>
                            </w:pPr>
                            <w:r>
                              <w:object w:dxaOrig="5172" w:dyaOrig="2417" w14:anchorId="6883F37C">
                                <v:shape id="_x0000_i1121" type="#_x0000_t75" style="width:258.55pt;height:120.6pt">
                                  <v:imagedata r:id="rId336" o:title=""/>
                                </v:shape>
                                <o:OLEObject Type="Embed" ProgID="ChemDraw.Document.6.0" ShapeID="_x0000_i1121" DrawAspect="Content" ObjectID="_1713353518" r:id="rId337"/>
                              </w:object>
                            </w:r>
                          </w:p>
                          <w:p w14:paraId="67C62D6F" w14:textId="4C9EFCD1" w:rsidR="007B7129" w:rsidRDefault="00621755" w:rsidP="00DF51F5">
                            <w:pPr>
                              <w:pStyle w:val="Caption"/>
                            </w:pPr>
                            <w:bookmarkStart w:id="429" w:name="_Ref102583488"/>
                            <w:bookmarkStart w:id="430" w:name="_Toc100748325"/>
                            <w:r>
                              <w:t>Figure 3.</w:t>
                            </w:r>
                            <w:fldSimple w:instr=" SEQ Figure \* ARABIC ">
                              <w:r w:rsidR="00AA5AAC">
                                <w:rPr>
                                  <w:noProof/>
                                </w:rPr>
                                <w:t>18</w:t>
                              </w:r>
                            </w:fldSimple>
                            <w:bookmarkStart w:id="431" w:name="_Toc100243270"/>
                            <w:bookmarkEnd w:id="429"/>
                            <w:r w:rsidR="007B7129">
                              <w:t xml:space="preserve">. Structures of iboga-type alkaloids </w:t>
                            </w:r>
                            <w:proofErr w:type="spellStart"/>
                            <w:r w:rsidR="007B7129">
                              <w:t>ervaoffines</w:t>
                            </w:r>
                            <w:proofErr w:type="spellEnd"/>
                            <w:r w:rsidR="007B7129">
                              <w:t xml:space="preserve"> A and C.</w:t>
                            </w:r>
                            <w:bookmarkEnd w:id="430"/>
                            <w:bookmarkEnd w:id="431"/>
                          </w:p>
                          <w:p w14:paraId="38C9F8E8" w14:textId="77777777" w:rsidR="007B7129" w:rsidRDefault="007B7129" w:rsidP="007B7129"/>
                        </w:txbxContent>
                      </wps:txbx>
                      <wps:bodyPr rot="0" vert="horz" wrap="none" lIns="91440" tIns="45720" rIns="91440" bIns="45720" anchor="t" anchorCtr="0">
                        <a:noAutofit/>
                      </wps:bodyPr>
                    </wps:wsp>
                  </a:graphicData>
                </a:graphic>
              </wp:inline>
            </w:drawing>
          </mc:Choice>
          <mc:Fallback>
            <w:pict>
              <v:shape w14:anchorId="54F3D508" id="_x0000_s1107" type="#_x0000_t202" style="width:297.95pt;height:160.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">
                <v:textbox>
                  <w:txbxContent>
                    <w:p w14:paraId="3E0E715E" w14:textId="77777777" w:rsidR="00621755" w:rsidRDefault="007B7129" w:rsidP="00621755">
                      <w:pPr>
                        <w:keepNext/>
                        <w:spacing w:after="0"/>
                        <w:jc w:val="center"/>
                      </w:pPr>
                      <w:r>
                        <w:object w:dxaOrig="5172" w:dyaOrig="2417" w14:anchorId="6883F37C">
                          <v:shape id="_x0000_i1121" type="#_x0000_t75" style="width:258.55pt;height:120.6pt">
                            <v:imagedata r:id="rId336" o:title=""/>
                          </v:shape>
                          <o:OLEObject Type="Embed" ProgID="ChemDraw.Document.6.0" ShapeID="_x0000_i1121" DrawAspect="Content" ObjectID="_1713353518" r:id="rId338"/>
                        </w:object>
                      </w:r>
                    </w:p>
                    <w:p w14:paraId="67C62D6F" w14:textId="4C9EFCD1" w:rsidR="007B7129" w:rsidRDefault="00621755" w:rsidP="00DF51F5">
                      <w:pPr>
                        <w:pStyle w:val="Caption"/>
                      </w:pPr>
                      <w:bookmarkStart w:id="432" w:name="_Ref102583488"/>
                      <w:bookmarkStart w:id="433" w:name="_Toc100748325"/>
                      <w:r>
                        <w:t>Figure 3.</w:t>
                      </w:r>
                      <w:fldSimple w:instr=" SEQ Figure \* ARABIC ">
                        <w:r w:rsidR="00AA5AAC">
                          <w:rPr>
                            <w:noProof/>
                          </w:rPr>
                          <w:t>18</w:t>
                        </w:r>
                      </w:fldSimple>
                      <w:bookmarkStart w:id="434" w:name="_Toc100243270"/>
                      <w:bookmarkEnd w:id="432"/>
                      <w:r w:rsidR="007B7129">
                        <w:t xml:space="preserve">. Structures of iboga-type alkaloids </w:t>
                      </w:r>
                      <w:proofErr w:type="spellStart"/>
                      <w:r w:rsidR="007B7129">
                        <w:t>ervaoffines</w:t>
                      </w:r>
                      <w:proofErr w:type="spellEnd"/>
                      <w:r w:rsidR="007B7129">
                        <w:t xml:space="preserve"> A and C.</w:t>
                      </w:r>
                      <w:bookmarkEnd w:id="433"/>
                      <w:bookmarkEnd w:id="434"/>
                    </w:p>
                    <w:p w14:paraId="38C9F8E8" w14:textId="77777777" w:rsidR="007B7129" w:rsidRDefault="007B7129" w:rsidP="007B7129"/>
                  </w:txbxContent>
                </v:textbox>
                <w10:anchorlock/>
              </v:shape>
            </w:pict>
          </mc:Fallback>
        </mc:AlternateContent>
      </w:r>
    </w:p>
    <w:p w14:paraId="15A8A8FE" w14:textId="77777777" w:rsidR="007B7129" w:rsidRPr="007B7129" w:rsidRDefault="007B7129" w:rsidP="00595321">
      <w:pPr>
        <w:pStyle w:val="Subsection"/>
      </w:pPr>
      <w:bookmarkStart w:id="435" w:name="_Toc97337867"/>
      <w:bookmarkStart w:id="436" w:name="_Toc100241922"/>
      <w:bookmarkStart w:id="437" w:name="_Toc102586286"/>
      <w:bookmarkEnd w:id="409"/>
      <w:r w:rsidRPr="007B7129">
        <w:t>3.5.4 Approach 2 provides preliminary studies for developing methodology for the direct functionalization of β-carbolines.</w:t>
      </w:r>
      <w:bookmarkEnd w:id="435"/>
      <w:bookmarkEnd w:id="436"/>
      <w:bookmarkEnd w:id="437"/>
    </w:p>
    <w:p w14:paraId="0267E71A" w14:textId="77777777" w:rsidR="007B7129" w:rsidRPr="007B7129" w:rsidRDefault="007B7129" w:rsidP="007B7129">
      <w:pPr>
        <w:ind w:firstLine="720"/>
      </w:pPr>
      <w:r w:rsidRPr="007B7129">
        <w:t xml:space="preserve">While most of my </w:t>
      </w:r>
      <w:r w:rsidRPr="007B7129">
        <w:rPr>
          <w:rFonts w:cs="Times New Roman"/>
        </w:rPr>
        <w:t>β</w:t>
      </w:r>
      <w:r w:rsidRPr="007B7129">
        <w:t xml:space="preserve">-carboline lithiation attempts were unsuccessful, the formation of two substituted </w:t>
      </w:r>
      <w:r w:rsidRPr="007B7129">
        <w:rPr>
          <w:rFonts w:cs="Times New Roman"/>
        </w:rPr>
        <w:t>β</w:t>
      </w:r>
      <w:r w:rsidRPr="007B7129">
        <w:t>-carbolines (</w:t>
      </w:r>
      <w:r w:rsidRPr="007B7129">
        <w:rPr>
          <w:b/>
          <w:bCs/>
        </w:rPr>
        <w:t>3.47</w:t>
      </w:r>
      <w:r w:rsidRPr="007B7129">
        <w:t xml:space="preserve"> and </w:t>
      </w:r>
      <w:r w:rsidRPr="007B7129">
        <w:rPr>
          <w:b/>
          <w:bCs/>
        </w:rPr>
        <w:t>3.48</w:t>
      </w:r>
      <w:r w:rsidRPr="007B7129">
        <w:t xml:space="preserve">) occurred. Compound </w:t>
      </w:r>
      <w:r w:rsidRPr="007B7129">
        <w:rPr>
          <w:b/>
          <w:bCs/>
        </w:rPr>
        <w:t>3.47</w:t>
      </w:r>
      <w:r w:rsidRPr="007B7129">
        <w:t xml:space="preserve"> has THF attached at the C1 position, and compound </w:t>
      </w:r>
      <w:r w:rsidRPr="007B7129">
        <w:rPr>
          <w:b/>
          <w:bCs/>
        </w:rPr>
        <w:t>3.48</w:t>
      </w:r>
      <w:r w:rsidRPr="007B7129">
        <w:t xml:space="preserve"> has a methyl group attached at the C3 position. Compounds </w:t>
      </w:r>
      <w:r w:rsidRPr="007B7129">
        <w:rPr>
          <w:b/>
          <w:bCs/>
        </w:rPr>
        <w:t>3.47</w:t>
      </w:r>
      <w:r w:rsidRPr="007B7129">
        <w:t xml:space="preserve"> and </w:t>
      </w:r>
      <w:r w:rsidRPr="007B7129">
        <w:rPr>
          <w:b/>
          <w:bCs/>
        </w:rPr>
        <w:t>3.48</w:t>
      </w:r>
      <w:r w:rsidRPr="007B7129">
        <w:t xml:space="preserve"> might not be new or interesting on their own, but they demonstrate that direct substitution on a </w:t>
      </w:r>
      <w:r w:rsidRPr="007B7129">
        <w:rPr>
          <w:rFonts w:cs="Times New Roman"/>
        </w:rPr>
        <w:t>β</w:t>
      </w:r>
      <w:r w:rsidRPr="007B7129">
        <w:t xml:space="preserve">-carboline heterocycle is possible. Future studies on </w:t>
      </w:r>
      <w:r w:rsidRPr="007B7129">
        <w:rPr>
          <w:rFonts w:cs="Times New Roman"/>
        </w:rPr>
        <w:t>β</w:t>
      </w:r>
      <w:r w:rsidRPr="007B7129">
        <w:t xml:space="preserve">-carboline functionalization might still be accomplished after some considerations. </w:t>
      </w:r>
    </w:p>
    <w:p w14:paraId="67198737" w14:textId="3322BF8F" w:rsidR="007B7129" w:rsidRPr="007B7129" w:rsidRDefault="007B7129" w:rsidP="007B7129">
      <w:pPr>
        <w:ind w:firstLine="720"/>
      </w:pPr>
      <w:r w:rsidRPr="007B7129">
        <w:t xml:space="preserve">First, since the formation of </w:t>
      </w:r>
      <w:r w:rsidRPr="007B7129">
        <w:rPr>
          <w:b/>
          <w:bCs/>
        </w:rPr>
        <w:t>3.47</w:t>
      </w:r>
      <w:r w:rsidRPr="007B7129">
        <w:t xml:space="preserve"> may have occurred via nucleophilic aromatic substitution, a new route may be envisioned where the </w:t>
      </w:r>
      <w:r w:rsidRPr="007B7129">
        <w:rPr>
          <w:rFonts w:cs="Times New Roman"/>
        </w:rPr>
        <w:t>β</w:t>
      </w:r>
      <w:r w:rsidRPr="007B7129">
        <w:t xml:space="preserve">-carboline acts as an electrophile. For example, the </w:t>
      </w:r>
      <w:proofErr w:type="spellStart"/>
      <w:r w:rsidRPr="007B7129">
        <w:t>Minisci</w:t>
      </w:r>
      <w:proofErr w:type="spellEnd"/>
      <w:r w:rsidRPr="007B7129">
        <w:t xml:space="preserve"> reaction employs a nucleophilic radical substitution to an electron deficient aromatic system, typically nitrogen heterocycles.</w:t>
      </w:r>
      <w:r w:rsidRPr="007B7129">
        <w:fldChar w:fldCharType="begin"/>
      </w:r>
      <w:r w:rsidRPr="007B7129">
        <w:instrText xml:space="preserve"> ADDIN ZOTERO_ITEM CSL_CITATION {"citationID":"CfPysLtS","properties":{"formattedCitation":"\\super 42\\nosupersub{}","plainCitation":"42","noteIndex":0},"citationItems":[{"id":393,"uris":["http://zotero.org/users/6503767/items/6VXR2KL4"],"itemData":{"id":393,"type":"article-journal","abstract":"A new method of homolytic alkylation of heteroaromatic bases is described, in which the silver-catalysed oxidative decarboxylation of acids by peroxydisulphate is used as a source of alkyl radicals. The method is particularly noteworthy because of the good yields and the high selectivity obtained, due to the nucleophilic character of the alkyl radicals; for synthetic interest it is comparable to electrophilic alkylation in the homocyclic series.","container-title":"Tetrahedron","DOI":"10.1016/S0040-4020(01)97768-3","ISSN":"0040-4020","issue":"15","journalAbbreviation":"Tetrahedron","language":"en","page":"3575-3579","source":"ScienceDirect","title":"Nucleophilic character of alkyl radicals—VI: A new convenient selective alkylation of heteroaromatic bases","title-short":"Nucleophilic character of alkyl radicals—VI","volume":"27","author":[{"family":"Minisci","given":"F."},{"family":"Bernardi","given":"R."},{"family":"Bertini","given":"F."},{"family":"Galli","given":"R."},{"family":"Perchinummo","given":"M."}],"issued":{"date-parts":[["1971",1,1]]}}}],"schema":"https://github.com/citation-style-language/schema/raw/master/csl-citation.json"} </w:instrText>
      </w:r>
      <w:r w:rsidRPr="007B7129">
        <w:fldChar w:fldCharType="separate"/>
      </w:r>
      <w:r w:rsidRPr="007B7129">
        <w:rPr>
          <w:rFonts w:cs="Times New Roman"/>
          <w:szCs w:val="24"/>
          <w:vertAlign w:val="superscript"/>
        </w:rPr>
        <w:t>42</w:t>
      </w:r>
      <w:r w:rsidRPr="007B7129">
        <w:fldChar w:fldCharType="end"/>
      </w:r>
      <w:r w:rsidRPr="007B7129">
        <w:t xml:space="preserve"> Some nucleophilic radicals were successful at functionalizing the </w:t>
      </w:r>
      <w:r w:rsidRPr="007B7129">
        <w:rPr>
          <w:rFonts w:cs="Times New Roman"/>
        </w:rPr>
        <w:t>β</w:t>
      </w:r>
      <w:r w:rsidRPr="007B7129">
        <w:t>-carboline heterocycle including methanol, formaldehyde, formamide, acetaldehyde, and DMF (</w:t>
      </w:r>
      <w:r w:rsidRPr="007B7129">
        <w:rPr>
          <w:b/>
          <w:bCs/>
        </w:rPr>
        <w:fldChar w:fldCharType="begin"/>
      </w:r>
      <w:r w:rsidRPr="007B7129">
        <w:rPr>
          <w:b/>
          <w:bCs/>
        </w:rPr>
        <w:instrText xml:space="preserve"> REF _Ref97335478 \h  \* MERGEFORMAT </w:instrText>
      </w:r>
      <w:r w:rsidRPr="007B7129">
        <w:rPr>
          <w:b/>
          <w:bCs/>
        </w:rPr>
      </w:r>
      <w:r w:rsidRPr="007B7129">
        <w:rPr>
          <w:b/>
          <w:bCs/>
        </w:rPr>
        <w:fldChar w:fldCharType="separate"/>
      </w:r>
      <w:r w:rsidR="00AA5AAC" w:rsidRPr="00AA5AAC">
        <w:rPr>
          <w:b/>
          <w:bCs/>
        </w:rPr>
        <w:t xml:space="preserve">Scheme </w:t>
      </w:r>
      <w:r w:rsidR="00AA5AAC" w:rsidRPr="00AA5AAC">
        <w:rPr>
          <w:b/>
          <w:bCs/>
          <w:noProof/>
        </w:rPr>
        <w:t>3.</w:t>
      </w:r>
      <w:r w:rsidRPr="007B7129">
        <w:rPr>
          <w:b/>
          <w:bCs/>
        </w:rPr>
        <w:fldChar w:fldCharType="end"/>
      </w:r>
      <w:r w:rsidR="004F5DA7">
        <w:rPr>
          <w:b/>
          <w:bCs/>
        </w:rPr>
        <w:t>16</w:t>
      </w:r>
      <w:r w:rsidRPr="007B7129">
        <w:t>).</w:t>
      </w:r>
      <w:r w:rsidRPr="007B7129">
        <w:fldChar w:fldCharType="begin"/>
      </w:r>
      <w:r w:rsidRPr="007B7129">
        <w:instrText xml:space="preserve"> ADDIN ZOTERO_ITEM CSL_CITATION {"citationID":"ekN411yo","properties":{"formattedCitation":"\\super 101\\nosupersub{}","plainCitation":"101","noteIndex":0},"citationItems":[{"id":479,"uris":["http://zotero.org/users/6503767/items/Y4HU6458"],"itemData":{"id":479,"type":"article-journal","abstract":"A mild and efficient one-pot reaction for the synthesis of 1-substituted β-carboline derivatives via the Minisci reaction has been developed with good yields and selectivity. In addition, the mechanism of the 1-substituted β-carboline derivatives by means of the nucleophilic radical is described.","container-title":"Synthetic Communications","DOI":"10.1080/00397911.2010.519092","ISSN":"0039-7911","issue":"23","note":"publisher: Taylor &amp; Francis\n_eprint: https://doi.org/10.1080/00397911.2010.519092","page":"3541-3550","source":"Taylor and Francis+NEJM","title":"A Facile Synthesis of 1-Substituted β-Carboline Derivatives via Minisci-Reaction","volume":"41","author":[{"family":"Lin","given":"Guowu"},{"family":"Wang","given":"Yue"},{"family":"Zhou","given":"Qingfa"},{"family":"Tang","given":"Weifang"},{"family":"Wang","given":"Jian"},{"family":"Lu","given":"Tao"}],"issued":{"date-parts":[["2011",12,1]]}}}],"schema":"https://github.com/citation-style-language/schema/raw/master/csl-citation.json"} </w:instrText>
      </w:r>
      <w:r w:rsidRPr="007B7129">
        <w:fldChar w:fldCharType="separate"/>
      </w:r>
      <w:r w:rsidRPr="007B7129">
        <w:rPr>
          <w:rFonts w:cs="Times New Roman"/>
          <w:szCs w:val="24"/>
          <w:vertAlign w:val="superscript"/>
        </w:rPr>
        <w:t>101</w:t>
      </w:r>
      <w:r w:rsidRPr="007B7129">
        <w:fldChar w:fldCharType="end"/>
      </w:r>
      <w:r w:rsidRPr="007B7129">
        <w:t xml:space="preserve"> There are some drawbacks to this reaction, such as the inconsistent yields, the resulting mixture of </w:t>
      </w:r>
      <w:proofErr w:type="spellStart"/>
      <w:r w:rsidRPr="007B7129">
        <w:t>regioisomers</w:t>
      </w:r>
      <w:proofErr w:type="spellEnd"/>
      <w:r w:rsidRPr="007B7129">
        <w:t xml:space="preserve"> might be difficult to purify, and harsh acidic reagents (concentrated sulfuric acid) might not be a viable option for some substrates. Our </w:t>
      </w:r>
      <w:r w:rsidRPr="007B7129">
        <w:lastRenderedPageBreak/>
        <w:t xml:space="preserve">future studies might find utility in this reaction if </w:t>
      </w:r>
      <w:r w:rsidRPr="007B7129">
        <w:rPr>
          <w:b/>
          <w:bCs/>
        </w:rPr>
        <w:t>Approach 2</w:t>
      </w:r>
      <w:r w:rsidRPr="007B7129">
        <w:t xml:space="preserve"> was reworked for nucleophilic aromatic substitution.</w:t>
      </w:r>
      <w:r w:rsidRPr="007B7129">
        <w:rPr>
          <w:noProof/>
        </w:rPr>
        <w:t xml:space="preserve"> </w:t>
      </w:r>
    </w:p>
    <w:p w14:paraId="596540B8" w14:textId="77777777" w:rsidR="007B7129" w:rsidRPr="007B7129" w:rsidRDefault="007B7129" w:rsidP="007B7129">
      <w:pPr>
        <w:spacing w:after="0"/>
        <w:ind w:left="720" w:firstLine="720"/>
      </w:pPr>
      <w:r w:rsidRPr="007B7129">
        <w:rPr>
          <w:noProof/>
        </w:rPr>
        <mc:AlternateContent>
          <mc:Choice Requires="wps">
            <w:drawing>
              <wp:inline distT="0" distB="0" distL="0" distR="0" wp14:anchorId="2BD27B1D" wp14:editId="44C9E126">
                <wp:extent cx="4030980" cy="2989580"/>
                <wp:effectExtent l="0" t="0" r="26670" b="20320"/>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980" cy="2989580"/>
                        </a:xfrm>
                        <a:prstGeom prst="rect">
                          <a:avLst/>
                        </a:prstGeom>
                        <a:solidFill>
                          <a:srgbClr val="FFFFFF"/>
                        </a:solidFill>
                        <a:ln w="9525">
                          <a:solidFill>
                            <a:srgbClr val="000000"/>
                          </a:solidFill>
                          <a:miter lim="800000"/>
                          <a:headEnd/>
                          <a:tailEnd/>
                        </a:ln>
                      </wps:spPr>
                      <wps:txbx>
                        <w:txbxContent>
                          <w:p w14:paraId="6F76A623" w14:textId="77777777" w:rsidR="007B7129" w:rsidRDefault="007B7129" w:rsidP="007B7129">
                            <w:pPr>
                              <w:keepNext/>
                              <w:spacing w:after="0"/>
                              <w:jc w:val="center"/>
                            </w:pPr>
                            <w:r>
                              <w:object w:dxaOrig="4570" w:dyaOrig="3093" w14:anchorId="44363AB2">
                                <v:shape id="_x0000_i1123" type="#_x0000_t75" style="width:229.1pt;height:155.2pt">
                                  <v:imagedata r:id="rId339" o:title=""/>
                                </v:shape>
                                <o:OLEObject Type="Embed" ProgID="ChemDraw.Document.6.0" ShapeID="_x0000_i1123" DrawAspect="Content" ObjectID="_1713353519" r:id="rId340"/>
                              </w:object>
                            </w:r>
                          </w:p>
                          <w:p w14:paraId="35D08700" w14:textId="17402995" w:rsidR="007B7129" w:rsidRDefault="007B7129" w:rsidP="00DF51F5">
                            <w:pPr>
                              <w:pStyle w:val="Caption"/>
                            </w:pPr>
                            <w:bookmarkStart w:id="438" w:name="_Ref97335478"/>
                            <w:r>
                              <w:t>Scheme 3.</w:t>
                            </w:r>
                            <w:bookmarkEnd w:id="438"/>
                            <w:r w:rsidR="00095D0F">
                              <w:t>16</w:t>
                            </w:r>
                            <w:r>
                              <w:t xml:space="preserve">. </w:t>
                            </w:r>
                            <w:proofErr w:type="spellStart"/>
                            <w:r>
                              <w:t>Minisci</w:t>
                            </w:r>
                            <w:proofErr w:type="spellEnd"/>
                            <w:r>
                              <w:t xml:space="preserve"> reaction for the synthesis of 1-substituted </w:t>
                            </w:r>
                            <w:r>
                              <w:rPr>
                                <w:rFonts w:cs="Times New Roman"/>
                              </w:rPr>
                              <w:t>β</w:t>
                            </w:r>
                            <w:r>
                              <w:t xml:space="preserve">-carbolines from Lin et al. </w:t>
                            </w:r>
                          </w:p>
                          <w:p w14:paraId="1BD7CF43" w14:textId="77777777" w:rsidR="007B7129" w:rsidRDefault="007B7129" w:rsidP="007B7129">
                            <w:r>
                              <w:t>Reagents and conditions: R-H, H</w:t>
                            </w:r>
                            <w:r w:rsidRPr="004A791C">
                              <w:rPr>
                                <w:vertAlign w:val="subscript"/>
                              </w:rPr>
                              <w:t>2</w:t>
                            </w:r>
                            <w:r>
                              <w:t>SO</w:t>
                            </w:r>
                            <w:r w:rsidRPr="004A791C">
                              <w:rPr>
                                <w:vertAlign w:val="subscript"/>
                              </w:rPr>
                              <w:t>4</w:t>
                            </w:r>
                            <w:r>
                              <w:t>, FeSO</w:t>
                            </w:r>
                            <w:r w:rsidRPr="004A791C">
                              <w:rPr>
                                <w:vertAlign w:val="subscript"/>
                              </w:rPr>
                              <w:t>4</w:t>
                            </w:r>
                            <w:r>
                              <w:t>, H</w:t>
                            </w:r>
                            <w:r w:rsidRPr="004A791C">
                              <w:rPr>
                                <w:vertAlign w:val="subscript"/>
                              </w:rPr>
                              <w:t>2</w:t>
                            </w:r>
                            <w:r>
                              <w:t>O</w:t>
                            </w:r>
                            <w:r w:rsidRPr="004A791C">
                              <w:rPr>
                                <w:vertAlign w:val="subscript"/>
                              </w:rPr>
                              <w:t>2</w:t>
                            </w:r>
                            <w:r>
                              <w:t xml:space="preserve">. </w:t>
                            </w:r>
                          </w:p>
                        </w:txbxContent>
                      </wps:txbx>
                      <wps:bodyPr rot="0" vert="horz" wrap="square" lIns="91440" tIns="45720" rIns="91440" bIns="45720" anchor="t" anchorCtr="0">
                        <a:noAutofit/>
                      </wps:bodyPr>
                    </wps:wsp>
                  </a:graphicData>
                </a:graphic>
              </wp:inline>
            </w:drawing>
          </mc:Choice>
          <mc:Fallback>
            <w:pict>
              <v:shape w14:anchorId="2BD27B1D" id="_x0000_s1108" type="#_x0000_t202" style="width:317.4pt;height:23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">
                <v:textbox>
                  <w:txbxContent>
                    <w:p w14:paraId="6F76A623" w14:textId="77777777" w:rsidR="007B7129" w:rsidRDefault="007B7129" w:rsidP="007B7129">
                      <w:pPr>
                        <w:keepNext/>
                        <w:spacing w:after="0"/>
                        <w:jc w:val="center"/>
                      </w:pPr>
                      <w:r>
                        <w:object w:dxaOrig="4570" w:dyaOrig="3093" w14:anchorId="44363AB2">
                          <v:shape id="_x0000_i1123" type="#_x0000_t75" style="width:229.1pt;height:155.2pt">
                            <v:imagedata r:id="rId339" o:title=""/>
                          </v:shape>
                          <o:OLEObject Type="Embed" ProgID="ChemDraw.Document.6.0" ShapeID="_x0000_i1123" DrawAspect="Content" ObjectID="_1713353519" r:id="rId341"/>
                        </w:object>
                      </w:r>
                    </w:p>
                    <w:p w14:paraId="35D08700" w14:textId="17402995" w:rsidR="007B7129" w:rsidRDefault="007B7129" w:rsidP="00DF51F5">
                      <w:pPr>
                        <w:pStyle w:val="Caption"/>
                      </w:pPr>
                      <w:bookmarkStart w:id="439" w:name="_Ref97335478"/>
                      <w:r>
                        <w:t>Scheme 3.</w:t>
                      </w:r>
                      <w:bookmarkEnd w:id="439"/>
                      <w:r w:rsidR="00095D0F">
                        <w:t>16</w:t>
                      </w:r>
                      <w:r>
                        <w:t xml:space="preserve">. </w:t>
                      </w:r>
                      <w:proofErr w:type="spellStart"/>
                      <w:r>
                        <w:t>Minisci</w:t>
                      </w:r>
                      <w:proofErr w:type="spellEnd"/>
                      <w:r>
                        <w:t xml:space="preserve"> reaction for the synthesis of 1-substituted </w:t>
                      </w:r>
                      <w:r>
                        <w:rPr>
                          <w:rFonts w:cs="Times New Roman"/>
                        </w:rPr>
                        <w:t>β</w:t>
                      </w:r>
                      <w:r>
                        <w:t xml:space="preserve">-carbolines from Lin et al. </w:t>
                      </w:r>
                    </w:p>
                    <w:p w14:paraId="1BD7CF43" w14:textId="77777777" w:rsidR="007B7129" w:rsidRDefault="007B7129" w:rsidP="007B7129">
                      <w:r>
                        <w:t>Reagents and conditions: R-H, H</w:t>
                      </w:r>
                      <w:r w:rsidRPr="004A791C">
                        <w:rPr>
                          <w:vertAlign w:val="subscript"/>
                        </w:rPr>
                        <w:t>2</w:t>
                      </w:r>
                      <w:r>
                        <w:t>SO</w:t>
                      </w:r>
                      <w:r w:rsidRPr="004A791C">
                        <w:rPr>
                          <w:vertAlign w:val="subscript"/>
                        </w:rPr>
                        <w:t>4</w:t>
                      </w:r>
                      <w:r>
                        <w:t>, FeSO</w:t>
                      </w:r>
                      <w:r w:rsidRPr="004A791C">
                        <w:rPr>
                          <w:vertAlign w:val="subscript"/>
                        </w:rPr>
                        <w:t>4</w:t>
                      </w:r>
                      <w:r>
                        <w:t>, H</w:t>
                      </w:r>
                      <w:r w:rsidRPr="004A791C">
                        <w:rPr>
                          <w:vertAlign w:val="subscript"/>
                        </w:rPr>
                        <w:t>2</w:t>
                      </w:r>
                      <w:r>
                        <w:t>O</w:t>
                      </w:r>
                      <w:r w:rsidRPr="004A791C">
                        <w:rPr>
                          <w:vertAlign w:val="subscript"/>
                        </w:rPr>
                        <w:t>2</w:t>
                      </w:r>
                      <w:r>
                        <w:t xml:space="preserve">. </w:t>
                      </w:r>
                    </w:p>
                  </w:txbxContent>
                </v:textbox>
                <w10:anchorlock/>
              </v:shape>
            </w:pict>
          </mc:Fallback>
        </mc:AlternateContent>
      </w:r>
    </w:p>
    <w:p w14:paraId="1C70A75E" w14:textId="1FF7AE6F" w:rsidR="007B7129" w:rsidRPr="007B7129" w:rsidRDefault="007B7129" w:rsidP="007B7129">
      <w:pPr>
        <w:spacing w:after="0"/>
        <w:ind w:firstLine="720"/>
      </w:pPr>
      <w:r w:rsidRPr="007B7129">
        <w:t xml:space="preserve">Secondly, halogenation of the </w:t>
      </w:r>
      <w:r w:rsidRPr="007B7129">
        <w:rPr>
          <w:rFonts w:cs="Times New Roman"/>
        </w:rPr>
        <w:t>β</w:t>
      </w:r>
      <w:r w:rsidRPr="007B7129">
        <w:t xml:space="preserve">-carboline was not tried. Substituted </w:t>
      </w:r>
      <w:r w:rsidRPr="007B7129">
        <w:rPr>
          <w:rFonts w:cs="Times New Roman"/>
        </w:rPr>
        <w:t>α</w:t>
      </w:r>
      <w:r w:rsidRPr="007B7129">
        <w:t xml:space="preserve">-carbolines have been synthesized via </w:t>
      </w:r>
      <w:proofErr w:type="spellStart"/>
      <w:r w:rsidRPr="007B7129">
        <w:t>Sonogashira</w:t>
      </w:r>
      <w:proofErr w:type="spellEnd"/>
      <w:r w:rsidRPr="007B7129">
        <w:t xml:space="preserve"> cross-coupling reactions from the corresponding </w:t>
      </w:r>
      <w:proofErr w:type="spellStart"/>
      <w:r w:rsidRPr="007B7129">
        <w:t>chloropyrido</w:t>
      </w:r>
      <w:proofErr w:type="spellEnd"/>
      <w:r w:rsidRPr="007B7129">
        <w:t>[2,3-</w:t>
      </w:r>
      <w:r w:rsidRPr="007B7129">
        <w:rPr>
          <w:i/>
          <w:iCs/>
        </w:rPr>
        <w:t>b</w:t>
      </w:r>
      <w:r w:rsidRPr="007B7129">
        <w:t>]indoles (</w:t>
      </w:r>
      <w:r w:rsidRPr="007B7129">
        <w:rPr>
          <w:b/>
          <w:bCs/>
        </w:rPr>
        <w:fldChar w:fldCharType="begin"/>
      </w:r>
      <w:r w:rsidRPr="007B7129">
        <w:rPr>
          <w:b/>
          <w:bCs/>
        </w:rPr>
        <w:instrText xml:space="preserve"> REF _Ref97335803 \h  \* MERGEFORMAT </w:instrText>
      </w:r>
      <w:r w:rsidRPr="007B7129">
        <w:rPr>
          <w:b/>
          <w:bCs/>
        </w:rPr>
      </w:r>
      <w:r w:rsidRPr="007B7129">
        <w:rPr>
          <w:b/>
          <w:bCs/>
        </w:rPr>
        <w:fldChar w:fldCharType="separate"/>
      </w:r>
      <w:r w:rsidR="00AA5AAC" w:rsidRPr="00AA5AAC">
        <w:rPr>
          <w:b/>
          <w:bCs/>
        </w:rPr>
        <w:t xml:space="preserve">Scheme </w:t>
      </w:r>
      <w:r w:rsidR="00AA5AAC" w:rsidRPr="00AA5AAC">
        <w:rPr>
          <w:b/>
          <w:bCs/>
          <w:noProof/>
        </w:rPr>
        <w:t>3.</w:t>
      </w:r>
      <w:r w:rsidRPr="007B7129">
        <w:rPr>
          <w:b/>
          <w:bCs/>
        </w:rPr>
        <w:fldChar w:fldCharType="end"/>
      </w:r>
      <w:r w:rsidR="004F5DA7">
        <w:rPr>
          <w:b/>
          <w:bCs/>
        </w:rPr>
        <w:t>17</w:t>
      </w:r>
      <w:r w:rsidRPr="007B7129">
        <w:t>).</w:t>
      </w:r>
      <w:r w:rsidRPr="007B7129">
        <w:fldChar w:fldCharType="begin"/>
      </w:r>
      <w:r w:rsidRPr="007B7129">
        <w:instrText xml:space="preserve"> ADDIN ZOTERO_ITEM CSL_CITATION {"citationID":"YbhSluqP","properties":{"formattedCitation":"\\super 102\\nosupersub{}","plainCitation":"102","noteIndex":0},"citationItems":[{"id":447,"uris":["http://zotero.org/users/6503767/items/4AHCNTRC"],"itemData":{"id":447,"type":"article-journal","abstract":"Abstract The synthesis of 2-, 3-, and 4-substituted α-carbolines is described starting from the corresponding chloropyrido[2,3-b]indoles by Buchwald?Hartwig and Sonogashira cross-coupling reactions. Regioselective Sonogashira reactions on 2,4-dichloropyrido[2,3-b]indoles are also presented as an efficient route to unsymmetrically 2,4-disubstituted α-carbolines.","container-title":"European Journal of Organic Chemistry","DOI":"10.1002/ejoc.201000795","ISSN":"1434-193X","issue":"34","note":"publisher: John Wiley &amp; Sons, Ltd","page":"6665-6677","source":"chemistry-europe-onlinelibrary-wiley-com.ezproxy.lib.ou.edu (Atypon)","title":"Synthesis of 2-, 3-, and 4-Substituted Pyrido[2,3-b]indoles by C–N, C–O, and C–C(sp) Bond Formation","volume":"2010","author":[{"family":"Schneider","given":"Cédric"},{"family":"Goyard","given":"David"},{"family":"Gueyrard","given":"David"},{"family":"Joseph","given":"Benoît"},{"family":"Goekjian","given":"Peter G."}],"issued":{"date-parts":[["2010",12]]}}}],"schema":"https://github.com/citation-style-language/schema/raw/master/csl-citation.json"} </w:instrText>
      </w:r>
      <w:r w:rsidRPr="007B7129">
        <w:fldChar w:fldCharType="separate"/>
      </w:r>
      <w:r w:rsidRPr="007B7129">
        <w:rPr>
          <w:rFonts w:cs="Times New Roman"/>
          <w:szCs w:val="24"/>
          <w:vertAlign w:val="superscript"/>
        </w:rPr>
        <w:t>102</w:t>
      </w:r>
      <w:r w:rsidRPr="007B7129">
        <w:fldChar w:fldCharType="end"/>
      </w:r>
      <w:r w:rsidRPr="007B7129">
        <w:t xml:space="preserve"> While </w:t>
      </w:r>
      <w:r w:rsidRPr="007B7129">
        <w:rPr>
          <w:rFonts w:cs="Times New Roman"/>
        </w:rPr>
        <w:t>α</w:t>
      </w:r>
      <w:r w:rsidRPr="007B7129">
        <w:t xml:space="preserve">-carbolines should exhibit different reactivity than </w:t>
      </w:r>
      <w:r w:rsidRPr="007B7129">
        <w:rPr>
          <w:rFonts w:cs="Times New Roman"/>
        </w:rPr>
        <w:t>β</w:t>
      </w:r>
      <w:r w:rsidRPr="007B7129">
        <w:t xml:space="preserve">-carbolines and the substrate scope was limited to aromatic and alkyne compounds, C-C bond formation was achieved on an indole-pyridine fused heteroaromatic system. This prompts the possibility that halogenated </w:t>
      </w:r>
      <w:r w:rsidRPr="007B7129">
        <w:rPr>
          <w:rFonts w:cs="Times New Roman"/>
        </w:rPr>
        <w:t>β</w:t>
      </w:r>
      <w:r w:rsidRPr="007B7129">
        <w:t xml:space="preserve">-carbolines could undergo coupling reactions, opening new synthetic space for this total synthesis project. </w:t>
      </w:r>
    </w:p>
    <w:p w14:paraId="28D1706E" w14:textId="77777777" w:rsidR="007B7129" w:rsidRPr="007B7129" w:rsidRDefault="007B7129" w:rsidP="007B7129">
      <w:pPr>
        <w:spacing w:line="259" w:lineRule="auto"/>
        <w:ind w:left="720" w:firstLine="720"/>
        <w:jc w:val="left"/>
      </w:pPr>
      <w:r w:rsidRPr="007B7129">
        <w:rPr>
          <w:noProof/>
        </w:rPr>
        <w:lastRenderedPageBreak/>
        <mc:AlternateContent>
          <mc:Choice Requires="wps">
            <w:drawing>
              <wp:inline distT="0" distB="0" distL="0" distR="0" wp14:anchorId="0FCF51F0" wp14:editId="1F872394">
                <wp:extent cx="4317365" cy="2098675"/>
                <wp:effectExtent l="0" t="0" r="26035" b="15875"/>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7365" cy="2098675"/>
                        </a:xfrm>
                        <a:prstGeom prst="rect">
                          <a:avLst/>
                        </a:prstGeom>
                        <a:solidFill>
                          <a:srgbClr val="FFFFFF"/>
                        </a:solidFill>
                        <a:ln w="9525">
                          <a:solidFill>
                            <a:srgbClr val="000000"/>
                          </a:solidFill>
                          <a:miter lim="800000"/>
                          <a:headEnd/>
                          <a:tailEnd/>
                        </a:ln>
                      </wps:spPr>
                      <wps:txbx>
                        <w:txbxContent>
                          <w:p w14:paraId="07877168" w14:textId="77777777" w:rsidR="007B7129" w:rsidRDefault="007B7129" w:rsidP="007B7129">
                            <w:pPr>
                              <w:keepNext/>
                              <w:spacing w:after="0"/>
                              <w:jc w:val="center"/>
                            </w:pPr>
                            <w:r>
                              <w:object w:dxaOrig="6036" w:dyaOrig="1238" w14:anchorId="767BD42B">
                                <v:shape id="_x0000_i1125" type="#_x0000_t75" style="width:302.5pt;height:61.25pt">
                                  <v:imagedata r:id="rId342" o:title=""/>
                                </v:shape>
                                <o:OLEObject Type="Embed" ProgID="ChemDraw.Document.6.0" ShapeID="_x0000_i1125" DrawAspect="Content" ObjectID="_1713353520" r:id="rId343"/>
                              </w:object>
                            </w:r>
                          </w:p>
                          <w:p w14:paraId="721658F4" w14:textId="4852D542" w:rsidR="007B7129" w:rsidRPr="006C00B9" w:rsidRDefault="007B7129" w:rsidP="00DF51F5">
                            <w:pPr>
                              <w:pStyle w:val="Caption"/>
                            </w:pPr>
                            <w:bookmarkStart w:id="440" w:name="_Ref97335803"/>
                            <w:r>
                              <w:t>Scheme 3.</w:t>
                            </w:r>
                            <w:bookmarkEnd w:id="440"/>
                            <w:r w:rsidR="00095D0F">
                              <w:t>17</w:t>
                            </w:r>
                            <w:r>
                              <w:t xml:space="preserve">. Representative example of C-C bond formation on </w:t>
                            </w:r>
                            <w:r>
                              <w:rPr>
                                <w:rFonts w:cs="Times New Roman"/>
                              </w:rPr>
                              <w:t>α</w:t>
                            </w:r>
                            <w:r>
                              <w:t xml:space="preserve">-carbolines by Schneider et al. </w:t>
                            </w:r>
                          </w:p>
                          <w:p w14:paraId="5E5F6EFE" w14:textId="77777777" w:rsidR="007B7129" w:rsidRDefault="007B7129" w:rsidP="007B7129">
                            <w:pPr>
                              <w:spacing w:line="240" w:lineRule="auto"/>
                            </w:pPr>
                            <w:r>
                              <w:t>Reagents and conditions: [PdCl</w:t>
                            </w:r>
                            <w:r w:rsidRPr="006C00B9">
                              <w:rPr>
                                <w:vertAlign w:val="subscript"/>
                              </w:rPr>
                              <w:t>2</w:t>
                            </w:r>
                            <w:r>
                              <w:t>(</w:t>
                            </w:r>
                            <w:proofErr w:type="spellStart"/>
                            <w:r>
                              <w:t>MeCN</w:t>
                            </w:r>
                            <w:proofErr w:type="spellEnd"/>
                            <w:r>
                              <w:t>)</w:t>
                            </w:r>
                            <w:r w:rsidRPr="006C00B9">
                              <w:rPr>
                                <w:vertAlign w:val="subscript"/>
                              </w:rPr>
                              <w:t>2</w:t>
                            </w:r>
                            <w:r>
                              <w:t>] (0.08 eq.), X-Phos (0.16 eq.), Cs</w:t>
                            </w:r>
                            <w:r w:rsidRPr="006C00B9">
                              <w:rPr>
                                <w:vertAlign w:val="subscript"/>
                              </w:rPr>
                              <w:t>2</w:t>
                            </w:r>
                            <w:r>
                              <w:t>CO</w:t>
                            </w:r>
                            <w:r w:rsidRPr="006C00B9">
                              <w:rPr>
                                <w:vertAlign w:val="subscript"/>
                              </w:rPr>
                              <w:t>3</w:t>
                            </w:r>
                            <w:r>
                              <w:t xml:space="preserve"> (2.6 eq.), acetylene (1.3 eq.), </w:t>
                            </w:r>
                            <w:proofErr w:type="spellStart"/>
                            <w:r>
                              <w:t>MeCN</w:t>
                            </w:r>
                            <w:proofErr w:type="spellEnd"/>
                            <w:r>
                              <w:t xml:space="preserve">, 90 </w:t>
                            </w:r>
                            <w:r>
                              <w:rPr>
                                <w:rFonts w:cs="Times New Roman"/>
                              </w:rPr>
                              <w:t>̊</w:t>
                            </w:r>
                            <w:r>
                              <w:t xml:space="preserve">C, 12 h. When R = Ph, 95% yield.  </w:t>
                            </w:r>
                          </w:p>
                        </w:txbxContent>
                      </wps:txbx>
                      <wps:bodyPr rot="0" vert="horz" wrap="square" lIns="91440" tIns="45720" rIns="91440" bIns="45720" anchor="t" anchorCtr="0">
                        <a:noAutofit/>
                      </wps:bodyPr>
                    </wps:wsp>
                  </a:graphicData>
                </a:graphic>
              </wp:inline>
            </w:drawing>
          </mc:Choice>
          <mc:Fallback>
            <w:pict>
              <v:shape w14:anchorId="0FCF51F0" id="_x0000_s1109" type="#_x0000_t202" style="width:339.95pt;height:1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">
                <v:textbox>
                  <w:txbxContent>
                    <w:p w14:paraId="07877168" w14:textId="77777777" w:rsidR="007B7129" w:rsidRDefault="007B7129" w:rsidP="007B7129">
                      <w:pPr>
                        <w:keepNext/>
                        <w:spacing w:after="0"/>
                        <w:jc w:val="center"/>
                      </w:pPr>
                      <w:r>
                        <w:object w:dxaOrig="6036" w:dyaOrig="1238" w14:anchorId="767BD42B">
                          <v:shape id="_x0000_i1125" type="#_x0000_t75" style="width:302.5pt;height:61.25pt">
                            <v:imagedata r:id="rId342" o:title=""/>
                          </v:shape>
                          <o:OLEObject Type="Embed" ProgID="ChemDraw.Document.6.0" ShapeID="_x0000_i1125" DrawAspect="Content" ObjectID="_1713353520" r:id="rId344"/>
                        </w:object>
                      </w:r>
                    </w:p>
                    <w:p w14:paraId="721658F4" w14:textId="4852D542" w:rsidR="007B7129" w:rsidRPr="006C00B9" w:rsidRDefault="007B7129" w:rsidP="00DF51F5">
                      <w:pPr>
                        <w:pStyle w:val="Caption"/>
                      </w:pPr>
                      <w:bookmarkStart w:id="441" w:name="_Ref97335803"/>
                      <w:r>
                        <w:t>Scheme 3.</w:t>
                      </w:r>
                      <w:bookmarkEnd w:id="441"/>
                      <w:r w:rsidR="00095D0F">
                        <w:t>17</w:t>
                      </w:r>
                      <w:r>
                        <w:t xml:space="preserve">. Representative example of C-C bond formation on </w:t>
                      </w:r>
                      <w:r>
                        <w:rPr>
                          <w:rFonts w:cs="Times New Roman"/>
                        </w:rPr>
                        <w:t>α</w:t>
                      </w:r>
                      <w:r>
                        <w:t xml:space="preserve">-carbolines by Schneider et al. </w:t>
                      </w:r>
                    </w:p>
                    <w:p w14:paraId="5E5F6EFE" w14:textId="77777777" w:rsidR="007B7129" w:rsidRDefault="007B7129" w:rsidP="007B7129">
                      <w:pPr>
                        <w:spacing w:line="240" w:lineRule="auto"/>
                      </w:pPr>
                      <w:r>
                        <w:t>Reagents and conditions: [PdCl</w:t>
                      </w:r>
                      <w:r w:rsidRPr="006C00B9">
                        <w:rPr>
                          <w:vertAlign w:val="subscript"/>
                        </w:rPr>
                        <w:t>2</w:t>
                      </w:r>
                      <w:r>
                        <w:t>(</w:t>
                      </w:r>
                      <w:proofErr w:type="spellStart"/>
                      <w:r>
                        <w:t>MeCN</w:t>
                      </w:r>
                      <w:proofErr w:type="spellEnd"/>
                      <w:r>
                        <w:t>)</w:t>
                      </w:r>
                      <w:r w:rsidRPr="006C00B9">
                        <w:rPr>
                          <w:vertAlign w:val="subscript"/>
                        </w:rPr>
                        <w:t>2</w:t>
                      </w:r>
                      <w:r>
                        <w:t>] (0.08 eq.), X-Phos (0.16 eq.), Cs</w:t>
                      </w:r>
                      <w:r w:rsidRPr="006C00B9">
                        <w:rPr>
                          <w:vertAlign w:val="subscript"/>
                        </w:rPr>
                        <w:t>2</w:t>
                      </w:r>
                      <w:r>
                        <w:t>CO</w:t>
                      </w:r>
                      <w:r w:rsidRPr="006C00B9">
                        <w:rPr>
                          <w:vertAlign w:val="subscript"/>
                        </w:rPr>
                        <w:t>3</w:t>
                      </w:r>
                      <w:r>
                        <w:t xml:space="preserve"> (2.6 eq.), acetylene (1.3 eq.), </w:t>
                      </w:r>
                      <w:proofErr w:type="spellStart"/>
                      <w:r>
                        <w:t>MeCN</w:t>
                      </w:r>
                      <w:proofErr w:type="spellEnd"/>
                      <w:r>
                        <w:t xml:space="preserve">, 90 </w:t>
                      </w:r>
                      <w:r>
                        <w:rPr>
                          <w:rFonts w:cs="Times New Roman"/>
                        </w:rPr>
                        <w:t>̊</w:t>
                      </w:r>
                      <w:r>
                        <w:t xml:space="preserve">C, 12 h. When R = Ph, 95% yield.  </w:t>
                      </w:r>
                    </w:p>
                  </w:txbxContent>
                </v:textbox>
                <w10:anchorlock/>
              </v:shape>
            </w:pict>
          </mc:Fallback>
        </mc:AlternateContent>
      </w:r>
    </w:p>
    <w:p w14:paraId="05D2F70B" w14:textId="77777777" w:rsidR="007B7129" w:rsidRPr="007B7129" w:rsidRDefault="007B7129" w:rsidP="007B7129">
      <w:pPr>
        <w:ind w:firstLine="720"/>
      </w:pPr>
      <w:r w:rsidRPr="007B7129">
        <w:t xml:space="preserve">While I was unable to synthesize any picrasidine natural products, great strides were made towards the construction and functionalization of </w:t>
      </w:r>
      <w:r w:rsidRPr="007B7129">
        <w:rPr>
          <w:rFonts w:cs="Times New Roman"/>
        </w:rPr>
        <w:t>β</w:t>
      </w:r>
      <w:r w:rsidRPr="007B7129">
        <w:t xml:space="preserve">-carboline heterocycles. The complex heterocycle formation from </w:t>
      </w:r>
      <w:r w:rsidRPr="007B7129">
        <w:rPr>
          <w:b/>
          <w:bCs/>
        </w:rPr>
        <w:t>Approach 1</w:t>
      </w:r>
      <w:r w:rsidRPr="007B7129">
        <w:t>, along with the synthesis of 1-THF-</w:t>
      </w:r>
      <w:r w:rsidRPr="007B7129">
        <w:rPr>
          <w:rFonts w:cs="Times New Roman"/>
        </w:rPr>
        <w:t>β</w:t>
      </w:r>
      <w:r w:rsidRPr="007B7129">
        <w:t xml:space="preserve">-carboline </w:t>
      </w:r>
      <w:r w:rsidRPr="007B7129">
        <w:rPr>
          <w:b/>
          <w:bCs/>
        </w:rPr>
        <w:t>3.47</w:t>
      </w:r>
      <w:r w:rsidRPr="007B7129">
        <w:t xml:space="preserve"> during the exploration of </w:t>
      </w:r>
      <w:r w:rsidRPr="007B7129">
        <w:rPr>
          <w:b/>
          <w:bCs/>
        </w:rPr>
        <w:t>Approach 2</w:t>
      </w:r>
      <w:r w:rsidRPr="007B7129">
        <w:t xml:space="preserve"> signifies that there are clear paths forward. </w:t>
      </w:r>
    </w:p>
    <w:p w14:paraId="095C14A0" w14:textId="77777777" w:rsidR="007B7129" w:rsidRPr="007B7129" w:rsidRDefault="007B7129" w:rsidP="007B7129">
      <w:pPr>
        <w:spacing w:after="0"/>
        <w:ind w:firstLine="720"/>
        <w:rPr>
          <w:rFonts w:cs="Times New Roman"/>
          <w:szCs w:val="24"/>
        </w:rPr>
      </w:pPr>
    </w:p>
    <w:p w14:paraId="2C8FF75F" w14:textId="77777777" w:rsidR="007B7129" w:rsidRPr="007B7129" w:rsidRDefault="007B7129" w:rsidP="00595321">
      <w:pPr>
        <w:pStyle w:val="Section"/>
      </w:pPr>
      <w:bookmarkStart w:id="442" w:name="_Toc97337868"/>
      <w:bookmarkStart w:id="443" w:name="_Toc100241923"/>
      <w:bookmarkStart w:id="444" w:name="_Toc102586287"/>
      <w:r w:rsidRPr="007B7129">
        <w:t>3.6 Experimental</w:t>
      </w:r>
      <w:bookmarkEnd w:id="442"/>
      <w:bookmarkEnd w:id="443"/>
      <w:bookmarkEnd w:id="444"/>
    </w:p>
    <w:p w14:paraId="2A11C8A9" w14:textId="77777777" w:rsidR="007B7129" w:rsidRPr="007B7129" w:rsidRDefault="007B7129" w:rsidP="00595321">
      <w:pPr>
        <w:pStyle w:val="Subsection"/>
      </w:pPr>
      <w:bookmarkStart w:id="445" w:name="_Toc97337869"/>
      <w:bookmarkStart w:id="446" w:name="_Toc100241924"/>
      <w:bookmarkStart w:id="447" w:name="_Toc102586288"/>
      <w:r w:rsidRPr="007B7129">
        <w:t>3.6.1 General chemistry methods</w:t>
      </w:r>
      <w:bookmarkEnd w:id="445"/>
      <w:bookmarkEnd w:id="446"/>
      <w:bookmarkEnd w:id="447"/>
    </w:p>
    <w:p w14:paraId="074BCA5F" w14:textId="77777777" w:rsidR="007B7129" w:rsidRPr="007B7129" w:rsidRDefault="007B7129" w:rsidP="007B7129">
      <w:pPr>
        <w:spacing w:after="0"/>
        <w:ind w:firstLine="720"/>
        <w:rPr>
          <w:rFonts w:cs="Times New Roman"/>
          <w:szCs w:val="24"/>
        </w:rPr>
      </w:pPr>
      <w:r w:rsidRPr="007B7129">
        <w:rPr>
          <w:rFonts w:cs="Times New Roman"/>
          <w:szCs w:val="24"/>
        </w:rPr>
        <w:t xml:space="preserve">All commercial reagents were used without further purification. Distilled water was used for all water necessities in synthetic procedures (e.g., reagent, solvent, work-up). Flash column chromatography was performed with silica gel 60. TLC analyses were completed with EMD Millipore silica gel coated (250 µM) F254 glass plates and visualized with UV light. NMR samples were prepared in 5 mm tubes with 0.6 mL deuterated solvent. NMR data were all collected on a 300, 400, or 500 MHz (specified below) Varian VNMRS Direct Drive spectrometer equipped with an indirect detection probe. Data was collected at 25 </w:t>
      </w:r>
      <w:proofErr w:type="spellStart"/>
      <w:r w:rsidRPr="007B7129">
        <w:rPr>
          <w:rFonts w:cs="Times New Roman"/>
          <w:szCs w:val="24"/>
          <w:vertAlign w:val="superscript"/>
        </w:rPr>
        <w:t>o</w:t>
      </w:r>
      <w:r w:rsidRPr="007B7129">
        <w:rPr>
          <w:rFonts w:cs="Times New Roman"/>
          <w:szCs w:val="24"/>
        </w:rPr>
        <w:t>C</w:t>
      </w:r>
      <w:proofErr w:type="spellEnd"/>
      <w:r w:rsidRPr="007B7129">
        <w:rPr>
          <w:rFonts w:cs="Times New Roman"/>
          <w:szCs w:val="24"/>
        </w:rPr>
        <w:t xml:space="preserve"> unless otherwise indicated. Pulse sequences were used as supplied by Varian VNMRJ 4.2 software. All NMR data was processed in </w:t>
      </w:r>
      <w:proofErr w:type="spellStart"/>
      <w:r w:rsidRPr="007B7129">
        <w:rPr>
          <w:rFonts w:cs="Times New Roman"/>
          <w:szCs w:val="24"/>
        </w:rPr>
        <w:t>MestreNova</w:t>
      </w:r>
      <w:proofErr w:type="spellEnd"/>
      <w:r w:rsidRPr="007B7129">
        <w:rPr>
          <w:rFonts w:cs="Times New Roman"/>
          <w:szCs w:val="24"/>
        </w:rPr>
        <w:t xml:space="preserve"> v10. Peak positions are reported after reference centering on deuterated solvent of relevance.</w:t>
      </w:r>
    </w:p>
    <w:p w14:paraId="019F633A" w14:textId="77777777" w:rsidR="007B7129" w:rsidRPr="007B7129" w:rsidRDefault="007B7129" w:rsidP="00595321">
      <w:pPr>
        <w:pStyle w:val="Subsection"/>
      </w:pPr>
      <w:bookmarkStart w:id="448" w:name="_Toc97337870"/>
      <w:bookmarkStart w:id="449" w:name="_Toc100241925"/>
      <w:bookmarkStart w:id="450" w:name="_Toc102586289"/>
      <w:r w:rsidRPr="007B7129">
        <w:lastRenderedPageBreak/>
        <w:t>3.6.2 Synthetic procedures for Approach 1.</w:t>
      </w:r>
      <w:bookmarkEnd w:id="448"/>
      <w:bookmarkEnd w:id="449"/>
      <w:bookmarkEnd w:id="450"/>
      <w:r w:rsidRPr="007B7129">
        <w:rPr>
          <w:rFonts w:eastAsia="DengXian"/>
          <w:kern w:val="2"/>
        </w:rPr>
        <w:t xml:space="preserve"> </w:t>
      </w:r>
    </w:p>
    <w:p w14:paraId="5AAE4AD6" w14:textId="77777777" w:rsidR="007B7129" w:rsidRPr="007B7129" w:rsidRDefault="007B7129" w:rsidP="007B7129">
      <w:pPr>
        <w:ind w:left="720" w:firstLine="720"/>
        <w:rPr>
          <w:b/>
          <w:bCs/>
        </w:rPr>
      </w:pPr>
      <w:r w:rsidRPr="007B7129">
        <w:rPr>
          <w:noProof/>
        </w:rPr>
        <mc:AlternateContent>
          <mc:Choice Requires="wps">
            <w:drawing>
              <wp:inline distT="0" distB="0" distL="0" distR="0" wp14:anchorId="1E6CB1DF" wp14:editId="4AF067F7">
                <wp:extent cx="3951605" cy="1741170"/>
                <wp:effectExtent l="0" t="0" r="10795" b="11430"/>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1605" cy="1741170"/>
                        </a:xfrm>
                        <a:prstGeom prst="rect">
                          <a:avLst/>
                        </a:prstGeom>
                        <a:solidFill>
                          <a:srgbClr val="FFFFFF"/>
                        </a:solidFill>
                        <a:ln w="9525">
                          <a:solidFill>
                            <a:srgbClr val="000000"/>
                          </a:solidFill>
                          <a:miter lim="800000"/>
                          <a:headEnd/>
                          <a:tailEnd/>
                        </a:ln>
                      </wps:spPr>
                      <wps:txbx>
                        <w:txbxContent>
                          <w:p w14:paraId="25B065A6" w14:textId="77777777" w:rsidR="007B7129" w:rsidRDefault="007B7129" w:rsidP="007B7129">
                            <w:pPr>
                              <w:keepNext/>
                              <w:spacing w:line="240" w:lineRule="auto"/>
                              <w:jc w:val="center"/>
                            </w:pPr>
                            <w:r>
                              <w:rPr>
                                <w:b/>
                              </w:rPr>
                              <w:object w:dxaOrig="5470" w:dyaOrig="1545" w14:anchorId="2B2781EF">
                                <v:shape id="_x0000_i1127" type="#_x0000_t75" style="width:273.5pt;height:78.1pt">
                                  <v:imagedata r:id="rId345" o:title=""/>
                                </v:shape>
                                <o:OLEObject Type="Embed" ProgID="ChemDraw.Document.6.0" ShapeID="_x0000_i1127" DrawAspect="Content" ObjectID="_1713353521" r:id="rId346"/>
                              </w:object>
                            </w:r>
                          </w:p>
                          <w:p w14:paraId="7B385124" w14:textId="709BD548" w:rsidR="007B7129" w:rsidRDefault="007B7129" w:rsidP="00DF51F5">
                            <w:pPr>
                              <w:pStyle w:val="Caption"/>
                            </w:pPr>
                            <w:r>
                              <w:t>Scheme 3.</w:t>
                            </w:r>
                            <w:r w:rsidR="00232E60">
                              <w:t>18</w:t>
                            </w:r>
                            <w:r>
                              <w:t>. PSR1, step 1.</w:t>
                            </w:r>
                          </w:p>
                          <w:p w14:paraId="3A8DC8FD" w14:textId="77777777" w:rsidR="007B7129" w:rsidRPr="00F5048E" w:rsidRDefault="007B7129" w:rsidP="007B7129">
                            <w:r w:rsidRPr="00F5048E">
                              <w:t>Rea</w:t>
                            </w:r>
                            <w:r>
                              <w:t>gents and conditions: (a) TFA, Et</w:t>
                            </w:r>
                            <w:r w:rsidRPr="00E47A96">
                              <w:rPr>
                                <w:vertAlign w:val="subscript"/>
                              </w:rPr>
                              <w:t>2</w:t>
                            </w:r>
                            <w:r>
                              <w:t xml:space="preserve">O, 0 – 23 </w:t>
                            </w:r>
                            <w:r>
                              <w:rPr>
                                <w:rFonts w:cs="Times New Roman"/>
                              </w:rPr>
                              <w:t>̊</w:t>
                            </w:r>
                            <w:r>
                              <w:t>C, 87%.</w:t>
                            </w:r>
                          </w:p>
                        </w:txbxContent>
                      </wps:txbx>
                      <wps:bodyPr rot="0" vert="horz" wrap="square" lIns="91440" tIns="45720" rIns="91440" bIns="45720" anchor="t" anchorCtr="0">
                        <a:noAutofit/>
                      </wps:bodyPr>
                    </wps:wsp>
                  </a:graphicData>
                </a:graphic>
              </wp:inline>
            </w:drawing>
          </mc:Choice>
          <mc:Fallback>
            <w:pict>
              <v:shape w14:anchorId="1E6CB1DF" id="_x0000_s1110" type="#_x0000_t202" style="width:311.15pt;height:13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">
                <v:textbox>
                  <w:txbxContent>
                    <w:p w14:paraId="25B065A6" w14:textId="77777777" w:rsidR="007B7129" w:rsidRDefault="007B7129" w:rsidP="007B7129">
                      <w:pPr>
                        <w:keepNext/>
                        <w:spacing w:line="240" w:lineRule="auto"/>
                        <w:jc w:val="center"/>
                      </w:pPr>
                      <w:r>
                        <w:rPr>
                          <w:b/>
                        </w:rPr>
                        <w:object w:dxaOrig="5470" w:dyaOrig="1545" w14:anchorId="2B2781EF">
                          <v:shape id="_x0000_i1127" type="#_x0000_t75" style="width:273.5pt;height:78.1pt">
                            <v:imagedata r:id="rId345" o:title=""/>
                          </v:shape>
                          <o:OLEObject Type="Embed" ProgID="ChemDraw.Document.6.0" ShapeID="_x0000_i1127" DrawAspect="Content" ObjectID="_1713353521" r:id="rId347"/>
                        </w:object>
                      </w:r>
                    </w:p>
                    <w:p w14:paraId="7B385124" w14:textId="709BD548" w:rsidR="007B7129" w:rsidRDefault="007B7129" w:rsidP="00DF51F5">
                      <w:pPr>
                        <w:pStyle w:val="Caption"/>
                      </w:pPr>
                      <w:r>
                        <w:t>Scheme 3.</w:t>
                      </w:r>
                      <w:r w:rsidR="00232E60">
                        <w:t>18</w:t>
                      </w:r>
                      <w:r>
                        <w:t>. PSR1, step 1.</w:t>
                      </w:r>
                    </w:p>
                    <w:p w14:paraId="3A8DC8FD" w14:textId="77777777" w:rsidR="007B7129" w:rsidRPr="00F5048E" w:rsidRDefault="007B7129" w:rsidP="007B7129">
                      <w:r w:rsidRPr="00F5048E">
                        <w:t>Rea</w:t>
                      </w:r>
                      <w:r>
                        <w:t>gents and conditions: (a) TFA, Et</w:t>
                      </w:r>
                      <w:r w:rsidRPr="00E47A96">
                        <w:rPr>
                          <w:vertAlign w:val="subscript"/>
                        </w:rPr>
                        <w:t>2</w:t>
                      </w:r>
                      <w:r>
                        <w:t xml:space="preserve">O, 0 – 23 </w:t>
                      </w:r>
                      <w:r>
                        <w:rPr>
                          <w:rFonts w:cs="Times New Roman"/>
                        </w:rPr>
                        <w:t>̊</w:t>
                      </w:r>
                      <w:r>
                        <w:t>C, 87%.</w:t>
                      </w:r>
                    </w:p>
                  </w:txbxContent>
                </v:textbox>
                <w10:anchorlock/>
              </v:shape>
            </w:pict>
          </mc:Fallback>
        </mc:AlternateContent>
      </w:r>
    </w:p>
    <w:p w14:paraId="6B79D85F" w14:textId="77777777" w:rsidR="007B7129" w:rsidRPr="007B7129" w:rsidRDefault="007B7129" w:rsidP="007B7129">
      <w:pPr>
        <w:ind w:firstLine="720"/>
      </w:pPr>
      <w:r w:rsidRPr="007B7129">
        <w:rPr>
          <w:b/>
          <w:bCs/>
        </w:rPr>
        <w:t xml:space="preserve">General procedure for PSR1. </w:t>
      </w:r>
      <w:r w:rsidRPr="007B7129">
        <w:t xml:space="preserve">Cyclopentene-1-aldehyde </w:t>
      </w:r>
      <w:r w:rsidRPr="007B7129">
        <w:rPr>
          <w:b/>
          <w:bCs/>
        </w:rPr>
        <w:t>3.33</w:t>
      </w:r>
      <w:r w:rsidRPr="007B7129">
        <w:t xml:space="preserve"> was synthesized according to previously existing methods.</w:t>
      </w:r>
      <w:r w:rsidRPr="007B7129">
        <w:fldChar w:fldCharType="begin"/>
      </w:r>
      <w:r w:rsidRPr="007B7129">
        <w:instrText xml:space="preserve"> ADDIN ZOTERO_ITEM CSL_CITATION {"citationID":"CT1fJyVh","properties":{"formattedCitation":"\\super 103\\nosupersub{}","plainCitation":"103","noteIndex":0},"citationItems":[{"id":333,"uris":["http://zotero.org/users/6503767/items/AGJHAVU9"],"itemData":{"id":333,"type":"article-journal","abstract":"We have discovered a novel class of nonsteroidal pyrazoline antagonists of the mineralocorticoid receptor (MR) that show excellent potency and selectivity against other nuclear receptors. Early analogues were poorly soluble and had a propensity to inhibit the hERG channel. Remarkably, both of these challenges were overcome by incorporation of a single carboxylate moiety. Structural modification of carboxylate-containing lead R-4g with a wide range of substituents at each position of the pyrazoline ring resulted in R-12o, which shows excellent activity against MR and reasonable pharmacokinetic profile. Introduction of conformational restriction led to a novel series characterized by exquisite potency and favorable steroid receptor selectivity and pharmacokinetic profile. Oral dosing of 3S,3aR-27d (PF-3882845) in the Dahl salt sensitive preclinical model of salt-induced hypertension and nephropathy showed blood pressure attenuation significantly greater than that with eplerenone, reduction in urinary albumin, and renal protection. As a result of these findings, 3S,3aR-27d was advanced to clinical studies.","container-title":"Journal of Medicinal Chemistry","DOI":"10.1021/jm100505n","ISSN":"0022-2623","issue":"16","journalAbbreviation":"J. Med. Chem.","note":"publisher: American Chemical Society","page":"5979-6002","source":"ACS Publications","title":"Discovery of (3S,3aR)-2-(3-Chloro-4-cyanophenyl)-3-cyclopentyl-3,3a,4,5-tetrahydro-2H-benzo[g]indazole-7-carboxylic Acid (PF-3882845), an Orally Efficacious Mineralocorticoid Receptor (MR) Antagonist for Hypertension and Nephropathy","volume":"53","author":[{"family":"Meyers","given":"Marvin J."},{"family":"Arhancet","given":"Graciela B."},{"family":"Hockerman","given":"Susan L."},{"family":"Chen","given":"Xiangyang"},{"family":"Long","given":"Scott A."},{"family":"Mahoney","given":"Matthew W."},{"family":"Rico","given":"Joseph R."},{"family":"Garland","given":"Danny J."},{"family":"Blinn","given":"James. R."},{"family":"Collins","given":"Joe T."},{"family":"Yang","given":"Shengtian"},{"family":"Huang","given":"Horng-Chih"},{"family":"McGee","given":"Kevin F."},{"family":"Wendling","given":"Jay M."},{"family":"Dietz","given":"Jessica D."},{"family":"Payne","given":"Maria A."},{"family":"Homer","given":"Bruce L."},{"family":"Heron","given":"Marcia I."},{"family":"Reitz","given":"David B."},{"family":"Hu","given":"Xiao"}],"issued":{"date-parts":[["2010",8,26]]}}}],"schema":"https://github.com/citation-style-language/schema/raw/master/csl-citation.json"} </w:instrText>
      </w:r>
      <w:r w:rsidRPr="007B7129">
        <w:fldChar w:fldCharType="separate"/>
      </w:r>
      <w:r w:rsidRPr="007B7129">
        <w:rPr>
          <w:rFonts w:cs="Times New Roman"/>
          <w:szCs w:val="24"/>
          <w:vertAlign w:val="superscript"/>
        </w:rPr>
        <w:t>103</w:t>
      </w:r>
      <w:r w:rsidRPr="007B7129">
        <w:fldChar w:fldCharType="end"/>
      </w:r>
      <w:r w:rsidRPr="007B7129">
        <w:t xml:space="preserve"> Tryptamine </w:t>
      </w:r>
      <w:r w:rsidRPr="007B7129">
        <w:rPr>
          <w:b/>
          <w:bCs/>
        </w:rPr>
        <w:t>3.32</w:t>
      </w:r>
      <w:r w:rsidRPr="007B7129">
        <w:t xml:space="preserve"> (8.33 mmol) was added to a stirring solution of freshly prepared </w:t>
      </w:r>
      <w:r w:rsidRPr="007B7129">
        <w:rPr>
          <w:b/>
          <w:bCs/>
        </w:rPr>
        <w:t>3.33</w:t>
      </w:r>
      <w:r w:rsidRPr="007B7129">
        <w:t xml:space="preserve"> (8.33 mmol) in Et</w:t>
      </w:r>
      <w:r w:rsidRPr="007B7129">
        <w:rPr>
          <w:vertAlign w:val="subscript"/>
        </w:rPr>
        <w:t>2</w:t>
      </w:r>
      <w:r w:rsidRPr="007B7129">
        <w:t xml:space="preserve">O (50 mL) under nitrogen atmosphere. After the heterogeneous mixture was cooled over an ice water bath to 0 </w:t>
      </w:r>
      <w:r w:rsidRPr="007B7129">
        <w:rPr>
          <w:rFonts w:cs="Times New Roman"/>
        </w:rPr>
        <w:t>̊</w:t>
      </w:r>
      <w:r w:rsidRPr="007B7129">
        <w:t xml:space="preserve">C, TFA (25 mmol) was added dropwise slowly over 30 minutes affording solution changing in color from green to reddish brown. The mixture stirred as it was allowed to warm to room temperature (23 </w:t>
      </w:r>
      <w:r w:rsidRPr="007B7129">
        <w:rPr>
          <w:rFonts w:cs="Times New Roman"/>
        </w:rPr>
        <w:t>̊</w:t>
      </w:r>
      <w:r w:rsidRPr="007B7129">
        <w:t>C) overnight. Upon reaction completion, solvent was removed via continuous flow of nitrogen gas to afford a sticky, amber-colored oil. The crude oil was dissolved in DCM and poured over dry silica gel (SiO</w:t>
      </w:r>
      <w:r w:rsidRPr="007B7129">
        <w:rPr>
          <w:vertAlign w:val="subscript"/>
        </w:rPr>
        <w:t>2</w:t>
      </w:r>
      <w:r w:rsidRPr="007B7129">
        <w:t>) and then solvent was removed under vacuum. The resulting crude mixture was purified by dry-loaded flash chromatography (50 – 85% ethyl acetate/hexanes plus 1% Et</w:t>
      </w:r>
      <w:r w:rsidRPr="007B7129">
        <w:rPr>
          <w:vertAlign w:val="subscript"/>
        </w:rPr>
        <w:t>3</w:t>
      </w:r>
      <w:r w:rsidRPr="007B7129">
        <w:t xml:space="preserve">N). Pure fractions were pooled and concentrated in vacuo to yield the THBC </w:t>
      </w:r>
      <w:r w:rsidRPr="007B7129">
        <w:rPr>
          <w:b/>
          <w:bCs/>
        </w:rPr>
        <w:t>3.34</w:t>
      </w:r>
      <w:r w:rsidRPr="007B7129">
        <w:t xml:space="preserve"> (7.25 mmol).</w:t>
      </w:r>
    </w:p>
    <w:p w14:paraId="3C6E97A4" w14:textId="77777777" w:rsidR="007B7129" w:rsidRPr="007B7129" w:rsidRDefault="007B7129" w:rsidP="007B7129">
      <w:pPr>
        <w:rPr>
          <w:szCs w:val="24"/>
        </w:rPr>
      </w:pPr>
      <w:r w:rsidRPr="007B7129">
        <w:rPr>
          <w:b/>
          <w:bCs/>
        </w:rPr>
        <w:tab/>
        <w:t>1-(cyclopent-1-en-1-yl)-2,3,4,9-tetrahydro-1</w:t>
      </w:r>
      <w:r w:rsidRPr="007B7129">
        <w:rPr>
          <w:b/>
          <w:bCs/>
          <w:i/>
          <w:iCs/>
        </w:rPr>
        <w:t>H</w:t>
      </w:r>
      <w:r w:rsidRPr="007B7129">
        <w:rPr>
          <w:b/>
          <w:bCs/>
        </w:rPr>
        <w:t>-pyrido[3,4-</w:t>
      </w:r>
      <w:proofErr w:type="gramStart"/>
      <w:r w:rsidRPr="007B7129">
        <w:rPr>
          <w:b/>
          <w:bCs/>
        </w:rPr>
        <w:t>b]indole</w:t>
      </w:r>
      <w:proofErr w:type="gramEnd"/>
      <w:r w:rsidRPr="007B7129">
        <w:rPr>
          <w:b/>
          <w:bCs/>
        </w:rPr>
        <w:t xml:space="preserve"> (3.34):</w:t>
      </w:r>
      <w:r w:rsidRPr="007B7129">
        <w:t xml:space="preserve"> Brown oil, 87% yield. </w:t>
      </w:r>
      <w:r w:rsidRPr="007B7129">
        <w:rPr>
          <w:color w:val="000000"/>
          <w:szCs w:val="24"/>
          <w:vertAlign w:val="superscript"/>
        </w:rPr>
        <w:t>1</w:t>
      </w:r>
      <w:r w:rsidRPr="007B7129">
        <w:rPr>
          <w:color w:val="000000"/>
          <w:szCs w:val="24"/>
        </w:rPr>
        <w:t>H NMR (400 MHz, CDCl</w:t>
      </w:r>
      <w:r w:rsidRPr="007B7129">
        <w:rPr>
          <w:color w:val="000000"/>
          <w:szCs w:val="24"/>
          <w:vertAlign w:val="subscript"/>
        </w:rPr>
        <w:t>3</w:t>
      </w:r>
      <w:r w:rsidRPr="007B7129">
        <w:rPr>
          <w:color w:val="000000"/>
          <w:szCs w:val="24"/>
        </w:rPr>
        <w:t xml:space="preserve">) δ 7.74 (s, 1H), 7.50 (d, </w:t>
      </w:r>
      <w:r w:rsidRPr="007B7129">
        <w:rPr>
          <w:i/>
          <w:iCs/>
          <w:color w:val="000000"/>
          <w:szCs w:val="24"/>
        </w:rPr>
        <w:t>J</w:t>
      </w:r>
      <w:r w:rsidRPr="007B7129">
        <w:rPr>
          <w:color w:val="000000"/>
          <w:szCs w:val="24"/>
        </w:rPr>
        <w:t xml:space="preserve"> = 7.6 Hz, 1H), 7.31 (d, </w:t>
      </w:r>
      <w:r w:rsidRPr="007B7129">
        <w:rPr>
          <w:i/>
          <w:iCs/>
          <w:color w:val="000000"/>
          <w:szCs w:val="24"/>
        </w:rPr>
        <w:t>J</w:t>
      </w:r>
      <w:r w:rsidRPr="007B7129">
        <w:rPr>
          <w:color w:val="000000"/>
          <w:szCs w:val="24"/>
        </w:rPr>
        <w:t xml:space="preserve"> = 7.9 Hz, 1H), 7.19 – 7.07 (m, 2H), 5.73 (t, </w:t>
      </w:r>
      <w:r w:rsidRPr="007B7129">
        <w:rPr>
          <w:i/>
          <w:iCs/>
          <w:color w:val="000000"/>
          <w:szCs w:val="24"/>
        </w:rPr>
        <w:t>J</w:t>
      </w:r>
      <w:r w:rsidRPr="007B7129">
        <w:rPr>
          <w:color w:val="000000"/>
          <w:szCs w:val="24"/>
        </w:rPr>
        <w:t xml:space="preserve"> = 2.1 Hz, 1H), 4.86 (s, 1H), 3.43 – 3.29 (m, 1H), 3.14 – 3.02 (m, 1H), 2.88 – 2.69 (m, 2H), 2.43 – 2.34 (m, 3H), 2.33 – 2.21 (m, 4H), 2.04 – 1.79 (m, 2H). </w:t>
      </w:r>
      <w:r w:rsidRPr="007B7129">
        <w:rPr>
          <w:color w:val="000000"/>
          <w:szCs w:val="24"/>
          <w:vertAlign w:val="superscript"/>
        </w:rPr>
        <w:lastRenderedPageBreak/>
        <w:t>13</w:t>
      </w:r>
      <w:r w:rsidRPr="007B7129">
        <w:rPr>
          <w:color w:val="000000"/>
          <w:szCs w:val="24"/>
        </w:rPr>
        <w:t>C NMR (101 MHz, CDCl</w:t>
      </w:r>
      <w:r w:rsidRPr="007B7129">
        <w:rPr>
          <w:color w:val="000000"/>
          <w:szCs w:val="24"/>
          <w:vertAlign w:val="subscript"/>
        </w:rPr>
        <w:t>3</w:t>
      </w:r>
      <w:r w:rsidRPr="007B7129">
        <w:rPr>
          <w:color w:val="000000"/>
          <w:szCs w:val="24"/>
        </w:rPr>
        <w:t>) δ 143.9, 135.7, 130.0, 127.6, 121.7, 119.5, 118.3, 110.9, 110.8, 109.2, 53.9, 42.6, 32.4, 31.9, 23.6, 22.3.</w:t>
      </w:r>
    </w:p>
    <w:p w14:paraId="79BC5467" w14:textId="77777777" w:rsidR="007B7129" w:rsidRPr="007B7129" w:rsidRDefault="007B7129" w:rsidP="007B7129">
      <w:pPr>
        <w:ind w:left="720" w:firstLine="720"/>
        <w:rPr>
          <w:rFonts w:cs="Times New Roman"/>
          <w:b/>
          <w:bCs/>
          <w:szCs w:val="24"/>
        </w:rPr>
      </w:pPr>
      <w:r w:rsidRPr="007B7129">
        <w:rPr>
          <w:b/>
          <w:bCs/>
          <w:noProof/>
        </w:rPr>
        <mc:AlternateContent>
          <mc:Choice Requires="wps">
            <w:drawing>
              <wp:inline distT="0" distB="0" distL="0" distR="0" wp14:anchorId="03D1522A" wp14:editId="1049CA29">
                <wp:extent cx="4234180" cy="1685290"/>
                <wp:effectExtent l="0" t="0" r="13970" b="10160"/>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4180" cy="1685290"/>
                        </a:xfrm>
                        <a:prstGeom prst="rect">
                          <a:avLst/>
                        </a:prstGeom>
                        <a:solidFill>
                          <a:srgbClr val="FFFFFF"/>
                        </a:solidFill>
                        <a:ln w="9525">
                          <a:solidFill>
                            <a:srgbClr val="000000"/>
                          </a:solidFill>
                          <a:miter lim="800000"/>
                          <a:headEnd/>
                          <a:tailEnd/>
                        </a:ln>
                      </wps:spPr>
                      <wps:txbx>
                        <w:txbxContent>
                          <w:p w14:paraId="4DE227E7" w14:textId="77777777" w:rsidR="007B7129" w:rsidRDefault="007B7129" w:rsidP="007B7129">
                            <w:pPr>
                              <w:keepNext/>
                              <w:spacing w:line="240" w:lineRule="auto"/>
                              <w:jc w:val="center"/>
                            </w:pPr>
                            <w:r>
                              <w:object w:dxaOrig="4726" w:dyaOrig="1486" w14:anchorId="650D64D5">
                                <v:shape id="_x0000_i1129" type="#_x0000_t75" style="width:235.15pt;height:73.4pt">
                                  <v:imagedata r:id="rId348" o:title=""/>
                                </v:shape>
                                <o:OLEObject Type="Embed" ProgID="ChemDraw.Document.6.0" ShapeID="_x0000_i1129" DrawAspect="Content" ObjectID="_1713353522" r:id="rId349"/>
                              </w:object>
                            </w:r>
                          </w:p>
                          <w:p w14:paraId="7821B1AA" w14:textId="41DEC41F" w:rsidR="007B7129" w:rsidRDefault="007B7129" w:rsidP="00DF51F5">
                            <w:pPr>
                              <w:pStyle w:val="Caption"/>
                            </w:pPr>
                            <w:r>
                              <w:t>Scheme 3.</w:t>
                            </w:r>
                            <w:r w:rsidR="00232E60">
                              <w:t>19</w:t>
                            </w:r>
                            <w:r>
                              <w:t>. Oxidative aromatization, step 2.</w:t>
                            </w:r>
                          </w:p>
                          <w:p w14:paraId="3FA9C46A" w14:textId="77777777" w:rsidR="007B7129" w:rsidRPr="00F5048E" w:rsidRDefault="007B7129" w:rsidP="007B7129">
                            <w:r>
                              <w:t>Reagents and conditions: (a) Li</w:t>
                            </w:r>
                            <w:r w:rsidRPr="00E47A96">
                              <w:rPr>
                                <w:vertAlign w:val="subscript"/>
                              </w:rPr>
                              <w:t>2</w:t>
                            </w:r>
                            <w:r>
                              <w:t>CO</w:t>
                            </w:r>
                            <w:r w:rsidRPr="00E47A96">
                              <w:rPr>
                                <w:vertAlign w:val="subscript"/>
                              </w:rPr>
                              <w:t>3</w:t>
                            </w:r>
                            <w:r>
                              <w:t>, Ag</w:t>
                            </w:r>
                            <w:r w:rsidRPr="00E47A96">
                              <w:rPr>
                                <w:vertAlign w:val="subscript"/>
                              </w:rPr>
                              <w:t>2</w:t>
                            </w:r>
                            <w:r>
                              <w:t>CO</w:t>
                            </w:r>
                            <w:r w:rsidRPr="00E47A96">
                              <w:rPr>
                                <w:vertAlign w:val="subscript"/>
                              </w:rPr>
                              <w:t>3</w:t>
                            </w:r>
                            <w:r>
                              <w:t>, DMF, reflux, 30%.</w:t>
                            </w:r>
                          </w:p>
                        </w:txbxContent>
                      </wps:txbx>
                      <wps:bodyPr rot="0" vert="horz" wrap="none" lIns="91440" tIns="45720" rIns="91440" bIns="45720" anchor="t" anchorCtr="0">
                        <a:noAutofit/>
                      </wps:bodyPr>
                    </wps:wsp>
                  </a:graphicData>
                </a:graphic>
              </wp:inline>
            </w:drawing>
          </mc:Choice>
          <mc:Fallback>
            <w:pict>
              <v:shape w14:anchorId="03D1522A" id="_x0000_s1111" type="#_x0000_t202" style="width:333.4pt;height:132.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">
                <v:textbox>
                  <w:txbxContent>
                    <w:p w14:paraId="4DE227E7" w14:textId="77777777" w:rsidR="007B7129" w:rsidRDefault="007B7129" w:rsidP="007B7129">
                      <w:pPr>
                        <w:keepNext/>
                        <w:spacing w:line="240" w:lineRule="auto"/>
                        <w:jc w:val="center"/>
                      </w:pPr>
                      <w:r>
                        <w:object w:dxaOrig="4726" w:dyaOrig="1486" w14:anchorId="650D64D5">
                          <v:shape id="_x0000_i1129" type="#_x0000_t75" style="width:235.15pt;height:73.4pt">
                            <v:imagedata r:id="rId348" o:title=""/>
                          </v:shape>
                          <o:OLEObject Type="Embed" ProgID="ChemDraw.Document.6.0" ShapeID="_x0000_i1129" DrawAspect="Content" ObjectID="_1713353522" r:id="rId350"/>
                        </w:object>
                      </w:r>
                    </w:p>
                    <w:p w14:paraId="7821B1AA" w14:textId="41DEC41F" w:rsidR="007B7129" w:rsidRDefault="007B7129" w:rsidP="00DF51F5">
                      <w:pPr>
                        <w:pStyle w:val="Caption"/>
                      </w:pPr>
                      <w:r>
                        <w:t>Scheme 3.</w:t>
                      </w:r>
                      <w:r w:rsidR="00232E60">
                        <w:t>19</w:t>
                      </w:r>
                      <w:r>
                        <w:t>. Oxidative aromatization, step 2.</w:t>
                      </w:r>
                    </w:p>
                    <w:p w14:paraId="3FA9C46A" w14:textId="77777777" w:rsidR="007B7129" w:rsidRPr="00F5048E" w:rsidRDefault="007B7129" w:rsidP="007B7129">
                      <w:r>
                        <w:t>Reagents and conditions: (a) Li</w:t>
                      </w:r>
                      <w:r w:rsidRPr="00E47A96">
                        <w:rPr>
                          <w:vertAlign w:val="subscript"/>
                        </w:rPr>
                        <w:t>2</w:t>
                      </w:r>
                      <w:r>
                        <w:t>CO</w:t>
                      </w:r>
                      <w:r w:rsidRPr="00E47A96">
                        <w:rPr>
                          <w:vertAlign w:val="subscript"/>
                        </w:rPr>
                        <w:t>3</w:t>
                      </w:r>
                      <w:r>
                        <w:t>, Ag</w:t>
                      </w:r>
                      <w:r w:rsidRPr="00E47A96">
                        <w:rPr>
                          <w:vertAlign w:val="subscript"/>
                        </w:rPr>
                        <w:t>2</w:t>
                      </w:r>
                      <w:r>
                        <w:t>CO</w:t>
                      </w:r>
                      <w:r w:rsidRPr="00E47A96">
                        <w:rPr>
                          <w:vertAlign w:val="subscript"/>
                        </w:rPr>
                        <w:t>3</w:t>
                      </w:r>
                      <w:r>
                        <w:t>, DMF, reflux, 30%.</w:t>
                      </w:r>
                    </w:p>
                  </w:txbxContent>
                </v:textbox>
                <w10:anchorlock/>
              </v:shape>
            </w:pict>
          </mc:Fallback>
        </mc:AlternateContent>
      </w:r>
    </w:p>
    <w:p w14:paraId="48FEEDDA" w14:textId="77777777" w:rsidR="007B7129" w:rsidRPr="007B7129" w:rsidRDefault="007B7129" w:rsidP="007B7129">
      <w:r w:rsidRPr="007B7129">
        <w:rPr>
          <w:rFonts w:cs="Times New Roman"/>
          <w:b/>
          <w:bCs/>
          <w:szCs w:val="24"/>
        </w:rPr>
        <w:tab/>
      </w:r>
      <w:r w:rsidRPr="007B7129">
        <w:rPr>
          <w:b/>
          <w:bCs/>
        </w:rPr>
        <w:t>General procedure for oxidative aromatization of THBC 3.34.</w:t>
      </w:r>
      <w:r w:rsidRPr="007B7129">
        <w:t xml:space="preserve"> </w:t>
      </w:r>
      <w:r w:rsidRPr="007B7129">
        <w:rPr>
          <w:rFonts w:cs="Times New Roman"/>
          <w:szCs w:val="24"/>
        </w:rPr>
        <w:t xml:space="preserve">Dry THBC </w:t>
      </w:r>
      <w:r w:rsidRPr="007B7129">
        <w:rPr>
          <w:b/>
          <w:bCs/>
        </w:rPr>
        <w:t>3.</w:t>
      </w:r>
      <w:r w:rsidRPr="007B7129">
        <w:rPr>
          <w:rFonts w:cs="Times New Roman"/>
          <w:b/>
          <w:bCs/>
          <w:szCs w:val="24"/>
        </w:rPr>
        <w:t>34</w:t>
      </w:r>
      <w:r w:rsidRPr="007B7129">
        <w:rPr>
          <w:rFonts w:cs="Times New Roman"/>
          <w:szCs w:val="24"/>
        </w:rPr>
        <w:t xml:space="preserve"> (4.20 mmol) was dissolved in anhydrous, degassed DMF (20 mL). </w:t>
      </w:r>
      <w:r w:rsidRPr="007B7129">
        <w:t>Li</w:t>
      </w:r>
      <w:r w:rsidRPr="007B7129">
        <w:rPr>
          <w:vertAlign w:val="subscript"/>
        </w:rPr>
        <w:t>2</w:t>
      </w:r>
      <w:r w:rsidRPr="007B7129">
        <w:t>CO</w:t>
      </w:r>
      <w:r w:rsidRPr="007B7129">
        <w:rPr>
          <w:vertAlign w:val="subscript"/>
        </w:rPr>
        <w:t>3</w:t>
      </w:r>
      <w:r w:rsidRPr="007B7129">
        <w:t xml:space="preserve"> (8.40 mmol) and Ag</w:t>
      </w:r>
      <w:r w:rsidRPr="007B7129">
        <w:rPr>
          <w:vertAlign w:val="subscript"/>
        </w:rPr>
        <w:t>2</w:t>
      </w:r>
      <w:r w:rsidRPr="007B7129">
        <w:t>CO</w:t>
      </w:r>
      <w:r w:rsidRPr="007B7129">
        <w:rPr>
          <w:vertAlign w:val="subscript"/>
        </w:rPr>
        <w:t xml:space="preserve">3 </w:t>
      </w:r>
      <w:r w:rsidRPr="007B7129">
        <w:t xml:space="preserve">(8.40 mmol) were added under nitrogen atmosphere. The reaction vessel was equipped with a Vigreux condenser, heated at reflux (154 </w:t>
      </w:r>
      <w:r w:rsidRPr="007B7129">
        <w:rPr>
          <w:rFonts w:cs="Times New Roman"/>
        </w:rPr>
        <w:t>̊</w:t>
      </w:r>
      <w:r w:rsidRPr="007B7129">
        <w:t xml:space="preserve">C), and stirred for 24 hours before cooling to room temperature (23 </w:t>
      </w:r>
      <w:r w:rsidRPr="007B7129">
        <w:rPr>
          <w:rFonts w:cs="Times New Roman"/>
        </w:rPr>
        <w:t>̊</w:t>
      </w:r>
      <w:r w:rsidRPr="007B7129">
        <w:t>C). The resulting heterogenous mixture was filtered over celite and then concentrated in vacuo. The crude product was purified by flash chromatography (SiO</w:t>
      </w:r>
      <w:r w:rsidRPr="007B7129">
        <w:rPr>
          <w:vertAlign w:val="subscript"/>
        </w:rPr>
        <w:t>2</w:t>
      </w:r>
      <w:r w:rsidRPr="007B7129">
        <w:t xml:space="preserve">) using 25% ethyl acetate in hexanes as the eluent. Pure fractions were pooled and concentrated in vacuo to yield </w:t>
      </w:r>
      <w:r w:rsidRPr="007B7129">
        <w:rPr>
          <w:rFonts w:cs="Times New Roman"/>
        </w:rPr>
        <w:t>β</w:t>
      </w:r>
      <w:r w:rsidRPr="007B7129">
        <w:t xml:space="preserve">-carboline </w:t>
      </w:r>
      <w:r w:rsidRPr="007B7129">
        <w:rPr>
          <w:b/>
          <w:bCs/>
        </w:rPr>
        <w:t>3.36</w:t>
      </w:r>
      <w:r w:rsidRPr="007B7129">
        <w:t xml:space="preserve"> (1.26 mmol).</w:t>
      </w:r>
    </w:p>
    <w:p w14:paraId="76F7968A" w14:textId="77777777" w:rsidR="007B7129" w:rsidRPr="007B7129" w:rsidRDefault="007B7129" w:rsidP="007B7129">
      <w:pPr>
        <w:ind w:firstLine="720"/>
        <w:rPr>
          <w:noProof/>
          <w:color w:val="000000"/>
          <w:szCs w:val="24"/>
        </w:rPr>
      </w:pPr>
      <w:r w:rsidRPr="007B7129">
        <w:rPr>
          <w:rFonts w:cs="Times New Roman"/>
          <w:b/>
          <w:bCs/>
          <w:szCs w:val="24"/>
        </w:rPr>
        <w:t>1-(cyclopent-1-en-1-yl)-9H-pyrido[3,4-</w:t>
      </w:r>
      <w:proofErr w:type="gramStart"/>
      <w:r w:rsidRPr="007B7129">
        <w:rPr>
          <w:rFonts w:cs="Times New Roman"/>
          <w:b/>
          <w:bCs/>
          <w:szCs w:val="24"/>
        </w:rPr>
        <w:t>b]indole</w:t>
      </w:r>
      <w:proofErr w:type="gramEnd"/>
      <w:r w:rsidRPr="007B7129">
        <w:rPr>
          <w:rFonts w:cs="Times New Roman"/>
          <w:b/>
          <w:bCs/>
          <w:szCs w:val="24"/>
        </w:rPr>
        <w:t xml:space="preserve"> (</w:t>
      </w:r>
      <w:r w:rsidRPr="007B7129">
        <w:rPr>
          <w:b/>
          <w:bCs/>
        </w:rPr>
        <w:t>3.</w:t>
      </w:r>
      <w:r w:rsidRPr="007B7129">
        <w:rPr>
          <w:rFonts w:cs="Times New Roman"/>
          <w:b/>
          <w:bCs/>
          <w:szCs w:val="24"/>
        </w:rPr>
        <w:t>36):</w:t>
      </w:r>
      <w:r w:rsidRPr="007B7129">
        <w:rPr>
          <w:rFonts w:cs="Times New Roman"/>
          <w:szCs w:val="24"/>
        </w:rPr>
        <w:t xml:space="preserve"> Yellow amorphous solid, </w:t>
      </w:r>
      <w:r w:rsidRPr="007B7129">
        <w:t>30% yield</w:t>
      </w:r>
      <w:r w:rsidRPr="007B7129">
        <w:rPr>
          <w:szCs w:val="24"/>
        </w:rPr>
        <w:t xml:space="preserve">. </w:t>
      </w:r>
      <w:r w:rsidRPr="007B7129">
        <w:rPr>
          <w:color w:val="000000"/>
          <w:szCs w:val="24"/>
          <w:vertAlign w:val="superscript"/>
        </w:rPr>
        <w:t>1</w:t>
      </w:r>
      <w:r w:rsidRPr="007B7129">
        <w:rPr>
          <w:color w:val="000000"/>
          <w:szCs w:val="24"/>
        </w:rPr>
        <w:t>H NMR (500 MHz, CD</w:t>
      </w:r>
      <w:r w:rsidRPr="007B7129">
        <w:rPr>
          <w:color w:val="000000"/>
          <w:szCs w:val="24"/>
          <w:vertAlign w:val="subscript"/>
        </w:rPr>
        <w:t>3</w:t>
      </w:r>
      <w:r w:rsidRPr="007B7129">
        <w:rPr>
          <w:color w:val="000000"/>
          <w:szCs w:val="24"/>
        </w:rPr>
        <w:t xml:space="preserve">OD δ 8.27 (d, </w:t>
      </w:r>
      <w:r w:rsidRPr="007B7129">
        <w:rPr>
          <w:i/>
          <w:iCs/>
          <w:color w:val="000000"/>
          <w:szCs w:val="24"/>
        </w:rPr>
        <w:t>J</w:t>
      </w:r>
      <w:r w:rsidRPr="007B7129">
        <w:rPr>
          <w:color w:val="000000"/>
          <w:szCs w:val="24"/>
        </w:rPr>
        <w:t xml:space="preserve"> = 5.3 Hz, 0H), 8.18 (d, </w:t>
      </w:r>
      <w:r w:rsidRPr="007B7129">
        <w:rPr>
          <w:i/>
          <w:iCs/>
          <w:color w:val="000000"/>
          <w:szCs w:val="24"/>
        </w:rPr>
        <w:t>J</w:t>
      </w:r>
      <w:r w:rsidRPr="007B7129">
        <w:rPr>
          <w:color w:val="000000"/>
          <w:szCs w:val="24"/>
        </w:rPr>
        <w:t xml:space="preserve"> = 7.9 Hz, 0H), 8.01 – 7.96 (m, 2H), 7.66 (d, </w:t>
      </w:r>
      <w:r w:rsidRPr="007B7129">
        <w:rPr>
          <w:i/>
          <w:iCs/>
          <w:color w:val="000000"/>
          <w:szCs w:val="24"/>
        </w:rPr>
        <w:t>J</w:t>
      </w:r>
      <w:r w:rsidRPr="007B7129">
        <w:rPr>
          <w:color w:val="000000"/>
          <w:szCs w:val="24"/>
        </w:rPr>
        <w:t xml:space="preserve"> = 8.2 Hz, 0H), 7.56 (t, </w:t>
      </w:r>
      <w:r w:rsidRPr="007B7129">
        <w:rPr>
          <w:i/>
          <w:iCs/>
          <w:color w:val="000000"/>
          <w:szCs w:val="24"/>
        </w:rPr>
        <w:t>J</w:t>
      </w:r>
      <w:r w:rsidRPr="007B7129">
        <w:rPr>
          <w:color w:val="000000"/>
          <w:szCs w:val="24"/>
        </w:rPr>
        <w:t xml:space="preserve"> = 7.6 Hz, 0H), 7.28 (t, </w:t>
      </w:r>
      <w:r w:rsidRPr="007B7129">
        <w:rPr>
          <w:i/>
          <w:iCs/>
          <w:color w:val="000000"/>
          <w:szCs w:val="24"/>
        </w:rPr>
        <w:t>J</w:t>
      </w:r>
      <w:r w:rsidRPr="007B7129">
        <w:rPr>
          <w:color w:val="000000"/>
          <w:szCs w:val="24"/>
        </w:rPr>
        <w:t xml:space="preserve"> = 7.5 Hz, 1H), 6.71 (q, </w:t>
      </w:r>
      <w:r w:rsidRPr="007B7129">
        <w:rPr>
          <w:i/>
          <w:iCs/>
          <w:color w:val="000000"/>
          <w:szCs w:val="24"/>
        </w:rPr>
        <w:t>J</w:t>
      </w:r>
      <w:r w:rsidRPr="007B7129">
        <w:rPr>
          <w:color w:val="000000"/>
          <w:szCs w:val="24"/>
        </w:rPr>
        <w:t xml:space="preserve"> = 2.3 Hz, 0H), 3.06 (</w:t>
      </w:r>
      <w:proofErr w:type="spellStart"/>
      <w:r w:rsidRPr="007B7129">
        <w:rPr>
          <w:color w:val="000000"/>
          <w:szCs w:val="24"/>
        </w:rPr>
        <w:t>ddt</w:t>
      </w:r>
      <w:proofErr w:type="spellEnd"/>
      <w:r w:rsidRPr="007B7129">
        <w:rPr>
          <w:color w:val="000000"/>
          <w:szCs w:val="24"/>
        </w:rPr>
        <w:t xml:space="preserve">, </w:t>
      </w:r>
      <w:r w:rsidRPr="007B7129">
        <w:rPr>
          <w:i/>
          <w:iCs/>
          <w:color w:val="000000"/>
          <w:szCs w:val="24"/>
        </w:rPr>
        <w:t>J</w:t>
      </w:r>
      <w:r w:rsidRPr="007B7129">
        <w:rPr>
          <w:color w:val="000000"/>
          <w:szCs w:val="24"/>
        </w:rPr>
        <w:t xml:space="preserve"> = 10.0, 4.5, 2.3 Hz, 1H), 2.79 (</w:t>
      </w:r>
      <w:proofErr w:type="spellStart"/>
      <w:r w:rsidRPr="007B7129">
        <w:rPr>
          <w:color w:val="000000"/>
          <w:szCs w:val="24"/>
        </w:rPr>
        <w:t>tt</w:t>
      </w:r>
      <w:proofErr w:type="spellEnd"/>
      <w:r w:rsidRPr="007B7129">
        <w:rPr>
          <w:color w:val="000000"/>
          <w:szCs w:val="24"/>
        </w:rPr>
        <w:t xml:space="preserve">, </w:t>
      </w:r>
      <w:r w:rsidRPr="007B7129">
        <w:rPr>
          <w:i/>
          <w:iCs/>
          <w:color w:val="000000"/>
          <w:szCs w:val="24"/>
        </w:rPr>
        <w:t>J</w:t>
      </w:r>
      <w:r w:rsidRPr="007B7129">
        <w:rPr>
          <w:color w:val="000000"/>
          <w:szCs w:val="24"/>
        </w:rPr>
        <w:t xml:space="preserve"> = 7.6, 2.5 Hz, 1H), 2.14 (p, </w:t>
      </w:r>
      <w:r w:rsidRPr="007B7129">
        <w:rPr>
          <w:i/>
          <w:iCs/>
          <w:color w:val="000000"/>
          <w:szCs w:val="24"/>
        </w:rPr>
        <w:t>J</w:t>
      </w:r>
      <w:r w:rsidRPr="007B7129">
        <w:rPr>
          <w:color w:val="000000"/>
          <w:szCs w:val="24"/>
        </w:rPr>
        <w:t xml:space="preserve"> = 7.6 Hz, 1H). </w:t>
      </w:r>
      <w:r w:rsidRPr="007B7129">
        <w:rPr>
          <w:color w:val="000000"/>
          <w:szCs w:val="24"/>
          <w:vertAlign w:val="superscript"/>
        </w:rPr>
        <w:t>13</w:t>
      </w:r>
      <w:r w:rsidRPr="007B7129">
        <w:rPr>
          <w:color w:val="000000"/>
          <w:szCs w:val="24"/>
        </w:rPr>
        <w:t>C NMR (151 MHz, CD</w:t>
      </w:r>
      <w:r w:rsidRPr="007B7129">
        <w:rPr>
          <w:color w:val="000000"/>
          <w:szCs w:val="24"/>
          <w:vertAlign w:val="subscript"/>
        </w:rPr>
        <w:t>3</w:t>
      </w:r>
      <w:r w:rsidRPr="007B7129">
        <w:rPr>
          <w:color w:val="000000"/>
          <w:szCs w:val="24"/>
        </w:rPr>
        <w:t>OD) δ 138.2, 133.7, 129.9, 129.4, 129.3, 122.5, 122.4, 121.0, 120.6, 114.5, 113.8, 113.2, 112.8, 35.1, 33.2, 24.0.</w:t>
      </w:r>
      <w:r w:rsidRPr="007B7129">
        <w:rPr>
          <w:noProof/>
          <w:color w:val="000000"/>
          <w:szCs w:val="24"/>
        </w:rPr>
        <w:t xml:space="preserve"> </w:t>
      </w:r>
    </w:p>
    <w:p w14:paraId="13571DE1" w14:textId="77777777" w:rsidR="007B7129" w:rsidRPr="007B7129" w:rsidRDefault="007B7129" w:rsidP="007B7129">
      <w:pPr>
        <w:spacing w:after="0"/>
        <w:ind w:left="720" w:firstLine="720"/>
        <w:rPr>
          <w:color w:val="000000"/>
          <w:szCs w:val="24"/>
        </w:rPr>
      </w:pPr>
      <w:r w:rsidRPr="007B7129">
        <w:rPr>
          <w:noProof/>
          <w:color w:val="000000"/>
          <w:szCs w:val="24"/>
        </w:rPr>
        <w:lastRenderedPageBreak/>
        <mc:AlternateContent>
          <mc:Choice Requires="wps">
            <w:drawing>
              <wp:inline distT="0" distB="0" distL="0" distR="0" wp14:anchorId="79DD4382" wp14:editId="3873D068">
                <wp:extent cx="4222115" cy="1764665"/>
                <wp:effectExtent l="0" t="0" r="26035" b="26035"/>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2115" cy="1764665"/>
                        </a:xfrm>
                        <a:prstGeom prst="rect">
                          <a:avLst/>
                        </a:prstGeom>
                        <a:solidFill>
                          <a:srgbClr val="FFFFFF"/>
                        </a:solidFill>
                        <a:ln w="9525">
                          <a:solidFill>
                            <a:srgbClr val="000000"/>
                          </a:solidFill>
                          <a:miter lim="800000"/>
                          <a:headEnd/>
                          <a:tailEnd/>
                        </a:ln>
                      </wps:spPr>
                      <wps:txbx>
                        <w:txbxContent>
                          <w:p w14:paraId="3AD41167" w14:textId="77777777" w:rsidR="007B7129" w:rsidRDefault="007B7129" w:rsidP="007B7129">
                            <w:pPr>
                              <w:keepNext/>
                              <w:jc w:val="center"/>
                            </w:pPr>
                            <w:r>
                              <w:object w:dxaOrig="5244" w:dyaOrig="1390" w14:anchorId="4438319C">
                                <v:shape id="_x0000_i1131" type="#_x0000_t75" style="width:262.3pt;height:68.75pt">
                                  <v:imagedata r:id="rId351" o:title=""/>
                                </v:shape>
                                <o:OLEObject Type="Embed" ProgID="ChemDraw.Document.6.0" ShapeID="_x0000_i1131" DrawAspect="Content" ObjectID="_1713353523" r:id="rId352"/>
                              </w:object>
                            </w:r>
                          </w:p>
                          <w:p w14:paraId="74AC6D30" w14:textId="08D54953" w:rsidR="007B7129" w:rsidRDefault="007B7129" w:rsidP="00DF51F5">
                            <w:pPr>
                              <w:pStyle w:val="Caption"/>
                            </w:pPr>
                            <w:r>
                              <w:t>Scheme 3.</w:t>
                            </w:r>
                            <w:r w:rsidR="00232E60">
                              <w:t>20</w:t>
                            </w:r>
                            <w:r>
                              <w:t xml:space="preserve">. Oxidative cleavage reaction, step 3. </w:t>
                            </w:r>
                          </w:p>
                          <w:p w14:paraId="15E5C34D" w14:textId="77777777" w:rsidR="007B7129" w:rsidRPr="007F3F7D" w:rsidRDefault="007B7129" w:rsidP="007B7129">
                            <w:r>
                              <w:t>Reagents and conditions: (a) OsO</w:t>
                            </w:r>
                            <w:r w:rsidRPr="00B42394">
                              <w:rPr>
                                <w:vertAlign w:val="subscript"/>
                              </w:rPr>
                              <w:t>4</w:t>
                            </w:r>
                            <w:r>
                              <w:t>, NaIO</w:t>
                            </w:r>
                            <w:r w:rsidRPr="00B42394">
                              <w:rPr>
                                <w:vertAlign w:val="subscript"/>
                              </w:rPr>
                              <w:t>4</w:t>
                            </w:r>
                            <w:r>
                              <w:t>, THF/H</w:t>
                            </w:r>
                            <w:r w:rsidRPr="00B42394">
                              <w:rPr>
                                <w:vertAlign w:val="subscript"/>
                              </w:rPr>
                              <w:t>2</w:t>
                            </w:r>
                            <w:r>
                              <w:t xml:space="preserve">O, 0 </w:t>
                            </w:r>
                            <w:r>
                              <w:rPr>
                                <w:rFonts w:cs="Times New Roman"/>
                              </w:rPr>
                              <w:t>̊</w:t>
                            </w:r>
                            <w:r>
                              <w:t>C, 85%.</w:t>
                            </w:r>
                          </w:p>
                          <w:p w14:paraId="2A821400" w14:textId="77777777" w:rsidR="007B7129" w:rsidRDefault="007B7129" w:rsidP="007B7129"/>
                        </w:txbxContent>
                      </wps:txbx>
                      <wps:bodyPr rot="0" vert="horz" wrap="square" lIns="91440" tIns="45720" rIns="91440" bIns="45720" anchor="t" anchorCtr="0">
                        <a:noAutofit/>
                      </wps:bodyPr>
                    </wps:wsp>
                  </a:graphicData>
                </a:graphic>
              </wp:inline>
            </w:drawing>
          </mc:Choice>
          <mc:Fallback>
            <w:pict>
              <v:shape w14:anchorId="79DD4382" id="_x0000_s1112" type="#_x0000_t202" style="width:332.45pt;height:13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">
                <v:textbox>
                  <w:txbxContent>
                    <w:p w14:paraId="3AD41167" w14:textId="77777777" w:rsidR="007B7129" w:rsidRDefault="007B7129" w:rsidP="007B7129">
                      <w:pPr>
                        <w:keepNext/>
                        <w:jc w:val="center"/>
                      </w:pPr>
                      <w:r>
                        <w:object w:dxaOrig="5244" w:dyaOrig="1390" w14:anchorId="4438319C">
                          <v:shape id="_x0000_i1131" type="#_x0000_t75" style="width:262.3pt;height:68.75pt">
                            <v:imagedata r:id="rId351" o:title=""/>
                          </v:shape>
                          <o:OLEObject Type="Embed" ProgID="ChemDraw.Document.6.0" ShapeID="_x0000_i1131" DrawAspect="Content" ObjectID="_1713353523" r:id="rId353"/>
                        </w:object>
                      </w:r>
                    </w:p>
                    <w:p w14:paraId="74AC6D30" w14:textId="08D54953" w:rsidR="007B7129" w:rsidRDefault="007B7129" w:rsidP="00DF51F5">
                      <w:pPr>
                        <w:pStyle w:val="Caption"/>
                      </w:pPr>
                      <w:r>
                        <w:t>Scheme 3.</w:t>
                      </w:r>
                      <w:r w:rsidR="00232E60">
                        <w:t>20</w:t>
                      </w:r>
                      <w:r>
                        <w:t xml:space="preserve">. Oxidative cleavage reaction, step 3. </w:t>
                      </w:r>
                    </w:p>
                    <w:p w14:paraId="15E5C34D" w14:textId="77777777" w:rsidR="007B7129" w:rsidRPr="007F3F7D" w:rsidRDefault="007B7129" w:rsidP="007B7129">
                      <w:r>
                        <w:t>Reagents and conditions: (a) OsO</w:t>
                      </w:r>
                      <w:r w:rsidRPr="00B42394">
                        <w:rPr>
                          <w:vertAlign w:val="subscript"/>
                        </w:rPr>
                        <w:t>4</w:t>
                      </w:r>
                      <w:r>
                        <w:t>, NaIO</w:t>
                      </w:r>
                      <w:r w:rsidRPr="00B42394">
                        <w:rPr>
                          <w:vertAlign w:val="subscript"/>
                        </w:rPr>
                        <w:t>4</w:t>
                      </w:r>
                      <w:r>
                        <w:t>, THF/H</w:t>
                      </w:r>
                      <w:r w:rsidRPr="00B42394">
                        <w:rPr>
                          <w:vertAlign w:val="subscript"/>
                        </w:rPr>
                        <w:t>2</w:t>
                      </w:r>
                      <w:r>
                        <w:t xml:space="preserve">O, 0 </w:t>
                      </w:r>
                      <w:r>
                        <w:rPr>
                          <w:rFonts w:cs="Times New Roman"/>
                        </w:rPr>
                        <w:t>̊</w:t>
                      </w:r>
                      <w:r>
                        <w:t>C, 85%.</w:t>
                      </w:r>
                    </w:p>
                    <w:p w14:paraId="2A821400" w14:textId="77777777" w:rsidR="007B7129" w:rsidRDefault="007B7129" w:rsidP="007B7129"/>
                  </w:txbxContent>
                </v:textbox>
                <w10:anchorlock/>
              </v:shape>
            </w:pict>
          </mc:Fallback>
        </mc:AlternateContent>
      </w:r>
    </w:p>
    <w:p w14:paraId="1021EA07" w14:textId="77777777" w:rsidR="007B7129" w:rsidRPr="007B7129" w:rsidRDefault="007B7129" w:rsidP="007B7129">
      <w:r w:rsidRPr="007B7129">
        <w:rPr>
          <w:b/>
          <w:bCs/>
          <w:color w:val="000000"/>
          <w:szCs w:val="24"/>
        </w:rPr>
        <w:tab/>
      </w:r>
      <w:r w:rsidRPr="007B7129">
        <w:rPr>
          <w:b/>
          <w:bCs/>
        </w:rPr>
        <w:t xml:space="preserve">General procedure of oxidative cleavage reaction. </w:t>
      </w:r>
      <w:r w:rsidRPr="007B7129">
        <w:rPr>
          <w:color w:val="000000"/>
          <w:szCs w:val="24"/>
        </w:rPr>
        <w:t xml:space="preserve">Aqueous osmium tetroxide (16 </w:t>
      </w:r>
      <w:proofErr w:type="spellStart"/>
      <w:r w:rsidRPr="007B7129">
        <w:rPr>
          <w:rFonts w:ascii="Calibri" w:hAnsi="Calibri" w:cs="Calibri"/>
          <w:color w:val="000000"/>
          <w:szCs w:val="24"/>
        </w:rPr>
        <w:t>μ</w:t>
      </w:r>
      <w:r w:rsidRPr="007B7129">
        <w:rPr>
          <w:color w:val="000000"/>
          <w:szCs w:val="24"/>
        </w:rPr>
        <w:t>mol</w:t>
      </w:r>
      <w:proofErr w:type="spellEnd"/>
      <w:r w:rsidRPr="007B7129">
        <w:rPr>
          <w:color w:val="000000"/>
          <w:szCs w:val="24"/>
        </w:rPr>
        <w:t xml:space="preserve">, 4% in water) was added to a stirring solution of </w:t>
      </w:r>
      <w:r w:rsidRPr="007B7129">
        <w:rPr>
          <w:rFonts w:cs="Times New Roman"/>
          <w:color w:val="000000"/>
          <w:szCs w:val="24"/>
        </w:rPr>
        <w:t>β</w:t>
      </w:r>
      <w:r w:rsidRPr="007B7129">
        <w:rPr>
          <w:color w:val="000000"/>
          <w:szCs w:val="24"/>
        </w:rPr>
        <w:t xml:space="preserve">-carboline </w:t>
      </w:r>
      <w:r w:rsidRPr="007B7129">
        <w:rPr>
          <w:b/>
          <w:bCs/>
        </w:rPr>
        <w:t>3.</w:t>
      </w:r>
      <w:r w:rsidRPr="007B7129">
        <w:rPr>
          <w:b/>
          <w:bCs/>
          <w:color w:val="000000"/>
          <w:szCs w:val="24"/>
        </w:rPr>
        <w:t>36</w:t>
      </w:r>
      <w:r w:rsidRPr="007B7129">
        <w:rPr>
          <w:color w:val="000000"/>
          <w:szCs w:val="24"/>
        </w:rPr>
        <w:t xml:space="preserve"> (0.16 mmol) in THF and water (3:1) at 0 </w:t>
      </w:r>
      <w:r w:rsidRPr="007B7129">
        <w:rPr>
          <w:rFonts w:cs="Times New Roman"/>
          <w:color w:val="000000"/>
          <w:szCs w:val="24"/>
        </w:rPr>
        <w:t>̊</w:t>
      </w:r>
      <w:r w:rsidRPr="007B7129">
        <w:rPr>
          <w:color w:val="000000"/>
          <w:szCs w:val="24"/>
        </w:rPr>
        <w:t>C. After one hour of stirring, NaIO</w:t>
      </w:r>
      <w:r w:rsidRPr="007B7129">
        <w:rPr>
          <w:color w:val="000000"/>
          <w:szCs w:val="24"/>
          <w:vertAlign w:val="subscript"/>
        </w:rPr>
        <w:t>4</w:t>
      </w:r>
      <w:r w:rsidRPr="007B7129">
        <w:rPr>
          <w:color w:val="000000"/>
          <w:szCs w:val="24"/>
        </w:rPr>
        <w:t xml:space="preserve"> (0.32 mmol) was added slowly. The reaction was allowed to warm to room temperature overnight and monitored by TLC. Upon consumption of starting material, ethyl acetate was added. The organic layer was washed with water, dried over sodium sulfate, and concentrated in vacuo. The resulting crude oil was purified with flash chromatography (SiO</w:t>
      </w:r>
      <w:r w:rsidRPr="007B7129">
        <w:rPr>
          <w:color w:val="000000"/>
          <w:szCs w:val="24"/>
          <w:vertAlign w:val="subscript"/>
        </w:rPr>
        <w:t>2</w:t>
      </w:r>
      <w:r w:rsidRPr="007B7129">
        <w:rPr>
          <w:color w:val="000000"/>
          <w:szCs w:val="24"/>
        </w:rPr>
        <w:t xml:space="preserve">) using 25% ethyl acetate in hexanes as the eluent. </w:t>
      </w:r>
      <w:r w:rsidRPr="007B7129">
        <w:t xml:space="preserve">Pure fractions were pooled and concentrated in vacuo to yield compound </w:t>
      </w:r>
      <w:r w:rsidRPr="007B7129">
        <w:rPr>
          <w:b/>
          <w:bCs/>
        </w:rPr>
        <w:t>3.38</w:t>
      </w:r>
      <w:r w:rsidRPr="007B7129">
        <w:t xml:space="preserve"> as an amorphous yellow solid.</w:t>
      </w:r>
    </w:p>
    <w:p w14:paraId="001BC53F" w14:textId="77777777" w:rsidR="007B7129" w:rsidRPr="007B7129" w:rsidRDefault="007B7129" w:rsidP="007B7129">
      <w:pPr>
        <w:ind w:firstLine="720"/>
        <w:rPr>
          <w:color w:val="000000"/>
          <w:szCs w:val="24"/>
        </w:rPr>
      </w:pPr>
      <w:r w:rsidRPr="007B7129">
        <w:rPr>
          <w:b/>
          <w:bCs/>
          <w:color w:val="000000"/>
          <w:szCs w:val="24"/>
        </w:rPr>
        <w:t>5-oxo-5-(9H-pyrido[3,4-</w:t>
      </w:r>
      <w:proofErr w:type="gramStart"/>
      <w:r w:rsidRPr="007B7129">
        <w:rPr>
          <w:b/>
          <w:bCs/>
          <w:color w:val="000000"/>
          <w:szCs w:val="24"/>
        </w:rPr>
        <w:t>b]indol</w:t>
      </w:r>
      <w:proofErr w:type="gramEnd"/>
      <w:r w:rsidRPr="007B7129">
        <w:rPr>
          <w:b/>
          <w:bCs/>
          <w:color w:val="000000"/>
          <w:szCs w:val="24"/>
        </w:rPr>
        <w:t>-1-yl)pentanal (</w:t>
      </w:r>
      <w:r w:rsidRPr="007B7129">
        <w:rPr>
          <w:b/>
          <w:bCs/>
        </w:rPr>
        <w:t>3.</w:t>
      </w:r>
      <w:r w:rsidRPr="007B7129">
        <w:rPr>
          <w:b/>
          <w:bCs/>
          <w:color w:val="000000"/>
          <w:szCs w:val="24"/>
        </w:rPr>
        <w:t>38):</w:t>
      </w:r>
      <w:r w:rsidRPr="007B7129">
        <w:rPr>
          <w:color w:val="000000"/>
          <w:szCs w:val="24"/>
        </w:rPr>
        <w:t xml:space="preserve"> Yellow amorphous solid, 85% yield. </w:t>
      </w:r>
      <w:r w:rsidRPr="007B7129">
        <w:rPr>
          <w:color w:val="000000"/>
          <w:szCs w:val="24"/>
          <w:vertAlign w:val="superscript"/>
        </w:rPr>
        <w:t>1</w:t>
      </w:r>
      <w:r w:rsidRPr="007B7129">
        <w:rPr>
          <w:color w:val="000000"/>
          <w:szCs w:val="24"/>
        </w:rPr>
        <w:t xml:space="preserve">H NMR (500 MHz, DMSO) δ 11.9 (s, 0H), 9.7 (d, </w:t>
      </w:r>
      <w:r w:rsidRPr="007B7129">
        <w:rPr>
          <w:i/>
          <w:iCs/>
          <w:color w:val="000000"/>
          <w:szCs w:val="24"/>
        </w:rPr>
        <w:t>J</w:t>
      </w:r>
      <w:r w:rsidRPr="007B7129">
        <w:rPr>
          <w:color w:val="000000"/>
          <w:szCs w:val="24"/>
        </w:rPr>
        <w:t xml:space="preserve"> = 1.5 Hz, 0H), 8.5 (d, </w:t>
      </w:r>
      <w:r w:rsidRPr="007B7129">
        <w:rPr>
          <w:i/>
          <w:iCs/>
          <w:color w:val="000000"/>
          <w:szCs w:val="24"/>
        </w:rPr>
        <w:t>J</w:t>
      </w:r>
      <w:r w:rsidRPr="007B7129">
        <w:rPr>
          <w:color w:val="000000"/>
          <w:szCs w:val="24"/>
        </w:rPr>
        <w:t xml:space="preserve"> = 4.9 Hz, 0H), 8.4 (d, </w:t>
      </w:r>
      <w:r w:rsidRPr="007B7129">
        <w:rPr>
          <w:i/>
          <w:iCs/>
          <w:color w:val="000000"/>
          <w:szCs w:val="24"/>
        </w:rPr>
        <w:t>J</w:t>
      </w:r>
      <w:r w:rsidRPr="007B7129">
        <w:rPr>
          <w:color w:val="000000"/>
          <w:szCs w:val="24"/>
        </w:rPr>
        <w:t xml:space="preserve"> = 4.9 Hz, 0H), 8.3 (d, </w:t>
      </w:r>
      <w:r w:rsidRPr="007B7129">
        <w:rPr>
          <w:i/>
          <w:iCs/>
          <w:color w:val="000000"/>
          <w:szCs w:val="24"/>
        </w:rPr>
        <w:t>J</w:t>
      </w:r>
      <w:r w:rsidRPr="007B7129">
        <w:rPr>
          <w:color w:val="000000"/>
          <w:szCs w:val="24"/>
        </w:rPr>
        <w:t xml:space="preserve"> = 7.9 Hz, 0H), 7.8 (d, </w:t>
      </w:r>
      <w:r w:rsidRPr="007B7129">
        <w:rPr>
          <w:i/>
          <w:iCs/>
          <w:color w:val="000000"/>
          <w:szCs w:val="24"/>
        </w:rPr>
        <w:t>J</w:t>
      </w:r>
      <w:r w:rsidRPr="007B7129">
        <w:rPr>
          <w:color w:val="000000"/>
          <w:szCs w:val="24"/>
        </w:rPr>
        <w:t xml:space="preserve"> = 8.2 Hz, 0H), 7.6 (t, </w:t>
      </w:r>
      <w:r w:rsidRPr="007B7129">
        <w:rPr>
          <w:i/>
          <w:iCs/>
          <w:color w:val="000000"/>
          <w:szCs w:val="24"/>
        </w:rPr>
        <w:t>J</w:t>
      </w:r>
      <w:r w:rsidRPr="007B7129">
        <w:rPr>
          <w:color w:val="000000"/>
          <w:szCs w:val="24"/>
        </w:rPr>
        <w:t xml:space="preserve"> = 7.7 Hz, 0H), 7.3 (t, </w:t>
      </w:r>
      <w:r w:rsidRPr="007B7129">
        <w:rPr>
          <w:i/>
          <w:iCs/>
          <w:color w:val="000000"/>
          <w:szCs w:val="24"/>
        </w:rPr>
        <w:t>J</w:t>
      </w:r>
      <w:r w:rsidRPr="007B7129">
        <w:rPr>
          <w:color w:val="000000"/>
          <w:szCs w:val="24"/>
        </w:rPr>
        <w:t xml:space="preserve"> = 7.5 Hz, 0H), 3.4 (t, </w:t>
      </w:r>
      <w:r w:rsidRPr="007B7129">
        <w:rPr>
          <w:i/>
          <w:iCs/>
          <w:color w:val="000000"/>
          <w:szCs w:val="24"/>
        </w:rPr>
        <w:t>J</w:t>
      </w:r>
      <w:r w:rsidRPr="007B7129">
        <w:rPr>
          <w:color w:val="000000"/>
          <w:szCs w:val="24"/>
        </w:rPr>
        <w:t xml:space="preserve"> = 7.3 Hz, 1H), 2.6 (td, </w:t>
      </w:r>
      <w:r w:rsidRPr="007B7129">
        <w:rPr>
          <w:i/>
          <w:iCs/>
          <w:color w:val="000000"/>
          <w:szCs w:val="24"/>
        </w:rPr>
        <w:t>J</w:t>
      </w:r>
      <w:r w:rsidRPr="007B7129">
        <w:rPr>
          <w:color w:val="000000"/>
          <w:szCs w:val="24"/>
        </w:rPr>
        <w:t xml:space="preserve"> = 7.2, 1.4 Hz, 1H), 2.0 (p, </w:t>
      </w:r>
      <w:r w:rsidRPr="007B7129">
        <w:rPr>
          <w:i/>
          <w:iCs/>
          <w:color w:val="000000"/>
          <w:szCs w:val="24"/>
        </w:rPr>
        <w:t>J</w:t>
      </w:r>
      <w:r w:rsidRPr="007B7129">
        <w:rPr>
          <w:color w:val="000000"/>
          <w:szCs w:val="24"/>
        </w:rPr>
        <w:t xml:space="preserve"> = 7.3 Hz, 1H). </w:t>
      </w:r>
      <w:r w:rsidRPr="007B7129">
        <w:rPr>
          <w:color w:val="000000"/>
          <w:szCs w:val="24"/>
          <w:vertAlign w:val="superscript"/>
        </w:rPr>
        <w:t>13</w:t>
      </w:r>
      <w:r w:rsidRPr="007B7129">
        <w:rPr>
          <w:color w:val="000000"/>
          <w:szCs w:val="24"/>
        </w:rPr>
        <w:t>C NMR (126 MHz, DMSO) δ 202.7, 177.4, 141.8, 137.4, 135.6, 134.0, 131.0, 128.9, 121.8, 120.1, 119.4, 113.0, 42.5, 36.4, 16.3.</w:t>
      </w:r>
    </w:p>
    <w:p w14:paraId="446AA5ED" w14:textId="77777777" w:rsidR="007B7129" w:rsidRPr="007B7129" w:rsidRDefault="007B7129" w:rsidP="007B7129">
      <w:pPr>
        <w:spacing w:after="0"/>
        <w:rPr>
          <w:color w:val="000000"/>
          <w:szCs w:val="24"/>
        </w:rPr>
      </w:pPr>
      <w:r w:rsidRPr="007B7129">
        <w:rPr>
          <w:noProof/>
          <w:color w:val="000000"/>
          <w:szCs w:val="24"/>
        </w:rPr>
        <w:lastRenderedPageBreak/>
        <mc:AlternateContent>
          <mc:Choice Requires="wps">
            <w:drawing>
              <wp:inline distT="0" distB="0" distL="0" distR="0" wp14:anchorId="4E0EFB20" wp14:editId="2FC4D032">
                <wp:extent cx="5942965" cy="1892300"/>
                <wp:effectExtent l="0" t="0" r="19685" b="12700"/>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965" cy="1892300"/>
                        </a:xfrm>
                        <a:prstGeom prst="rect">
                          <a:avLst/>
                        </a:prstGeom>
                        <a:solidFill>
                          <a:srgbClr val="FFFFFF"/>
                        </a:solidFill>
                        <a:ln w="9525">
                          <a:solidFill>
                            <a:srgbClr val="000000"/>
                          </a:solidFill>
                          <a:miter lim="800000"/>
                          <a:headEnd/>
                          <a:tailEnd/>
                        </a:ln>
                      </wps:spPr>
                      <wps:txbx>
                        <w:txbxContent>
                          <w:p w14:paraId="75B098A0" w14:textId="77777777" w:rsidR="007B7129" w:rsidRDefault="007B7129" w:rsidP="007B7129">
                            <w:pPr>
                              <w:keepNext/>
                              <w:jc w:val="center"/>
                            </w:pPr>
                            <w:r>
                              <w:object w:dxaOrig="8749" w:dyaOrig="1509" w14:anchorId="2A3606D3">
                                <v:shape id="_x0000_i1133" type="#_x0000_t75" style="width:437.6pt;height:75.75pt">
                                  <v:imagedata r:id="rId354" o:title=""/>
                                </v:shape>
                                <o:OLEObject Type="Embed" ProgID="ChemDraw.Document.6.0" ShapeID="_x0000_i1133" DrawAspect="Content" ObjectID="_1713353524" r:id="rId355"/>
                              </w:object>
                            </w:r>
                          </w:p>
                          <w:p w14:paraId="12DC3960" w14:textId="249AB472" w:rsidR="007B7129" w:rsidRPr="001F3235" w:rsidRDefault="007B7129" w:rsidP="00DF51F5">
                            <w:pPr>
                              <w:pStyle w:val="Caption"/>
                            </w:pPr>
                            <w:r>
                              <w:t>Scheme 3.</w:t>
                            </w:r>
                            <w:r w:rsidR="00232E60">
                              <w:t>21</w:t>
                            </w:r>
                            <w:r>
                              <w:t>. PSR2, Step 4.</w:t>
                            </w:r>
                          </w:p>
                          <w:p w14:paraId="2591C61C" w14:textId="77777777" w:rsidR="007B7129" w:rsidRDefault="007B7129" w:rsidP="007B7129">
                            <w:r>
                              <w:t xml:space="preserve">Reagents and conditions: (a) anhydrous HCl in MeOH, 0 – 23 </w:t>
                            </w:r>
                            <w:r>
                              <w:rPr>
                                <w:rFonts w:cs="Times New Roman"/>
                              </w:rPr>
                              <w:t>̊</w:t>
                            </w:r>
                            <w:r>
                              <w:t>C, 74%.</w:t>
                            </w:r>
                          </w:p>
                        </w:txbxContent>
                      </wps:txbx>
                      <wps:bodyPr rot="0" vert="horz" wrap="square" lIns="91440" tIns="45720" rIns="91440" bIns="45720" anchor="t" anchorCtr="0">
                        <a:noAutofit/>
                      </wps:bodyPr>
                    </wps:wsp>
                  </a:graphicData>
                </a:graphic>
              </wp:inline>
            </w:drawing>
          </mc:Choice>
          <mc:Fallback>
            <w:pict>
              <v:shape w14:anchorId="4E0EFB20" id="_x0000_s1113" type="#_x0000_t202" style="width:467.95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">
                <v:textbox>
                  <w:txbxContent>
                    <w:p w14:paraId="75B098A0" w14:textId="77777777" w:rsidR="007B7129" w:rsidRDefault="007B7129" w:rsidP="007B7129">
                      <w:pPr>
                        <w:keepNext/>
                        <w:jc w:val="center"/>
                      </w:pPr>
                      <w:r>
                        <w:object w:dxaOrig="8749" w:dyaOrig="1509" w14:anchorId="2A3606D3">
                          <v:shape id="_x0000_i1133" type="#_x0000_t75" style="width:437.6pt;height:75.75pt">
                            <v:imagedata r:id="rId354" o:title=""/>
                          </v:shape>
                          <o:OLEObject Type="Embed" ProgID="ChemDraw.Document.6.0" ShapeID="_x0000_i1133" DrawAspect="Content" ObjectID="_1713353524" r:id="rId356"/>
                        </w:object>
                      </w:r>
                    </w:p>
                    <w:p w14:paraId="12DC3960" w14:textId="249AB472" w:rsidR="007B7129" w:rsidRPr="001F3235" w:rsidRDefault="007B7129" w:rsidP="00DF51F5">
                      <w:pPr>
                        <w:pStyle w:val="Caption"/>
                      </w:pPr>
                      <w:r>
                        <w:t>Scheme 3.</w:t>
                      </w:r>
                      <w:r w:rsidR="00232E60">
                        <w:t>21</w:t>
                      </w:r>
                      <w:r>
                        <w:t>. PSR2, Step 4.</w:t>
                      </w:r>
                    </w:p>
                    <w:p w14:paraId="2591C61C" w14:textId="77777777" w:rsidR="007B7129" w:rsidRDefault="007B7129" w:rsidP="007B7129">
                      <w:r>
                        <w:t xml:space="preserve">Reagents and conditions: (a) anhydrous HCl in MeOH, 0 – 23 </w:t>
                      </w:r>
                      <w:r>
                        <w:rPr>
                          <w:rFonts w:cs="Times New Roman"/>
                        </w:rPr>
                        <w:t>̊</w:t>
                      </w:r>
                      <w:r>
                        <w:t>C, 74%.</w:t>
                      </w:r>
                    </w:p>
                  </w:txbxContent>
                </v:textbox>
                <w10:anchorlock/>
              </v:shape>
            </w:pict>
          </mc:Fallback>
        </mc:AlternateContent>
      </w:r>
    </w:p>
    <w:p w14:paraId="4A6C5D19" w14:textId="77777777" w:rsidR="007B7129" w:rsidRPr="007B7129" w:rsidRDefault="007B7129" w:rsidP="007B7129">
      <w:pPr>
        <w:ind w:firstLine="720"/>
      </w:pPr>
      <w:r w:rsidRPr="007B7129">
        <w:rPr>
          <w:b/>
          <w:bCs/>
          <w:color w:val="000000"/>
          <w:szCs w:val="24"/>
        </w:rPr>
        <w:t>General procedure for PSR2.</w:t>
      </w:r>
      <w:r w:rsidRPr="007B7129">
        <w:rPr>
          <w:color w:val="000000"/>
          <w:szCs w:val="24"/>
        </w:rPr>
        <w:t xml:space="preserve"> Tryptamine </w:t>
      </w:r>
      <w:r w:rsidRPr="007B7129">
        <w:rPr>
          <w:b/>
          <w:bCs/>
        </w:rPr>
        <w:t>3.</w:t>
      </w:r>
      <w:r w:rsidRPr="007B7129">
        <w:rPr>
          <w:b/>
          <w:bCs/>
          <w:color w:val="000000"/>
          <w:szCs w:val="24"/>
        </w:rPr>
        <w:t>32</w:t>
      </w:r>
      <w:r w:rsidRPr="007B7129">
        <w:rPr>
          <w:color w:val="000000"/>
          <w:szCs w:val="24"/>
        </w:rPr>
        <w:t xml:space="preserve"> (59 </w:t>
      </w:r>
      <w:proofErr w:type="spellStart"/>
      <w:r w:rsidRPr="007B7129">
        <w:rPr>
          <w:rFonts w:ascii="Calibri" w:hAnsi="Calibri" w:cs="Calibri"/>
          <w:color w:val="000000"/>
          <w:szCs w:val="24"/>
        </w:rPr>
        <w:t>μ</w:t>
      </w:r>
      <w:r w:rsidRPr="007B7129">
        <w:rPr>
          <w:color w:val="000000"/>
          <w:szCs w:val="24"/>
        </w:rPr>
        <w:t>mol</w:t>
      </w:r>
      <w:proofErr w:type="spellEnd"/>
      <w:r w:rsidRPr="007B7129">
        <w:rPr>
          <w:color w:val="000000"/>
          <w:szCs w:val="24"/>
        </w:rPr>
        <w:t xml:space="preserve">) was added to a solution of aldehyde </w:t>
      </w:r>
      <w:r w:rsidRPr="007B7129">
        <w:rPr>
          <w:b/>
          <w:bCs/>
        </w:rPr>
        <w:t>3.</w:t>
      </w:r>
      <w:r w:rsidRPr="007B7129">
        <w:rPr>
          <w:b/>
          <w:bCs/>
          <w:color w:val="000000"/>
          <w:szCs w:val="24"/>
        </w:rPr>
        <w:t>38</w:t>
      </w:r>
      <w:r w:rsidRPr="007B7129">
        <w:rPr>
          <w:color w:val="000000"/>
          <w:szCs w:val="24"/>
        </w:rPr>
        <w:t xml:space="preserve"> (49 </w:t>
      </w:r>
      <w:proofErr w:type="spellStart"/>
      <w:r w:rsidRPr="007B7129">
        <w:rPr>
          <w:rFonts w:ascii="Calibri" w:hAnsi="Calibri" w:cs="Calibri"/>
          <w:color w:val="000000"/>
          <w:szCs w:val="24"/>
        </w:rPr>
        <w:t>μ</w:t>
      </w:r>
      <w:r w:rsidRPr="007B7129">
        <w:rPr>
          <w:color w:val="000000"/>
          <w:szCs w:val="24"/>
        </w:rPr>
        <w:t>mol</w:t>
      </w:r>
      <w:proofErr w:type="spellEnd"/>
      <w:r w:rsidRPr="007B7129">
        <w:rPr>
          <w:color w:val="000000"/>
          <w:szCs w:val="24"/>
        </w:rPr>
        <w:t xml:space="preserve">) dissolved in dry methanol (1 mL) under nitrogen atmosphere at 0 </w:t>
      </w:r>
      <w:r w:rsidRPr="007B7129">
        <w:rPr>
          <w:rFonts w:cs="Times New Roman"/>
          <w:color w:val="000000"/>
          <w:szCs w:val="24"/>
        </w:rPr>
        <w:t>̊</w:t>
      </w:r>
      <w:r w:rsidRPr="007B7129">
        <w:rPr>
          <w:color w:val="000000"/>
          <w:szCs w:val="24"/>
        </w:rPr>
        <w:t xml:space="preserve">C followed by dropwise addition of anhydrous HCl solution in methanol (2 M, 24 </w:t>
      </w:r>
      <w:proofErr w:type="spellStart"/>
      <w:r w:rsidRPr="007B7129">
        <w:rPr>
          <w:rFonts w:ascii="Calibri" w:hAnsi="Calibri" w:cs="Calibri"/>
          <w:color w:val="000000"/>
          <w:szCs w:val="24"/>
        </w:rPr>
        <w:t>μ</w:t>
      </w:r>
      <w:r w:rsidRPr="007B7129">
        <w:rPr>
          <w:color w:val="000000"/>
          <w:szCs w:val="24"/>
        </w:rPr>
        <w:t>L</w:t>
      </w:r>
      <w:proofErr w:type="spellEnd"/>
      <w:r w:rsidRPr="007B7129">
        <w:rPr>
          <w:color w:val="000000"/>
          <w:szCs w:val="24"/>
        </w:rPr>
        <w:t xml:space="preserve">) over ten minutes. Reaction was warmed to room temperature (23 </w:t>
      </w:r>
      <w:r w:rsidRPr="007B7129">
        <w:rPr>
          <w:rFonts w:cs="Times New Roman"/>
          <w:color w:val="000000"/>
          <w:szCs w:val="24"/>
        </w:rPr>
        <w:t>̊</w:t>
      </w:r>
      <w:r w:rsidRPr="007B7129">
        <w:rPr>
          <w:color w:val="000000"/>
          <w:szCs w:val="24"/>
        </w:rPr>
        <w:t>C), monitored by TLC, and allowed to stir overnight. Upon consumption of starting material, water and DCM were added. The DCM layer was washed with water, and dried over sodium sulfate, and concentrated under vacuum. The resulting crude oil was purified with flash chromatography (SiO</w:t>
      </w:r>
      <w:r w:rsidRPr="007B7129">
        <w:rPr>
          <w:color w:val="000000"/>
          <w:szCs w:val="24"/>
          <w:vertAlign w:val="subscript"/>
        </w:rPr>
        <w:t>2</w:t>
      </w:r>
      <w:r w:rsidRPr="007B7129">
        <w:rPr>
          <w:color w:val="000000"/>
          <w:szCs w:val="24"/>
        </w:rPr>
        <w:t xml:space="preserve">) using 70% ethyl acetate/5% triethylamine in hexanes as the eluent. </w:t>
      </w:r>
      <w:r w:rsidRPr="007B7129">
        <w:t xml:space="preserve">Pure fractions were pooled and concentrated in vacuo to yield compound </w:t>
      </w:r>
      <w:r w:rsidRPr="007B7129">
        <w:rPr>
          <w:b/>
          <w:bCs/>
        </w:rPr>
        <w:t>3.41</w:t>
      </w:r>
      <w:r w:rsidRPr="007B7129">
        <w:t xml:space="preserve"> or its hydrate </w:t>
      </w:r>
      <w:r w:rsidRPr="007B7129">
        <w:rPr>
          <w:b/>
          <w:bCs/>
        </w:rPr>
        <w:t>3.42</w:t>
      </w:r>
      <w:r w:rsidRPr="007B7129">
        <w:t xml:space="preserve"> as a yellow oil. </w:t>
      </w:r>
    </w:p>
    <w:p w14:paraId="3A3C74CE" w14:textId="77777777" w:rsidR="007B7129" w:rsidRPr="007B7129" w:rsidRDefault="007B7129" w:rsidP="007B7129">
      <w:pPr>
        <w:ind w:firstLine="720"/>
        <w:rPr>
          <w:rFonts w:cs="Times New Roman"/>
          <w:szCs w:val="24"/>
        </w:rPr>
      </w:pPr>
      <w:r w:rsidRPr="007B7129">
        <w:rPr>
          <w:b/>
          <w:bCs/>
        </w:rPr>
        <w:t>4-(9H-pyrido[3,4-</w:t>
      </w:r>
      <w:proofErr w:type="gramStart"/>
      <w:r w:rsidRPr="007B7129">
        <w:rPr>
          <w:b/>
          <w:bCs/>
        </w:rPr>
        <w:t>b]indol</w:t>
      </w:r>
      <w:proofErr w:type="gramEnd"/>
      <w:r w:rsidRPr="007B7129">
        <w:rPr>
          <w:b/>
          <w:bCs/>
        </w:rPr>
        <w:t xml:space="preserve">-1-yl)-1,2,6,7,12,12b-hexahydroindolo[2,3-a]quinolizine (3.41): </w:t>
      </w:r>
      <w:r w:rsidRPr="007B7129">
        <w:t xml:space="preserve">Yellow oil, 74% yield. </w:t>
      </w:r>
      <w:r w:rsidRPr="007B7129">
        <w:rPr>
          <w:color w:val="000000"/>
          <w:szCs w:val="24"/>
          <w:vertAlign w:val="superscript"/>
        </w:rPr>
        <w:t>1</w:t>
      </w:r>
      <w:r w:rsidRPr="007B7129">
        <w:rPr>
          <w:color w:val="000000"/>
          <w:szCs w:val="24"/>
        </w:rPr>
        <w:t xml:space="preserve">H NMR (500 MHz, DMSO) δ 10.99 (s, 1H), 8.32 (d, </w:t>
      </w:r>
      <w:r w:rsidRPr="007B7129">
        <w:rPr>
          <w:i/>
          <w:iCs/>
          <w:color w:val="000000"/>
          <w:szCs w:val="24"/>
        </w:rPr>
        <w:t>J</w:t>
      </w:r>
      <w:r w:rsidRPr="007B7129">
        <w:rPr>
          <w:color w:val="000000"/>
          <w:szCs w:val="24"/>
        </w:rPr>
        <w:t xml:space="preserve"> = 5.2 Hz, 0H), 8.21 (d, </w:t>
      </w:r>
      <w:r w:rsidRPr="007B7129">
        <w:rPr>
          <w:i/>
          <w:iCs/>
          <w:color w:val="000000"/>
          <w:szCs w:val="24"/>
        </w:rPr>
        <w:t>J</w:t>
      </w:r>
      <w:r w:rsidRPr="007B7129">
        <w:rPr>
          <w:color w:val="000000"/>
          <w:szCs w:val="24"/>
        </w:rPr>
        <w:t xml:space="preserve"> = 7.9 Hz, 0H), 8.05 (d, </w:t>
      </w:r>
      <w:r w:rsidRPr="007B7129">
        <w:rPr>
          <w:i/>
          <w:iCs/>
          <w:color w:val="000000"/>
          <w:szCs w:val="24"/>
        </w:rPr>
        <w:t>J</w:t>
      </w:r>
      <w:r w:rsidRPr="007B7129">
        <w:rPr>
          <w:color w:val="000000"/>
          <w:szCs w:val="24"/>
        </w:rPr>
        <w:t xml:space="preserve"> = 5.1 Hz, 0H), 7.67 (d, </w:t>
      </w:r>
      <w:r w:rsidRPr="007B7129">
        <w:rPr>
          <w:i/>
          <w:iCs/>
          <w:color w:val="000000"/>
          <w:szCs w:val="24"/>
        </w:rPr>
        <w:t>J</w:t>
      </w:r>
      <w:r w:rsidRPr="007B7129">
        <w:rPr>
          <w:color w:val="000000"/>
          <w:szCs w:val="24"/>
        </w:rPr>
        <w:t xml:space="preserve"> = 8.2 Hz, 0H), 7.49 (</w:t>
      </w:r>
      <w:proofErr w:type="spellStart"/>
      <w:r w:rsidRPr="007B7129">
        <w:rPr>
          <w:color w:val="000000"/>
          <w:szCs w:val="24"/>
        </w:rPr>
        <w:t>ddd</w:t>
      </w:r>
      <w:proofErr w:type="spellEnd"/>
      <w:r w:rsidRPr="007B7129">
        <w:rPr>
          <w:color w:val="000000"/>
          <w:szCs w:val="24"/>
        </w:rPr>
        <w:t xml:space="preserve">, </w:t>
      </w:r>
      <w:r w:rsidRPr="007B7129">
        <w:rPr>
          <w:i/>
          <w:iCs/>
          <w:color w:val="000000"/>
          <w:szCs w:val="24"/>
        </w:rPr>
        <w:t>J</w:t>
      </w:r>
      <w:r w:rsidRPr="007B7129">
        <w:rPr>
          <w:color w:val="000000"/>
          <w:szCs w:val="24"/>
        </w:rPr>
        <w:t xml:space="preserve"> = 8.2, 7.0, 1.2 Hz, 1H), 7.36 (t, </w:t>
      </w:r>
      <w:r w:rsidRPr="007B7129">
        <w:rPr>
          <w:i/>
          <w:iCs/>
          <w:color w:val="000000"/>
          <w:szCs w:val="24"/>
        </w:rPr>
        <w:t>J</w:t>
      </w:r>
      <w:r w:rsidRPr="007B7129">
        <w:rPr>
          <w:color w:val="000000"/>
          <w:szCs w:val="24"/>
        </w:rPr>
        <w:t xml:space="preserve"> = 7.7 Hz, 1H), 7.22 (t, </w:t>
      </w:r>
      <w:r w:rsidRPr="007B7129">
        <w:rPr>
          <w:i/>
          <w:iCs/>
          <w:color w:val="000000"/>
          <w:szCs w:val="24"/>
        </w:rPr>
        <w:t>J</w:t>
      </w:r>
      <w:r w:rsidRPr="007B7129">
        <w:rPr>
          <w:color w:val="000000"/>
          <w:szCs w:val="24"/>
        </w:rPr>
        <w:t xml:space="preserve"> = 7.5 Hz, 0H), 7.09 – 7.01 (m, 0H), 6.96 (t, </w:t>
      </w:r>
      <w:r w:rsidRPr="007B7129">
        <w:rPr>
          <w:i/>
          <w:iCs/>
          <w:color w:val="000000"/>
          <w:szCs w:val="24"/>
        </w:rPr>
        <w:t>J</w:t>
      </w:r>
      <w:r w:rsidRPr="007B7129">
        <w:rPr>
          <w:color w:val="000000"/>
          <w:szCs w:val="24"/>
        </w:rPr>
        <w:t xml:space="preserve"> = 7.4 Hz, 0H), 5.61 (t, </w:t>
      </w:r>
      <w:r w:rsidRPr="007B7129">
        <w:rPr>
          <w:i/>
          <w:iCs/>
          <w:color w:val="000000"/>
          <w:szCs w:val="24"/>
        </w:rPr>
        <w:t>J</w:t>
      </w:r>
      <w:r w:rsidRPr="007B7129">
        <w:rPr>
          <w:color w:val="000000"/>
          <w:szCs w:val="24"/>
        </w:rPr>
        <w:t xml:space="preserve"> = 3.8 Hz, 0H), 4.58 (d, </w:t>
      </w:r>
      <w:r w:rsidRPr="007B7129">
        <w:rPr>
          <w:i/>
          <w:iCs/>
          <w:color w:val="000000"/>
          <w:szCs w:val="24"/>
        </w:rPr>
        <w:t>J</w:t>
      </w:r>
      <w:r w:rsidRPr="007B7129">
        <w:rPr>
          <w:color w:val="000000"/>
          <w:szCs w:val="24"/>
        </w:rPr>
        <w:t xml:space="preserve"> = 10.0 Hz, 0H), 2.97 (dt, </w:t>
      </w:r>
      <w:r w:rsidRPr="007B7129">
        <w:rPr>
          <w:i/>
          <w:iCs/>
          <w:color w:val="000000"/>
          <w:szCs w:val="24"/>
        </w:rPr>
        <w:t>J</w:t>
      </w:r>
      <w:r w:rsidRPr="007B7129">
        <w:rPr>
          <w:color w:val="000000"/>
          <w:szCs w:val="24"/>
        </w:rPr>
        <w:t xml:space="preserve"> = 12.2, 4.4 Hz, 1H), 2.88 (</w:t>
      </w:r>
      <w:proofErr w:type="spellStart"/>
      <w:r w:rsidRPr="007B7129">
        <w:rPr>
          <w:color w:val="000000"/>
          <w:szCs w:val="24"/>
        </w:rPr>
        <w:t>ddd</w:t>
      </w:r>
      <w:proofErr w:type="spellEnd"/>
      <w:r w:rsidRPr="007B7129">
        <w:rPr>
          <w:color w:val="000000"/>
          <w:szCs w:val="24"/>
        </w:rPr>
        <w:t xml:space="preserve">, </w:t>
      </w:r>
      <w:r w:rsidRPr="007B7129">
        <w:rPr>
          <w:i/>
          <w:iCs/>
          <w:color w:val="000000"/>
          <w:szCs w:val="24"/>
        </w:rPr>
        <w:t>J</w:t>
      </w:r>
      <w:r w:rsidRPr="007B7129">
        <w:rPr>
          <w:color w:val="000000"/>
          <w:szCs w:val="24"/>
        </w:rPr>
        <w:t xml:space="preserve"> = 12.5, 9.1, 3.8 Hz, 1H), 2.71 (</w:t>
      </w:r>
      <w:proofErr w:type="spellStart"/>
      <w:r w:rsidRPr="007B7129">
        <w:rPr>
          <w:color w:val="000000"/>
          <w:szCs w:val="24"/>
        </w:rPr>
        <w:t>ddd</w:t>
      </w:r>
      <w:proofErr w:type="spellEnd"/>
      <w:r w:rsidRPr="007B7129">
        <w:rPr>
          <w:color w:val="000000"/>
          <w:szCs w:val="24"/>
        </w:rPr>
        <w:t xml:space="preserve">, </w:t>
      </w:r>
      <w:r w:rsidRPr="007B7129">
        <w:rPr>
          <w:i/>
          <w:iCs/>
          <w:color w:val="000000"/>
          <w:szCs w:val="24"/>
        </w:rPr>
        <w:t>J</w:t>
      </w:r>
      <w:r w:rsidRPr="007B7129">
        <w:rPr>
          <w:color w:val="000000"/>
          <w:szCs w:val="24"/>
        </w:rPr>
        <w:t xml:space="preserve"> = 14.4, 9.2, 5.0 Hz, 1H), 2.53 (t, </w:t>
      </w:r>
      <w:r w:rsidRPr="007B7129">
        <w:rPr>
          <w:i/>
          <w:iCs/>
          <w:color w:val="000000"/>
          <w:szCs w:val="24"/>
        </w:rPr>
        <w:t>J</w:t>
      </w:r>
      <w:r w:rsidRPr="007B7129">
        <w:rPr>
          <w:color w:val="000000"/>
          <w:szCs w:val="24"/>
        </w:rPr>
        <w:t xml:space="preserve"> = 3.9 Hz, 0H), 2.43 (</w:t>
      </w:r>
      <w:proofErr w:type="spellStart"/>
      <w:r w:rsidRPr="007B7129">
        <w:rPr>
          <w:color w:val="000000"/>
          <w:szCs w:val="24"/>
        </w:rPr>
        <w:t>dddd</w:t>
      </w:r>
      <w:proofErr w:type="spellEnd"/>
      <w:r w:rsidRPr="007B7129">
        <w:rPr>
          <w:color w:val="000000"/>
          <w:szCs w:val="24"/>
        </w:rPr>
        <w:t xml:space="preserve">, </w:t>
      </w:r>
      <w:r w:rsidRPr="007B7129">
        <w:rPr>
          <w:i/>
          <w:iCs/>
          <w:color w:val="000000"/>
          <w:szCs w:val="24"/>
        </w:rPr>
        <w:t>J</w:t>
      </w:r>
      <w:r w:rsidRPr="007B7129">
        <w:rPr>
          <w:color w:val="000000"/>
          <w:szCs w:val="24"/>
        </w:rPr>
        <w:t xml:space="preserve"> = 17.7, 10.3, 6.6, 3.1 Hz, 0H), 2.33 (td, </w:t>
      </w:r>
      <w:r w:rsidRPr="007B7129">
        <w:rPr>
          <w:i/>
          <w:iCs/>
          <w:color w:val="000000"/>
          <w:szCs w:val="24"/>
        </w:rPr>
        <w:t>J</w:t>
      </w:r>
      <w:r w:rsidRPr="007B7129">
        <w:rPr>
          <w:color w:val="000000"/>
          <w:szCs w:val="24"/>
        </w:rPr>
        <w:t xml:space="preserve"> = 5.1, 2.6 Hz, 0H), 2.28 (</w:t>
      </w:r>
      <w:proofErr w:type="spellStart"/>
      <w:r w:rsidRPr="007B7129">
        <w:rPr>
          <w:color w:val="000000"/>
          <w:szCs w:val="24"/>
        </w:rPr>
        <w:t>ddd</w:t>
      </w:r>
      <w:proofErr w:type="spellEnd"/>
      <w:r w:rsidRPr="007B7129">
        <w:rPr>
          <w:color w:val="000000"/>
          <w:szCs w:val="24"/>
        </w:rPr>
        <w:t xml:space="preserve">, </w:t>
      </w:r>
      <w:r w:rsidRPr="007B7129">
        <w:rPr>
          <w:i/>
          <w:iCs/>
          <w:color w:val="000000"/>
          <w:szCs w:val="24"/>
        </w:rPr>
        <w:t>J</w:t>
      </w:r>
      <w:r w:rsidRPr="007B7129">
        <w:rPr>
          <w:color w:val="000000"/>
          <w:szCs w:val="24"/>
        </w:rPr>
        <w:t xml:space="preserve"> = 12.9, 5.9, 2.8 Hz, 1H), 2.03 – 1.93 (m, 1H). </w:t>
      </w:r>
      <w:r w:rsidRPr="007B7129">
        <w:rPr>
          <w:color w:val="000000"/>
          <w:szCs w:val="24"/>
          <w:vertAlign w:val="superscript"/>
        </w:rPr>
        <w:t>13</w:t>
      </w:r>
      <w:r w:rsidRPr="007B7129">
        <w:rPr>
          <w:color w:val="000000"/>
          <w:szCs w:val="24"/>
        </w:rPr>
        <w:t xml:space="preserve">C NMR (126 MHz, DMSO) δ 145.4, 141.1, 140.4, </w:t>
      </w:r>
      <w:r w:rsidRPr="007B7129">
        <w:rPr>
          <w:color w:val="000000"/>
          <w:szCs w:val="24"/>
        </w:rPr>
        <w:lastRenderedPageBreak/>
        <w:t xml:space="preserve">137.7, 136.1, 135.8, 132.8, 128.1, 127.7, 126.6, 121.3, 120.5, 119.2, 118.3, 118.1, 117.4, 113.7, 112.5, 111.0, 110.3, 107.3, 53.5, 45.3, 24.4, 23.0, 21.4. HRMS </w:t>
      </w:r>
      <w:r w:rsidRPr="007B7129">
        <w:rPr>
          <w:i/>
          <w:iCs/>
          <w:color w:val="000000"/>
          <w:szCs w:val="24"/>
        </w:rPr>
        <w:t>m/z</w:t>
      </w:r>
      <w:r w:rsidRPr="007B7129">
        <w:rPr>
          <w:color w:val="000000"/>
          <w:szCs w:val="24"/>
        </w:rPr>
        <w:t xml:space="preserve"> 391.1923 [M + </w:t>
      </w:r>
      <w:proofErr w:type="gramStart"/>
      <w:r w:rsidRPr="007B7129">
        <w:rPr>
          <w:color w:val="000000"/>
          <w:szCs w:val="24"/>
        </w:rPr>
        <w:t>H]</w:t>
      </w:r>
      <w:r w:rsidRPr="007B7129">
        <w:rPr>
          <w:color w:val="000000"/>
          <w:szCs w:val="24"/>
          <w:vertAlign w:val="superscript"/>
        </w:rPr>
        <w:t>+</w:t>
      </w:r>
      <w:proofErr w:type="gramEnd"/>
      <w:r w:rsidRPr="007B7129">
        <w:rPr>
          <w:color w:val="000000"/>
          <w:szCs w:val="24"/>
        </w:rPr>
        <w:t xml:space="preserve"> (calculated for C</w:t>
      </w:r>
      <w:r w:rsidRPr="007B7129">
        <w:rPr>
          <w:color w:val="000000"/>
          <w:szCs w:val="24"/>
          <w:vertAlign w:val="subscript"/>
        </w:rPr>
        <w:t>26</w:t>
      </w:r>
      <w:r w:rsidRPr="007B7129">
        <w:rPr>
          <w:color w:val="000000"/>
          <w:szCs w:val="24"/>
        </w:rPr>
        <w:t>H</w:t>
      </w:r>
      <w:r w:rsidRPr="007B7129">
        <w:rPr>
          <w:color w:val="000000"/>
          <w:szCs w:val="24"/>
          <w:vertAlign w:val="subscript"/>
        </w:rPr>
        <w:t>22</w:t>
      </w:r>
      <w:r w:rsidRPr="007B7129">
        <w:rPr>
          <w:color w:val="000000"/>
          <w:szCs w:val="24"/>
        </w:rPr>
        <w:t>N</w:t>
      </w:r>
      <w:r w:rsidRPr="007B7129">
        <w:rPr>
          <w:color w:val="000000"/>
          <w:szCs w:val="24"/>
          <w:vertAlign w:val="subscript"/>
        </w:rPr>
        <w:t>4</w:t>
      </w:r>
      <w:r w:rsidRPr="007B7129">
        <w:rPr>
          <w:color w:val="000000"/>
          <w:szCs w:val="24"/>
        </w:rPr>
        <w:t xml:space="preserve">, 390.18). </w:t>
      </w:r>
    </w:p>
    <w:p w14:paraId="3C59CBD1" w14:textId="77777777" w:rsidR="007B7129" w:rsidRPr="007B7129" w:rsidRDefault="007B7129" w:rsidP="007B7129">
      <w:pPr>
        <w:ind w:firstLine="720"/>
        <w:rPr>
          <w:color w:val="000000"/>
          <w:szCs w:val="24"/>
        </w:rPr>
      </w:pPr>
      <w:r w:rsidRPr="007B7129">
        <w:rPr>
          <w:rFonts w:cs="Times New Roman"/>
          <w:b/>
          <w:bCs/>
          <w:szCs w:val="24"/>
        </w:rPr>
        <w:t>4-(9H-pyrido[3,4-</w:t>
      </w:r>
      <w:proofErr w:type="gramStart"/>
      <w:r w:rsidRPr="007B7129">
        <w:rPr>
          <w:rFonts w:cs="Times New Roman"/>
          <w:b/>
          <w:bCs/>
          <w:szCs w:val="24"/>
        </w:rPr>
        <w:t>b]indol</w:t>
      </w:r>
      <w:proofErr w:type="gramEnd"/>
      <w:r w:rsidRPr="007B7129">
        <w:rPr>
          <w:rFonts w:cs="Times New Roman"/>
          <w:b/>
          <w:bCs/>
          <w:szCs w:val="24"/>
        </w:rPr>
        <w:t>-1-yl)-1,2,3,4,6,7,12,12b-octahydroindolo[2,3-a]quinolizin-4-ol (</w:t>
      </w:r>
      <w:r w:rsidRPr="007B7129">
        <w:rPr>
          <w:b/>
          <w:bCs/>
        </w:rPr>
        <w:t>3.</w:t>
      </w:r>
      <w:r w:rsidRPr="007B7129">
        <w:rPr>
          <w:rFonts w:cs="Times New Roman"/>
          <w:b/>
          <w:bCs/>
          <w:szCs w:val="24"/>
        </w:rPr>
        <w:t>42):</w:t>
      </w:r>
      <w:r w:rsidRPr="007B7129">
        <w:rPr>
          <w:rFonts w:cs="Times New Roman"/>
          <w:szCs w:val="24"/>
        </w:rPr>
        <w:t xml:space="preserve"> Yellow oil, 20% yield. </w:t>
      </w:r>
      <w:r w:rsidRPr="007B7129">
        <w:rPr>
          <w:color w:val="000000"/>
          <w:szCs w:val="24"/>
          <w:vertAlign w:val="superscript"/>
        </w:rPr>
        <w:t>1</w:t>
      </w:r>
      <w:r w:rsidRPr="007B7129">
        <w:rPr>
          <w:color w:val="000000"/>
          <w:szCs w:val="24"/>
        </w:rPr>
        <w:t xml:space="preserve">H NMR (500 MHz, DMSO) δ 10.8 – 10.5 (m, 1H), 8.3 (d, </w:t>
      </w:r>
      <w:r w:rsidRPr="007B7129">
        <w:rPr>
          <w:i/>
          <w:iCs/>
          <w:color w:val="000000"/>
          <w:szCs w:val="24"/>
        </w:rPr>
        <w:t>J</w:t>
      </w:r>
      <w:r w:rsidRPr="007B7129">
        <w:rPr>
          <w:color w:val="000000"/>
          <w:szCs w:val="24"/>
        </w:rPr>
        <w:t xml:space="preserve"> = 5.4 Hz, 1H), 8.2 (d, </w:t>
      </w:r>
      <w:r w:rsidRPr="007B7129">
        <w:rPr>
          <w:i/>
          <w:iCs/>
          <w:color w:val="000000"/>
          <w:szCs w:val="24"/>
        </w:rPr>
        <w:t>J</w:t>
      </w:r>
      <w:r w:rsidRPr="007B7129">
        <w:rPr>
          <w:color w:val="000000"/>
          <w:szCs w:val="24"/>
        </w:rPr>
        <w:t xml:space="preserve"> = 7.9 Hz, 1H), 8.0 (d, </w:t>
      </w:r>
      <w:r w:rsidRPr="007B7129">
        <w:rPr>
          <w:i/>
          <w:iCs/>
          <w:color w:val="000000"/>
          <w:szCs w:val="24"/>
        </w:rPr>
        <w:t>J</w:t>
      </w:r>
      <w:r w:rsidRPr="007B7129">
        <w:rPr>
          <w:color w:val="000000"/>
          <w:szCs w:val="24"/>
        </w:rPr>
        <w:t xml:space="preserve"> = 5.4 Hz, 1H), 7.7 (d, </w:t>
      </w:r>
      <w:r w:rsidRPr="007B7129">
        <w:rPr>
          <w:i/>
          <w:iCs/>
          <w:color w:val="000000"/>
          <w:szCs w:val="24"/>
        </w:rPr>
        <w:t>J</w:t>
      </w:r>
      <w:r w:rsidRPr="007B7129">
        <w:rPr>
          <w:color w:val="000000"/>
          <w:szCs w:val="24"/>
        </w:rPr>
        <w:t xml:space="preserve"> = 8.3 Hz, 1H), 7.6 – 7.6 (m, 1H), 7.3 (d, </w:t>
      </w:r>
      <w:r w:rsidRPr="007B7129">
        <w:rPr>
          <w:i/>
          <w:iCs/>
          <w:color w:val="000000"/>
          <w:szCs w:val="24"/>
        </w:rPr>
        <w:t>J</w:t>
      </w:r>
      <w:r w:rsidRPr="007B7129">
        <w:rPr>
          <w:color w:val="000000"/>
          <w:szCs w:val="24"/>
        </w:rPr>
        <w:t xml:space="preserve"> = 7.8 Hz, 1H), 7.3 – 7.2 (m, 2H), 7.0 (d, </w:t>
      </w:r>
      <w:r w:rsidRPr="007B7129">
        <w:rPr>
          <w:i/>
          <w:iCs/>
          <w:color w:val="000000"/>
          <w:szCs w:val="24"/>
        </w:rPr>
        <w:t>J</w:t>
      </w:r>
      <w:r w:rsidRPr="007B7129">
        <w:rPr>
          <w:color w:val="000000"/>
          <w:szCs w:val="24"/>
        </w:rPr>
        <w:t xml:space="preserve"> = 2.3 Hz, 1H), 7.0 – 6.9 (m, 1H), 6.8 (t, </w:t>
      </w:r>
      <w:r w:rsidRPr="007B7129">
        <w:rPr>
          <w:i/>
          <w:iCs/>
          <w:color w:val="000000"/>
          <w:szCs w:val="24"/>
        </w:rPr>
        <w:t>J</w:t>
      </w:r>
      <w:r w:rsidRPr="007B7129">
        <w:rPr>
          <w:color w:val="000000"/>
          <w:szCs w:val="24"/>
        </w:rPr>
        <w:t xml:space="preserve"> = 7.4 Hz, 1H), 6.3 (s, 1H), 6.0 (t, </w:t>
      </w:r>
      <w:r w:rsidRPr="007B7129">
        <w:rPr>
          <w:i/>
          <w:iCs/>
          <w:color w:val="000000"/>
          <w:szCs w:val="24"/>
        </w:rPr>
        <w:t>J</w:t>
      </w:r>
      <w:r w:rsidRPr="007B7129">
        <w:rPr>
          <w:color w:val="000000"/>
          <w:szCs w:val="24"/>
        </w:rPr>
        <w:t xml:space="preserve"> = 2.8 Hz, 1H), 3.4 (t, </w:t>
      </w:r>
      <w:r w:rsidRPr="007B7129">
        <w:rPr>
          <w:i/>
          <w:iCs/>
          <w:color w:val="000000"/>
          <w:szCs w:val="24"/>
        </w:rPr>
        <w:t>J</w:t>
      </w:r>
      <w:r w:rsidRPr="007B7129">
        <w:rPr>
          <w:color w:val="000000"/>
          <w:szCs w:val="24"/>
        </w:rPr>
        <w:t xml:space="preserve"> = 7.4 Hz, 0H), 3.3 – 3.2 (m, 1H), 3.0 (</w:t>
      </w:r>
      <w:proofErr w:type="spellStart"/>
      <w:r w:rsidRPr="007B7129">
        <w:rPr>
          <w:color w:val="000000"/>
          <w:szCs w:val="24"/>
        </w:rPr>
        <w:t>ddd</w:t>
      </w:r>
      <w:proofErr w:type="spellEnd"/>
      <w:r w:rsidRPr="007B7129">
        <w:rPr>
          <w:color w:val="000000"/>
          <w:szCs w:val="24"/>
        </w:rPr>
        <w:t xml:space="preserve">, </w:t>
      </w:r>
      <w:r w:rsidRPr="007B7129">
        <w:rPr>
          <w:i/>
          <w:iCs/>
          <w:color w:val="000000"/>
          <w:szCs w:val="24"/>
        </w:rPr>
        <w:t>J</w:t>
      </w:r>
      <w:r w:rsidRPr="007B7129">
        <w:rPr>
          <w:color w:val="000000"/>
          <w:szCs w:val="24"/>
        </w:rPr>
        <w:t xml:space="preserve"> = 15.5, 10.6, 5.2 Hz, 1H), 2.9 (</w:t>
      </w:r>
      <w:proofErr w:type="spellStart"/>
      <w:r w:rsidRPr="007B7129">
        <w:rPr>
          <w:color w:val="000000"/>
          <w:szCs w:val="24"/>
        </w:rPr>
        <w:t>ddd</w:t>
      </w:r>
      <w:proofErr w:type="spellEnd"/>
      <w:r w:rsidRPr="007B7129">
        <w:rPr>
          <w:color w:val="000000"/>
          <w:szCs w:val="24"/>
        </w:rPr>
        <w:t xml:space="preserve">, </w:t>
      </w:r>
      <w:r w:rsidRPr="007B7129">
        <w:rPr>
          <w:i/>
          <w:iCs/>
          <w:color w:val="000000"/>
          <w:szCs w:val="24"/>
        </w:rPr>
        <w:t>J</w:t>
      </w:r>
      <w:r w:rsidRPr="007B7129">
        <w:rPr>
          <w:color w:val="000000"/>
          <w:szCs w:val="24"/>
        </w:rPr>
        <w:t xml:space="preserve"> = 14.9, 10.1, 6.1 Hz, 1H), 2.2 – 2.0 (m, 2H), 2.0 (d, </w:t>
      </w:r>
      <w:r w:rsidRPr="007B7129">
        <w:rPr>
          <w:i/>
          <w:iCs/>
          <w:color w:val="000000"/>
          <w:szCs w:val="24"/>
        </w:rPr>
        <w:t>J</w:t>
      </w:r>
      <w:r w:rsidRPr="007B7129">
        <w:rPr>
          <w:color w:val="000000"/>
          <w:szCs w:val="24"/>
        </w:rPr>
        <w:t xml:space="preserve"> = 14.0 Hz, 1H), 1.9 – 1.8 (m, 2H), 1.6 (d, </w:t>
      </w:r>
      <w:r w:rsidRPr="007B7129">
        <w:rPr>
          <w:i/>
          <w:iCs/>
          <w:color w:val="000000"/>
          <w:szCs w:val="24"/>
        </w:rPr>
        <w:t>J</w:t>
      </w:r>
      <w:r w:rsidRPr="007B7129">
        <w:rPr>
          <w:color w:val="000000"/>
          <w:szCs w:val="24"/>
        </w:rPr>
        <w:t xml:space="preserve"> = 14.6 Hz, 1H). </w:t>
      </w:r>
      <w:r w:rsidRPr="007B7129">
        <w:rPr>
          <w:color w:val="000000"/>
          <w:szCs w:val="24"/>
          <w:vertAlign w:val="superscript"/>
        </w:rPr>
        <w:t>13</w:t>
      </w:r>
      <w:r w:rsidRPr="007B7129">
        <w:rPr>
          <w:color w:val="000000"/>
          <w:szCs w:val="24"/>
        </w:rPr>
        <w:t xml:space="preserve">C NMR (126 MHz, DMSO) δ 144.3, 141.7, 139.3, 137.9, 136.1, 133.6, 128.3, 127.0, 122.5, 122.2, 121.0, 120.7, 119.7, 118.2, 117.7, 114.1, 112.4, 111.2, 110.0, 84.2, 69.8, 46.6, 39.1, 30.5, 25.2, 18.5. HRMS </w:t>
      </w:r>
      <w:r w:rsidRPr="007B7129">
        <w:rPr>
          <w:i/>
          <w:iCs/>
          <w:color w:val="000000"/>
          <w:szCs w:val="24"/>
        </w:rPr>
        <w:t>m/z</w:t>
      </w:r>
      <w:r w:rsidRPr="007B7129">
        <w:rPr>
          <w:color w:val="000000"/>
          <w:szCs w:val="24"/>
        </w:rPr>
        <w:t xml:space="preserve"> 409.2030 [M + </w:t>
      </w:r>
      <w:proofErr w:type="gramStart"/>
      <w:r w:rsidRPr="007B7129">
        <w:rPr>
          <w:color w:val="000000"/>
          <w:szCs w:val="24"/>
        </w:rPr>
        <w:t>H]</w:t>
      </w:r>
      <w:r w:rsidRPr="007B7129">
        <w:rPr>
          <w:color w:val="000000"/>
          <w:szCs w:val="24"/>
          <w:vertAlign w:val="superscript"/>
        </w:rPr>
        <w:t>+</w:t>
      </w:r>
      <w:proofErr w:type="gramEnd"/>
      <w:r w:rsidRPr="007B7129">
        <w:rPr>
          <w:color w:val="000000"/>
          <w:szCs w:val="24"/>
        </w:rPr>
        <w:t xml:space="preserve"> (calculated for C</w:t>
      </w:r>
      <w:r w:rsidRPr="007B7129">
        <w:rPr>
          <w:color w:val="000000"/>
          <w:szCs w:val="24"/>
          <w:vertAlign w:val="subscript"/>
        </w:rPr>
        <w:t>26</w:t>
      </w:r>
      <w:r w:rsidRPr="007B7129">
        <w:rPr>
          <w:color w:val="000000"/>
          <w:szCs w:val="24"/>
        </w:rPr>
        <w:t>H</w:t>
      </w:r>
      <w:r w:rsidRPr="007B7129">
        <w:rPr>
          <w:color w:val="000000"/>
          <w:szCs w:val="24"/>
          <w:vertAlign w:val="subscript"/>
        </w:rPr>
        <w:t>24</w:t>
      </w:r>
      <w:r w:rsidRPr="007B7129">
        <w:rPr>
          <w:color w:val="000000"/>
          <w:szCs w:val="24"/>
        </w:rPr>
        <w:t>N</w:t>
      </w:r>
      <w:r w:rsidRPr="007B7129">
        <w:rPr>
          <w:color w:val="000000"/>
          <w:szCs w:val="24"/>
          <w:vertAlign w:val="subscript"/>
        </w:rPr>
        <w:t>4</w:t>
      </w:r>
      <w:r w:rsidRPr="007B7129">
        <w:rPr>
          <w:color w:val="000000"/>
          <w:szCs w:val="24"/>
        </w:rPr>
        <w:t>O, 408.20).</w:t>
      </w:r>
    </w:p>
    <w:p w14:paraId="5BECE79E" w14:textId="77777777" w:rsidR="007B7129" w:rsidRPr="007B7129" w:rsidRDefault="007B7129" w:rsidP="007B7129">
      <w:pPr>
        <w:spacing w:after="0"/>
        <w:ind w:firstLine="720"/>
        <w:rPr>
          <w:color w:val="000000"/>
          <w:szCs w:val="24"/>
        </w:rPr>
      </w:pPr>
      <w:r w:rsidRPr="007B7129">
        <w:rPr>
          <w:noProof/>
          <w:color w:val="000000"/>
          <w:szCs w:val="24"/>
        </w:rPr>
        <mc:AlternateContent>
          <mc:Choice Requires="wps">
            <w:drawing>
              <wp:inline distT="0" distB="0" distL="0" distR="0" wp14:anchorId="2C73D247" wp14:editId="7256A589">
                <wp:extent cx="5025224" cy="1892410"/>
                <wp:effectExtent l="0" t="0" r="23495" b="12700"/>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5224" cy="1892410"/>
                        </a:xfrm>
                        <a:prstGeom prst="rect">
                          <a:avLst/>
                        </a:prstGeom>
                        <a:solidFill>
                          <a:srgbClr val="FFFFFF"/>
                        </a:solidFill>
                        <a:ln w="9525">
                          <a:solidFill>
                            <a:srgbClr val="000000"/>
                          </a:solidFill>
                          <a:miter lim="800000"/>
                          <a:headEnd/>
                          <a:tailEnd/>
                        </a:ln>
                      </wps:spPr>
                      <wps:txbx>
                        <w:txbxContent>
                          <w:p w14:paraId="6534962A" w14:textId="77777777" w:rsidR="007B7129" w:rsidRDefault="007B7129" w:rsidP="007B7129">
                            <w:pPr>
                              <w:keepNext/>
                              <w:spacing w:after="0"/>
                              <w:jc w:val="center"/>
                            </w:pPr>
                            <w:r>
                              <w:object w:dxaOrig="7212" w:dyaOrig="1694" w14:anchorId="4B53B431">
                                <v:shape id="_x0000_i1135" type="#_x0000_t75" style="width:357.2pt;height:84.15pt">
                                  <v:imagedata r:id="rId357" o:title=""/>
                                </v:shape>
                                <o:OLEObject Type="Embed" ProgID="ChemDraw.Document.6.0" ShapeID="_x0000_i1135" DrawAspect="Content" ObjectID="_1713353525" r:id="rId358"/>
                              </w:object>
                            </w:r>
                          </w:p>
                          <w:p w14:paraId="2D71A559" w14:textId="0439D684" w:rsidR="007B7129" w:rsidRDefault="007B7129" w:rsidP="00DF51F5">
                            <w:pPr>
                              <w:pStyle w:val="Caption"/>
                            </w:pPr>
                            <w:r>
                              <w:t>Scheme 3.</w:t>
                            </w:r>
                            <w:r w:rsidR="00232E60">
                              <w:t>22</w:t>
                            </w:r>
                            <w:r>
                              <w:t xml:space="preserve">. DDQ oxidation of enamine 3.41. </w:t>
                            </w:r>
                          </w:p>
                          <w:p w14:paraId="7BE103DF" w14:textId="77777777" w:rsidR="007B7129" w:rsidRDefault="007B7129" w:rsidP="007B7129">
                            <w:r>
                              <w:t xml:space="preserve">Reagents and conditions: (a) DDQ, DCM, 23 </w:t>
                            </w:r>
                            <w:r>
                              <w:rPr>
                                <w:rFonts w:cs="Times New Roman"/>
                              </w:rPr>
                              <w:t>̊</w:t>
                            </w:r>
                            <w:r>
                              <w:t xml:space="preserve">C, 37%. </w:t>
                            </w:r>
                          </w:p>
                        </w:txbxContent>
                      </wps:txbx>
                      <wps:bodyPr rot="0" vert="horz" wrap="square" lIns="91440" tIns="45720" rIns="91440" bIns="45720" anchor="t" anchorCtr="0">
                        <a:noAutofit/>
                      </wps:bodyPr>
                    </wps:wsp>
                  </a:graphicData>
                </a:graphic>
              </wp:inline>
            </w:drawing>
          </mc:Choice>
          <mc:Fallback>
            <w:pict>
              <v:shape w14:anchorId="2C73D247" id="_x0000_s1114" type="#_x0000_t202" style="width:395.7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">
                <v:textbox>
                  <w:txbxContent>
                    <w:p w14:paraId="6534962A" w14:textId="77777777" w:rsidR="007B7129" w:rsidRDefault="007B7129" w:rsidP="007B7129">
                      <w:pPr>
                        <w:keepNext/>
                        <w:spacing w:after="0"/>
                        <w:jc w:val="center"/>
                      </w:pPr>
                      <w:r>
                        <w:object w:dxaOrig="7212" w:dyaOrig="1694" w14:anchorId="4B53B431">
                          <v:shape id="_x0000_i1135" type="#_x0000_t75" style="width:357.2pt;height:84.15pt">
                            <v:imagedata r:id="rId357" o:title=""/>
                          </v:shape>
                          <o:OLEObject Type="Embed" ProgID="ChemDraw.Document.6.0" ShapeID="_x0000_i1135" DrawAspect="Content" ObjectID="_1713353525" r:id="rId359"/>
                        </w:object>
                      </w:r>
                    </w:p>
                    <w:p w14:paraId="2D71A559" w14:textId="0439D684" w:rsidR="007B7129" w:rsidRDefault="007B7129" w:rsidP="00DF51F5">
                      <w:pPr>
                        <w:pStyle w:val="Caption"/>
                      </w:pPr>
                      <w:r>
                        <w:t>Scheme 3.</w:t>
                      </w:r>
                      <w:r w:rsidR="00232E60">
                        <w:t>22</w:t>
                      </w:r>
                      <w:r>
                        <w:t xml:space="preserve">. DDQ oxidation of enamine 3.41. </w:t>
                      </w:r>
                    </w:p>
                    <w:p w14:paraId="7BE103DF" w14:textId="77777777" w:rsidR="007B7129" w:rsidRDefault="007B7129" w:rsidP="007B7129">
                      <w:r>
                        <w:t xml:space="preserve">Reagents and conditions: (a) DDQ, DCM, 23 </w:t>
                      </w:r>
                      <w:r>
                        <w:rPr>
                          <w:rFonts w:cs="Times New Roman"/>
                        </w:rPr>
                        <w:t>̊</w:t>
                      </w:r>
                      <w:r>
                        <w:t xml:space="preserve">C, 37%. </w:t>
                      </w:r>
                    </w:p>
                  </w:txbxContent>
                </v:textbox>
                <w10:anchorlock/>
              </v:shape>
            </w:pict>
          </mc:Fallback>
        </mc:AlternateContent>
      </w:r>
    </w:p>
    <w:p w14:paraId="2A7E784F" w14:textId="77777777" w:rsidR="007B7129" w:rsidRPr="007B7129" w:rsidRDefault="007B7129" w:rsidP="007B7129">
      <w:pPr>
        <w:ind w:firstLine="720"/>
        <w:rPr>
          <w:color w:val="000000"/>
          <w:szCs w:val="24"/>
        </w:rPr>
      </w:pPr>
      <w:r w:rsidRPr="007B7129">
        <w:rPr>
          <w:b/>
          <w:bCs/>
          <w:color w:val="000000"/>
          <w:szCs w:val="24"/>
        </w:rPr>
        <w:t xml:space="preserve">General procedure for synthesis of </w:t>
      </w:r>
      <w:r w:rsidRPr="007B7129">
        <w:rPr>
          <w:b/>
          <w:bCs/>
        </w:rPr>
        <w:t>3.</w:t>
      </w:r>
      <w:r w:rsidRPr="007B7129">
        <w:rPr>
          <w:b/>
          <w:bCs/>
          <w:color w:val="000000"/>
          <w:szCs w:val="24"/>
        </w:rPr>
        <w:t>44.</w:t>
      </w:r>
      <w:r w:rsidRPr="007B7129">
        <w:rPr>
          <w:color w:val="000000"/>
          <w:szCs w:val="24"/>
        </w:rPr>
        <w:t xml:space="preserve"> 2,3-dichloro-5,6-dicyano-1,4-benzoquinone (DDQ, 31 </w:t>
      </w:r>
      <w:proofErr w:type="spellStart"/>
      <w:r w:rsidRPr="007B7129">
        <w:rPr>
          <w:rFonts w:ascii="Calibri" w:hAnsi="Calibri" w:cs="Calibri"/>
          <w:color w:val="000000"/>
          <w:szCs w:val="24"/>
        </w:rPr>
        <w:t>μ</w:t>
      </w:r>
      <w:r w:rsidRPr="007B7129">
        <w:rPr>
          <w:color w:val="000000"/>
          <w:szCs w:val="24"/>
        </w:rPr>
        <w:t>mol</w:t>
      </w:r>
      <w:proofErr w:type="spellEnd"/>
      <w:r w:rsidRPr="007B7129">
        <w:rPr>
          <w:color w:val="000000"/>
          <w:szCs w:val="24"/>
        </w:rPr>
        <w:t xml:space="preserve">) was added to </w:t>
      </w:r>
      <w:r w:rsidRPr="007B7129">
        <w:rPr>
          <w:b/>
          <w:bCs/>
        </w:rPr>
        <w:t>3.</w:t>
      </w:r>
      <w:r w:rsidRPr="007B7129">
        <w:rPr>
          <w:b/>
          <w:bCs/>
          <w:color w:val="000000"/>
          <w:szCs w:val="24"/>
        </w:rPr>
        <w:t xml:space="preserve">41 </w:t>
      </w:r>
      <w:r w:rsidRPr="007B7129">
        <w:rPr>
          <w:color w:val="000000"/>
          <w:szCs w:val="24"/>
        </w:rPr>
        <w:t xml:space="preserve">(31 </w:t>
      </w:r>
      <w:proofErr w:type="spellStart"/>
      <w:r w:rsidRPr="007B7129">
        <w:rPr>
          <w:rFonts w:ascii="Calibri" w:hAnsi="Calibri" w:cs="Calibri"/>
          <w:color w:val="000000"/>
          <w:szCs w:val="24"/>
        </w:rPr>
        <w:t>μ</w:t>
      </w:r>
      <w:r w:rsidRPr="007B7129">
        <w:rPr>
          <w:color w:val="000000"/>
          <w:szCs w:val="24"/>
        </w:rPr>
        <w:t>mol</w:t>
      </w:r>
      <w:proofErr w:type="spellEnd"/>
      <w:r w:rsidRPr="007B7129">
        <w:rPr>
          <w:color w:val="000000"/>
          <w:szCs w:val="24"/>
        </w:rPr>
        <w:t xml:space="preserve">) in dry DCM (1 mL) under nitrogen atmosphere at 23 </w:t>
      </w:r>
      <w:r w:rsidRPr="007B7129">
        <w:rPr>
          <w:rFonts w:cs="Times New Roman"/>
          <w:color w:val="000000"/>
          <w:szCs w:val="24"/>
        </w:rPr>
        <w:t>̊</w:t>
      </w:r>
      <w:r w:rsidRPr="007B7129">
        <w:rPr>
          <w:color w:val="000000"/>
          <w:szCs w:val="24"/>
        </w:rPr>
        <w:t xml:space="preserve">C. After 12 hours, the reaction was quenched with saturated aqueous sodium carbonate, and the biphasic mixture was extracted with DCM. Organic layers were pooled together and concentrated </w:t>
      </w:r>
      <w:r w:rsidRPr="007B7129">
        <w:rPr>
          <w:color w:val="000000"/>
          <w:szCs w:val="24"/>
        </w:rPr>
        <w:lastRenderedPageBreak/>
        <w:t>under vacuum. The resulting crude oil was purified via flash chromatography (SiO</w:t>
      </w:r>
      <w:r w:rsidRPr="007B7129">
        <w:rPr>
          <w:color w:val="000000"/>
          <w:szCs w:val="24"/>
          <w:vertAlign w:val="subscript"/>
        </w:rPr>
        <w:t>2</w:t>
      </w:r>
      <w:r w:rsidRPr="007B7129">
        <w:rPr>
          <w:color w:val="000000"/>
          <w:szCs w:val="24"/>
        </w:rPr>
        <w:t xml:space="preserve">) using 70% ethyl acetate/1% methanol/29% hexanes as the eluent. Pure fractions were pooled together and dried to afford </w:t>
      </w:r>
      <w:r w:rsidRPr="007B7129">
        <w:rPr>
          <w:b/>
          <w:bCs/>
        </w:rPr>
        <w:t>3.</w:t>
      </w:r>
      <w:r w:rsidRPr="007B7129">
        <w:rPr>
          <w:b/>
          <w:bCs/>
          <w:color w:val="000000"/>
          <w:szCs w:val="24"/>
        </w:rPr>
        <w:t>44</w:t>
      </w:r>
      <w:r w:rsidRPr="007B7129">
        <w:rPr>
          <w:color w:val="000000"/>
          <w:szCs w:val="24"/>
        </w:rPr>
        <w:t xml:space="preserve"> as a yellow oil. </w:t>
      </w:r>
    </w:p>
    <w:p w14:paraId="50DA355B" w14:textId="77777777" w:rsidR="007B7129" w:rsidRPr="007B7129" w:rsidRDefault="007B7129" w:rsidP="007B7129">
      <w:pPr>
        <w:ind w:firstLine="720"/>
        <w:rPr>
          <w:rFonts w:cs="Times New Roman"/>
          <w:szCs w:val="24"/>
        </w:rPr>
      </w:pPr>
      <w:r w:rsidRPr="007B7129">
        <w:rPr>
          <w:rFonts w:cs="Times New Roman"/>
          <w:b/>
          <w:bCs/>
          <w:szCs w:val="24"/>
        </w:rPr>
        <w:t>4-(9H-pyrido[3,4-</w:t>
      </w:r>
      <w:proofErr w:type="gramStart"/>
      <w:r w:rsidRPr="007B7129">
        <w:rPr>
          <w:rFonts w:cs="Times New Roman"/>
          <w:b/>
          <w:bCs/>
          <w:i/>
          <w:iCs/>
          <w:szCs w:val="24"/>
        </w:rPr>
        <w:t>b</w:t>
      </w:r>
      <w:r w:rsidRPr="007B7129">
        <w:rPr>
          <w:rFonts w:cs="Times New Roman"/>
          <w:b/>
          <w:bCs/>
          <w:szCs w:val="24"/>
        </w:rPr>
        <w:t>]indol</w:t>
      </w:r>
      <w:proofErr w:type="gramEnd"/>
      <w:r w:rsidRPr="007B7129">
        <w:rPr>
          <w:rFonts w:cs="Times New Roman"/>
          <w:b/>
          <w:bCs/>
          <w:szCs w:val="24"/>
        </w:rPr>
        <w:t>-1-yl)-1,2,3,4,6,7,12,12b-octahydro-4,7-epoxyindolo[2,3-</w:t>
      </w:r>
      <w:r w:rsidRPr="007B7129">
        <w:rPr>
          <w:rFonts w:cs="Times New Roman"/>
          <w:b/>
          <w:bCs/>
          <w:i/>
          <w:iCs/>
          <w:szCs w:val="24"/>
        </w:rPr>
        <w:t>a</w:t>
      </w:r>
      <w:r w:rsidRPr="007B7129">
        <w:rPr>
          <w:rFonts w:cs="Times New Roman"/>
          <w:b/>
          <w:bCs/>
          <w:szCs w:val="24"/>
        </w:rPr>
        <w:t>]quinolizine (</w:t>
      </w:r>
      <w:r w:rsidRPr="007B7129">
        <w:rPr>
          <w:b/>
          <w:bCs/>
        </w:rPr>
        <w:t>3.</w:t>
      </w:r>
      <w:r w:rsidRPr="007B7129">
        <w:rPr>
          <w:rFonts w:cs="Times New Roman"/>
          <w:b/>
          <w:bCs/>
          <w:szCs w:val="24"/>
        </w:rPr>
        <w:t>44):</w:t>
      </w:r>
      <w:r w:rsidRPr="007B7129">
        <w:rPr>
          <w:rFonts w:cs="Times New Roman"/>
          <w:szCs w:val="24"/>
        </w:rPr>
        <w:t xml:space="preserve"> Yellow oil, 37% yield. </w:t>
      </w:r>
      <w:r w:rsidRPr="007B7129">
        <w:rPr>
          <w:color w:val="000000"/>
          <w:szCs w:val="24"/>
          <w:vertAlign w:val="superscript"/>
        </w:rPr>
        <w:t>1</w:t>
      </w:r>
      <w:r w:rsidRPr="007B7129">
        <w:rPr>
          <w:color w:val="000000"/>
          <w:szCs w:val="24"/>
        </w:rPr>
        <w:t xml:space="preserve">H NMR (500 MHz, DMSO) δ 10.97 (d, </w:t>
      </w:r>
      <w:r w:rsidRPr="007B7129">
        <w:rPr>
          <w:i/>
          <w:iCs/>
          <w:color w:val="000000"/>
          <w:szCs w:val="24"/>
        </w:rPr>
        <w:t>J</w:t>
      </w:r>
      <w:r w:rsidRPr="007B7129">
        <w:rPr>
          <w:color w:val="000000"/>
          <w:szCs w:val="24"/>
        </w:rPr>
        <w:t xml:space="preserve"> = 2.6 Hz, 1H), 10.86 – 10.83 (m, 1H), 8.39 (d, </w:t>
      </w:r>
      <w:r w:rsidRPr="007B7129">
        <w:rPr>
          <w:i/>
          <w:iCs/>
          <w:color w:val="000000"/>
          <w:szCs w:val="24"/>
        </w:rPr>
        <w:t>J</w:t>
      </w:r>
      <w:r w:rsidRPr="007B7129">
        <w:rPr>
          <w:color w:val="000000"/>
          <w:szCs w:val="24"/>
        </w:rPr>
        <w:t xml:space="preserve"> = 5.4 Hz, 1H), 8.32 (d, </w:t>
      </w:r>
      <w:r w:rsidRPr="007B7129">
        <w:rPr>
          <w:i/>
          <w:iCs/>
          <w:color w:val="000000"/>
          <w:szCs w:val="24"/>
        </w:rPr>
        <w:t>J</w:t>
      </w:r>
      <w:r w:rsidRPr="007B7129">
        <w:rPr>
          <w:color w:val="000000"/>
          <w:szCs w:val="24"/>
        </w:rPr>
        <w:t xml:space="preserve"> = 5.4 Hz, 1H), 8.27 (dd, </w:t>
      </w:r>
      <w:r w:rsidRPr="007B7129">
        <w:rPr>
          <w:i/>
          <w:iCs/>
          <w:color w:val="000000"/>
          <w:szCs w:val="24"/>
        </w:rPr>
        <w:t>J</w:t>
      </w:r>
      <w:r w:rsidRPr="007B7129">
        <w:rPr>
          <w:color w:val="000000"/>
          <w:szCs w:val="24"/>
        </w:rPr>
        <w:t xml:space="preserve"> = 13.0, 7.9 Hz, 1H), 8.03 (d, </w:t>
      </w:r>
      <w:r w:rsidRPr="007B7129">
        <w:rPr>
          <w:i/>
          <w:iCs/>
          <w:color w:val="000000"/>
          <w:szCs w:val="24"/>
        </w:rPr>
        <w:t>J</w:t>
      </w:r>
      <w:r w:rsidRPr="007B7129">
        <w:rPr>
          <w:color w:val="000000"/>
          <w:szCs w:val="24"/>
        </w:rPr>
        <w:t xml:space="preserve"> = 5.4 Hz, 1H), 8.01 – 7.96 (m, 2H), 7.72 (dd, </w:t>
      </w:r>
      <w:r w:rsidRPr="007B7129">
        <w:rPr>
          <w:i/>
          <w:iCs/>
          <w:color w:val="000000"/>
          <w:szCs w:val="24"/>
        </w:rPr>
        <w:t>J</w:t>
      </w:r>
      <w:r w:rsidRPr="007B7129">
        <w:rPr>
          <w:color w:val="000000"/>
          <w:szCs w:val="24"/>
        </w:rPr>
        <w:t xml:space="preserve"> = 8.3, 2.5 Hz, 2H), 7.64 – 7.56 (m, 2H), 7.38 (d, </w:t>
      </w:r>
      <w:r w:rsidRPr="007B7129">
        <w:rPr>
          <w:i/>
          <w:iCs/>
          <w:color w:val="000000"/>
          <w:szCs w:val="24"/>
        </w:rPr>
        <w:t>J</w:t>
      </w:r>
      <w:r w:rsidRPr="007B7129">
        <w:rPr>
          <w:color w:val="000000"/>
          <w:szCs w:val="24"/>
        </w:rPr>
        <w:t xml:space="preserve"> = 8.1 Hz, 1H), 7.33 (d, </w:t>
      </w:r>
      <w:r w:rsidRPr="007B7129">
        <w:rPr>
          <w:i/>
          <w:iCs/>
          <w:color w:val="000000"/>
          <w:szCs w:val="24"/>
        </w:rPr>
        <w:t>J</w:t>
      </w:r>
      <w:r w:rsidRPr="007B7129">
        <w:rPr>
          <w:color w:val="000000"/>
          <w:szCs w:val="24"/>
        </w:rPr>
        <w:t xml:space="preserve"> = 2.5 Hz, 1H), 7.32 – 7.21 (m, 2H), 7.12 (</w:t>
      </w:r>
      <w:proofErr w:type="spellStart"/>
      <w:r w:rsidRPr="007B7129">
        <w:rPr>
          <w:color w:val="000000"/>
          <w:szCs w:val="24"/>
        </w:rPr>
        <w:t>ddd</w:t>
      </w:r>
      <w:proofErr w:type="spellEnd"/>
      <w:r w:rsidRPr="007B7129">
        <w:rPr>
          <w:color w:val="000000"/>
          <w:szCs w:val="24"/>
        </w:rPr>
        <w:t xml:space="preserve">, </w:t>
      </w:r>
      <w:r w:rsidRPr="007B7129">
        <w:rPr>
          <w:i/>
          <w:iCs/>
          <w:color w:val="000000"/>
          <w:szCs w:val="24"/>
        </w:rPr>
        <w:t>J</w:t>
      </w:r>
      <w:r w:rsidRPr="007B7129">
        <w:rPr>
          <w:color w:val="000000"/>
          <w:szCs w:val="24"/>
        </w:rPr>
        <w:t xml:space="preserve"> = 8.2, 6.9, 1.2 Hz, 1H), 7.08 – 7.02 (m, 1H), 7.02 – 6.93 (m, 2H), 6.82 – 6.74 (m, 1H), 6.19 (q, </w:t>
      </w:r>
      <w:r w:rsidRPr="007B7129">
        <w:rPr>
          <w:i/>
          <w:iCs/>
          <w:color w:val="000000"/>
          <w:szCs w:val="24"/>
        </w:rPr>
        <w:t>J</w:t>
      </w:r>
      <w:r w:rsidRPr="007B7129">
        <w:rPr>
          <w:color w:val="000000"/>
          <w:szCs w:val="24"/>
        </w:rPr>
        <w:t xml:space="preserve"> = 3.1 Hz, 2H), 5.58 (dd, </w:t>
      </w:r>
      <w:r w:rsidRPr="007B7129">
        <w:rPr>
          <w:i/>
          <w:iCs/>
          <w:color w:val="000000"/>
          <w:szCs w:val="24"/>
        </w:rPr>
        <w:t>J</w:t>
      </w:r>
      <w:r w:rsidRPr="007B7129">
        <w:rPr>
          <w:color w:val="000000"/>
          <w:szCs w:val="24"/>
        </w:rPr>
        <w:t xml:space="preserve"> = 9.4, 6.0 Hz, 1H), 5.06 (dd, </w:t>
      </w:r>
      <w:r w:rsidRPr="007B7129">
        <w:rPr>
          <w:i/>
          <w:iCs/>
          <w:color w:val="000000"/>
          <w:szCs w:val="24"/>
        </w:rPr>
        <w:t>J</w:t>
      </w:r>
      <w:r w:rsidRPr="007B7129">
        <w:rPr>
          <w:color w:val="000000"/>
          <w:szCs w:val="24"/>
        </w:rPr>
        <w:t xml:space="preserve"> = 8.8, 3.8 Hz, 1H), 3.63 (dd, </w:t>
      </w:r>
      <w:r w:rsidRPr="007B7129">
        <w:rPr>
          <w:i/>
          <w:iCs/>
          <w:color w:val="000000"/>
          <w:szCs w:val="24"/>
        </w:rPr>
        <w:t>J</w:t>
      </w:r>
      <w:r w:rsidRPr="007B7129">
        <w:rPr>
          <w:color w:val="000000"/>
          <w:szCs w:val="24"/>
        </w:rPr>
        <w:t xml:space="preserve"> = 8.8, 6.1 Hz, 1H), 3.28 (dd, </w:t>
      </w:r>
      <w:r w:rsidRPr="007B7129">
        <w:rPr>
          <w:i/>
          <w:iCs/>
          <w:color w:val="000000"/>
          <w:szCs w:val="24"/>
        </w:rPr>
        <w:t>J</w:t>
      </w:r>
      <w:r w:rsidRPr="007B7129">
        <w:rPr>
          <w:color w:val="000000"/>
          <w:szCs w:val="24"/>
        </w:rPr>
        <w:t xml:space="preserve"> = 8.5, 3.8 Hz, 1H), 2.77 (t, </w:t>
      </w:r>
      <w:r w:rsidRPr="007B7129">
        <w:rPr>
          <w:i/>
          <w:iCs/>
          <w:color w:val="000000"/>
          <w:szCs w:val="24"/>
        </w:rPr>
        <w:t>J</w:t>
      </w:r>
      <w:r w:rsidRPr="007B7129">
        <w:rPr>
          <w:color w:val="000000"/>
          <w:szCs w:val="24"/>
        </w:rPr>
        <w:t xml:space="preserve"> = 8.7 Hz, 1H), 2.58 (t, </w:t>
      </w:r>
      <w:r w:rsidRPr="007B7129">
        <w:rPr>
          <w:i/>
          <w:iCs/>
          <w:color w:val="000000"/>
          <w:szCs w:val="24"/>
        </w:rPr>
        <w:t>J</w:t>
      </w:r>
      <w:r w:rsidRPr="007B7129">
        <w:rPr>
          <w:color w:val="000000"/>
          <w:szCs w:val="24"/>
        </w:rPr>
        <w:t xml:space="preserve"> = 9.1 Hz, 1H), 2.29 – 2.20 (m, 1H), 2.19 – 2.07 (m, 4H), 2.07 – 1.99 (m, 1H), 1.98 – 1.94 (m, 1H), 1.90 (d, </w:t>
      </w:r>
      <w:r w:rsidRPr="007B7129">
        <w:rPr>
          <w:i/>
          <w:iCs/>
          <w:color w:val="000000"/>
          <w:szCs w:val="24"/>
        </w:rPr>
        <w:t>J</w:t>
      </w:r>
      <w:r w:rsidRPr="007B7129">
        <w:rPr>
          <w:color w:val="000000"/>
          <w:szCs w:val="24"/>
        </w:rPr>
        <w:t xml:space="preserve"> = 13.7 Hz, 1H), 1.73 (t, </w:t>
      </w:r>
      <w:r w:rsidRPr="007B7129">
        <w:rPr>
          <w:i/>
          <w:iCs/>
          <w:color w:val="000000"/>
          <w:szCs w:val="24"/>
        </w:rPr>
        <w:t>J</w:t>
      </w:r>
      <w:r w:rsidRPr="007B7129">
        <w:rPr>
          <w:color w:val="000000"/>
          <w:szCs w:val="24"/>
        </w:rPr>
        <w:t xml:space="preserve"> = 16.6 Hz, 2H), 0.77 – 0.64 (m, 2H). </w:t>
      </w:r>
      <w:r w:rsidRPr="007B7129">
        <w:rPr>
          <w:color w:val="000000"/>
          <w:szCs w:val="24"/>
          <w:vertAlign w:val="superscript"/>
        </w:rPr>
        <w:t>13</w:t>
      </w:r>
      <w:r w:rsidRPr="007B7129">
        <w:rPr>
          <w:color w:val="000000"/>
          <w:szCs w:val="24"/>
        </w:rPr>
        <w:t xml:space="preserve">C NMR (126 MHz, DMSO) δ 142.3, 139.0, 136.9, 132.4, 128.2, 125.2, 124.3, 123.7, 122.7 (d, </w:t>
      </w:r>
      <w:r w:rsidRPr="007B7129">
        <w:rPr>
          <w:i/>
          <w:iCs/>
          <w:color w:val="000000"/>
          <w:szCs w:val="24"/>
        </w:rPr>
        <w:t>J</w:t>
      </w:r>
      <w:r w:rsidRPr="007B7129">
        <w:rPr>
          <w:color w:val="000000"/>
          <w:szCs w:val="24"/>
        </w:rPr>
        <w:t xml:space="preserve"> = 9.3 Hz), 121.3, 121.2, 121.0, 119.7, 119.4, 118.8, 118.4, 115.3, 114.5, 111.6, 111.3, 110.3, 90.4, 89.7, 73.0, 71.1, 66.7, 52.2, 51.2, 35.0, 34.4, 30.9, 30.5, 18.3, 17.9. HRMS </w:t>
      </w:r>
      <w:r w:rsidRPr="007B7129">
        <w:rPr>
          <w:i/>
          <w:iCs/>
          <w:color w:val="000000"/>
          <w:szCs w:val="24"/>
        </w:rPr>
        <w:t>m/z</w:t>
      </w:r>
      <w:r w:rsidRPr="007B7129">
        <w:rPr>
          <w:color w:val="000000"/>
          <w:szCs w:val="24"/>
        </w:rPr>
        <w:t xml:space="preserve"> 407.187 [M + </w:t>
      </w:r>
      <w:proofErr w:type="gramStart"/>
      <w:r w:rsidRPr="007B7129">
        <w:rPr>
          <w:color w:val="000000"/>
          <w:szCs w:val="24"/>
        </w:rPr>
        <w:t>H]</w:t>
      </w:r>
      <w:r w:rsidRPr="007B7129">
        <w:rPr>
          <w:color w:val="000000"/>
          <w:szCs w:val="24"/>
          <w:vertAlign w:val="superscript"/>
        </w:rPr>
        <w:t>+</w:t>
      </w:r>
      <w:proofErr w:type="gramEnd"/>
      <w:r w:rsidRPr="007B7129">
        <w:rPr>
          <w:color w:val="000000"/>
          <w:szCs w:val="24"/>
        </w:rPr>
        <w:t xml:space="preserve"> (calculated for C</w:t>
      </w:r>
      <w:r w:rsidRPr="007B7129">
        <w:rPr>
          <w:color w:val="000000"/>
          <w:szCs w:val="24"/>
          <w:vertAlign w:val="subscript"/>
        </w:rPr>
        <w:t>26</w:t>
      </w:r>
      <w:r w:rsidRPr="007B7129">
        <w:rPr>
          <w:color w:val="000000"/>
          <w:szCs w:val="24"/>
        </w:rPr>
        <w:t>H</w:t>
      </w:r>
      <w:r w:rsidRPr="007B7129">
        <w:rPr>
          <w:color w:val="000000"/>
          <w:szCs w:val="24"/>
          <w:vertAlign w:val="subscript"/>
        </w:rPr>
        <w:t>22</w:t>
      </w:r>
      <w:r w:rsidRPr="007B7129">
        <w:rPr>
          <w:color w:val="000000"/>
          <w:szCs w:val="24"/>
        </w:rPr>
        <w:t>N</w:t>
      </w:r>
      <w:r w:rsidRPr="007B7129">
        <w:rPr>
          <w:color w:val="000000"/>
          <w:szCs w:val="24"/>
          <w:vertAlign w:val="subscript"/>
        </w:rPr>
        <w:t>4</w:t>
      </w:r>
      <w:r w:rsidRPr="007B7129">
        <w:rPr>
          <w:color w:val="000000"/>
          <w:szCs w:val="24"/>
        </w:rPr>
        <w:t xml:space="preserve">O, 406.18). </w:t>
      </w:r>
    </w:p>
    <w:p w14:paraId="5E3DC8E9" w14:textId="77777777" w:rsidR="007B7129" w:rsidRPr="007B7129" w:rsidRDefault="007B7129" w:rsidP="007B7129">
      <w:pPr>
        <w:spacing w:line="259" w:lineRule="auto"/>
        <w:jc w:val="left"/>
        <w:rPr>
          <w:rFonts w:cs="Times New Roman"/>
          <w:b/>
          <w:color w:val="000000"/>
          <w:szCs w:val="24"/>
          <w:shd w:val="clear" w:color="auto" w:fill="FFFFFF"/>
        </w:rPr>
      </w:pPr>
      <w:r w:rsidRPr="007B7129">
        <w:br w:type="page"/>
      </w:r>
    </w:p>
    <w:p w14:paraId="03517F38" w14:textId="77777777" w:rsidR="007B7129" w:rsidRPr="007B7129" w:rsidRDefault="007B7129" w:rsidP="00595321">
      <w:pPr>
        <w:pStyle w:val="Subsection"/>
      </w:pPr>
      <w:bookmarkStart w:id="451" w:name="_Toc97337871"/>
      <w:bookmarkStart w:id="452" w:name="_Toc100241926"/>
      <w:bookmarkStart w:id="453" w:name="_Toc102586290"/>
      <w:r w:rsidRPr="007B7129">
        <w:lastRenderedPageBreak/>
        <w:t>3.6.3 Synthetic procedures for Approach 2.</w:t>
      </w:r>
      <w:bookmarkEnd w:id="451"/>
      <w:bookmarkEnd w:id="452"/>
      <w:bookmarkEnd w:id="453"/>
    </w:p>
    <w:p w14:paraId="688A4263" w14:textId="77777777" w:rsidR="007B7129" w:rsidRPr="007B7129" w:rsidRDefault="007B7129" w:rsidP="007B7129">
      <w:pPr>
        <w:spacing w:after="0"/>
        <w:rPr>
          <w:b/>
          <w:bCs/>
        </w:rPr>
      </w:pPr>
      <w:r w:rsidRPr="007B7129">
        <w:rPr>
          <w:b/>
          <w:bCs/>
        </w:rPr>
        <w:tab/>
      </w:r>
      <w:r w:rsidRPr="007B7129">
        <w:rPr>
          <w:b/>
          <w:bCs/>
        </w:rPr>
        <w:tab/>
      </w:r>
      <w:r w:rsidRPr="007B7129">
        <w:rPr>
          <w:noProof/>
        </w:rPr>
        <mc:AlternateContent>
          <mc:Choice Requires="wps">
            <w:drawing>
              <wp:inline distT="0" distB="0" distL="0" distR="0" wp14:anchorId="01197E5F" wp14:editId="0C56BD8A">
                <wp:extent cx="4070985" cy="2297927"/>
                <wp:effectExtent l="0" t="0" r="24765" b="26670"/>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985" cy="2297927"/>
                        </a:xfrm>
                        <a:prstGeom prst="rect">
                          <a:avLst/>
                        </a:prstGeom>
                        <a:solidFill>
                          <a:srgbClr val="FFFFFF"/>
                        </a:solidFill>
                        <a:ln w="9525">
                          <a:solidFill>
                            <a:srgbClr val="000000"/>
                          </a:solidFill>
                          <a:miter lim="800000"/>
                          <a:headEnd/>
                          <a:tailEnd/>
                        </a:ln>
                      </wps:spPr>
                      <wps:txbx>
                        <w:txbxContent>
                          <w:p w14:paraId="0135A20E" w14:textId="77777777" w:rsidR="007B7129" w:rsidRDefault="007B7129" w:rsidP="007B7129">
                            <w:pPr>
                              <w:keepNext/>
                              <w:spacing w:after="0"/>
                              <w:jc w:val="center"/>
                            </w:pPr>
                            <w:r>
                              <w:rPr>
                                <w:b/>
                              </w:rPr>
                              <w:object w:dxaOrig="4431" w:dyaOrig="1838" w14:anchorId="7D5D593E">
                                <v:shape id="_x0000_i1137" type="#_x0000_t75" style="width:223pt;height:92.55pt">
                                  <v:imagedata r:id="rId360" o:title=""/>
                                </v:shape>
                                <o:OLEObject Type="Embed" ProgID="ChemDraw.Document.6.0" ShapeID="_x0000_i1137" DrawAspect="Content" ObjectID="_1713353526" r:id="rId361"/>
                              </w:object>
                            </w:r>
                          </w:p>
                          <w:p w14:paraId="0196A751" w14:textId="3A6EF63B" w:rsidR="007B7129" w:rsidRDefault="007B7129" w:rsidP="00DF51F5">
                            <w:pPr>
                              <w:pStyle w:val="Caption"/>
                            </w:pPr>
                            <w:r>
                              <w:t>Scheme 3.</w:t>
                            </w:r>
                            <w:r w:rsidR="00232E60">
                              <w:t>23</w:t>
                            </w:r>
                            <w:r>
                              <w:t xml:space="preserve">. Representative </w:t>
                            </w:r>
                            <w:r>
                              <w:rPr>
                                <w:rFonts w:cs="Times New Roman"/>
                              </w:rPr>
                              <w:t>β</w:t>
                            </w:r>
                            <w:r>
                              <w:t xml:space="preserve">-carboline lithiation reactions. </w:t>
                            </w:r>
                          </w:p>
                          <w:p w14:paraId="0B9D72B2" w14:textId="77777777" w:rsidR="007B7129" w:rsidRPr="0038606A" w:rsidRDefault="007B7129" w:rsidP="007B7129">
                            <w:pPr>
                              <w:spacing w:line="240" w:lineRule="auto"/>
                            </w:pPr>
                            <w:r>
                              <w:t>Reagents and conditions: (a) BF</w:t>
                            </w:r>
                            <w:r w:rsidRPr="003C1570">
                              <w:rPr>
                                <w:vertAlign w:val="subscript"/>
                              </w:rPr>
                              <w:t>3</w:t>
                            </w:r>
                            <w:r>
                              <w:t>OEt</w:t>
                            </w:r>
                            <w:r w:rsidRPr="003C1570">
                              <w:rPr>
                                <w:vertAlign w:val="subscript"/>
                              </w:rPr>
                              <w:t>2</w:t>
                            </w:r>
                            <w:r>
                              <w:t xml:space="preserve">, THF, 0 </w:t>
                            </w:r>
                            <w:r>
                              <w:rPr>
                                <w:rFonts w:cs="Times New Roman"/>
                              </w:rPr>
                              <w:t>̊</w:t>
                            </w:r>
                            <w:r>
                              <w:t xml:space="preserve">C; (b) </w:t>
                            </w:r>
                            <w:proofErr w:type="spellStart"/>
                            <w:r>
                              <w:t>nBuLi</w:t>
                            </w:r>
                            <w:proofErr w:type="spellEnd"/>
                            <w:r>
                              <w:t xml:space="preserve">, DMAE, </w:t>
                            </w:r>
                            <w:r>
                              <w:rPr>
                                <w:b/>
                                <w:bCs/>
                              </w:rPr>
                              <w:t>3.45</w:t>
                            </w:r>
                            <w:r>
                              <w:t xml:space="preserve">, THF, -78 </w:t>
                            </w:r>
                            <w:r>
                              <w:rPr>
                                <w:rFonts w:cs="Times New Roman"/>
                              </w:rPr>
                              <w:t>̊</w:t>
                            </w:r>
                            <w:r>
                              <w:t>C. R</w:t>
                            </w:r>
                            <w:r w:rsidRPr="005479FE">
                              <w:rPr>
                                <w:vertAlign w:val="superscript"/>
                              </w:rPr>
                              <w:t>1</w:t>
                            </w:r>
                            <w:r>
                              <w:t xml:space="preserve"> = H, Boc, or </w:t>
                            </w:r>
                            <w:proofErr w:type="spellStart"/>
                            <w:r>
                              <w:t>Tosyl</w:t>
                            </w:r>
                            <w:proofErr w:type="spellEnd"/>
                            <w:r>
                              <w:t>.</w:t>
                            </w:r>
                          </w:p>
                          <w:p w14:paraId="3245D258" w14:textId="77777777" w:rsidR="007B7129" w:rsidRDefault="007B7129" w:rsidP="007B7129"/>
                        </w:txbxContent>
                      </wps:txbx>
                      <wps:bodyPr rot="0" vert="horz" wrap="square" lIns="91440" tIns="45720" rIns="91440" bIns="45720" anchor="t" anchorCtr="0">
                        <a:noAutofit/>
                      </wps:bodyPr>
                    </wps:wsp>
                  </a:graphicData>
                </a:graphic>
              </wp:inline>
            </w:drawing>
          </mc:Choice>
          <mc:Fallback>
            <w:pict>
              <v:shape w14:anchorId="01197E5F" id="_x0000_s1115" type="#_x0000_t202" style="width:320.55pt;height:18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">
                <v:textbox>
                  <w:txbxContent>
                    <w:p w14:paraId="0135A20E" w14:textId="77777777" w:rsidR="007B7129" w:rsidRDefault="007B7129" w:rsidP="007B7129">
                      <w:pPr>
                        <w:keepNext/>
                        <w:spacing w:after="0"/>
                        <w:jc w:val="center"/>
                      </w:pPr>
                      <w:r>
                        <w:rPr>
                          <w:b/>
                        </w:rPr>
                        <w:object w:dxaOrig="4431" w:dyaOrig="1838" w14:anchorId="7D5D593E">
                          <v:shape id="_x0000_i1137" type="#_x0000_t75" style="width:223pt;height:92.55pt">
                            <v:imagedata r:id="rId360" o:title=""/>
                          </v:shape>
                          <o:OLEObject Type="Embed" ProgID="ChemDraw.Document.6.0" ShapeID="_x0000_i1137" DrawAspect="Content" ObjectID="_1713353526" r:id="rId362"/>
                        </w:object>
                      </w:r>
                    </w:p>
                    <w:p w14:paraId="0196A751" w14:textId="3A6EF63B" w:rsidR="007B7129" w:rsidRDefault="007B7129" w:rsidP="00DF51F5">
                      <w:pPr>
                        <w:pStyle w:val="Caption"/>
                      </w:pPr>
                      <w:r>
                        <w:t>Scheme 3.</w:t>
                      </w:r>
                      <w:r w:rsidR="00232E60">
                        <w:t>23</w:t>
                      </w:r>
                      <w:r>
                        <w:t xml:space="preserve">. Representative </w:t>
                      </w:r>
                      <w:r>
                        <w:rPr>
                          <w:rFonts w:cs="Times New Roman"/>
                        </w:rPr>
                        <w:t>β</w:t>
                      </w:r>
                      <w:r>
                        <w:t xml:space="preserve">-carboline lithiation reactions. </w:t>
                      </w:r>
                    </w:p>
                    <w:p w14:paraId="0B9D72B2" w14:textId="77777777" w:rsidR="007B7129" w:rsidRPr="0038606A" w:rsidRDefault="007B7129" w:rsidP="007B7129">
                      <w:pPr>
                        <w:spacing w:line="240" w:lineRule="auto"/>
                      </w:pPr>
                      <w:r>
                        <w:t>Reagents and conditions: (a) BF</w:t>
                      </w:r>
                      <w:r w:rsidRPr="003C1570">
                        <w:rPr>
                          <w:vertAlign w:val="subscript"/>
                        </w:rPr>
                        <w:t>3</w:t>
                      </w:r>
                      <w:r>
                        <w:t>OEt</w:t>
                      </w:r>
                      <w:r w:rsidRPr="003C1570">
                        <w:rPr>
                          <w:vertAlign w:val="subscript"/>
                        </w:rPr>
                        <w:t>2</w:t>
                      </w:r>
                      <w:r>
                        <w:t xml:space="preserve">, THF, 0 </w:t>
                      </w:r>
                      <w:r>
                        <w:rPr>
                          <w:rFonts w:cs="Times New Roman"/>
                        </w:rPr>
                        <w:t>̊</w:t>
                      </w:r>
                      <w:r>
                        <w:t xml:space="preserve">C; (b) </w:t>
                      </w:r>
                      <w:proofErr w:type="spellStart"/>
                      <w:r>
                        <w:t>nBuLi</w:t>
                      </w:r>
                      <w:proofErr w:type="spellEnd"/>
                      <w:r>
                        <w:t xml:space="preserve">, DMAE, </w:t>
                      </w:r>
                      <w:r>
                        <w:rPr>
                          <w:b/>
                          <w:bCs/>
                        </w:rPr>
                        <w:t>3.45</w:t>
                      </w:r>
                      <w:r>
                        <w:t xml:space="preserve">, THF, -78 </w:t>
                      </w:r>
                      <w:r>
                        <w:rPr>
                          <w:rFonts w:cs="Times New Roman"/>
                        </w:rPr>
                        <w:t>̊</w:t>
                      </w:r>
                      <w:r>
                        <w:t>C. R</w:t>
                      </w:r>
                      <w:r w:rsidRPr="005479FE">
                        <w:rPr>
                          <w:vertAlign w:val="superscript"/>
                        </w:rPr>
                        <w:t>1</w:t>
                      </w:r>
                      <w:r>
                        <w:t xml:space="preserve"> = H, Boc, or </w:t>
                      </w:r>
                      <w:proofErr w:type="spellStart"/>
                      <w:r>
                        <w:t>Tosyl</w:t>
                      </w:r>
                      <w:proofErr w:type="spellEnd"/>
                      <w:r>
                        <w:t>.</w:t>
                      </w:r>
                    </w:p>
                    <w:p w14:paraId="3245D258" w14:textId="77777777" w:rsidR="007B7129" w:rsidRDefault="007B7129" w:rsidP="007B7129"/>
                  </w:txbxContent>
                </v:textbox>
                <w10:anchorlock/>
              </v:shape>
            </w:pict>
          </mc:Fallback>
        </mc:AlternateContent>
      </w:r>
    </w:p>
    <w:p w14:paraId="1B21AEE7" w14:textId="77777777" w:rsidR="007B7129" w:rsidRPr="007B7129" w:rsidRDefault="007B7129" w:rsidP="007B7129">
      <w:pPr>
        <w:ind w:firstLine="720"/>
      </w:pPr>
      <w:r w:rsidRPr="007B7129">
        <w:rPr>
          <w:b/>
          <w:bCs/>
        </w:rPr>
        <w:t xml:space="preserve">General procedure for </w:t>
      </w:r>
      <w:r w:rsidRPr="007B7129">
        <w:rPr>
          <w:rFonts w:cs="Times New Roman"/>
          <w:b/>
          <w:bCs/>
        </w:rPr>
        <w:t>β</w:t>
      </w:r>
      <w:r w:rsidRPr="007B7129">
        <w:rPr>
          <w:b/>
          <w:bCs/>
        </w:rPr>
        <w:t>-carboline lithiation reactions:</w:t>
      </w:r>
      <w:r w:rsidRPr="007B7129">
        <w:t xml:space="preserve"> </w:t>
      </w:r>
      <w:r w:rsidRPr="007B7129">
        <w:rPr>
          <w:rFonts w:cs="Times New Roman"/>
        </w:rPr>
        <w:t>β</w:t>
      </w:r>
      <w:r w:rsidRPr="007B7129">
        <w:t xml:space="preserve">-carbolines </w:t>
      </w:r>
      <w:r w:rsidRPr="007B7129">
        <w:rPr>
          <w:b/>
          <w:bCs/>
        </w:rPr>
        <w:t>D1</w:t>
      </w:r>
      <w:r w:rsidRPr="007B7129">
        <w:t xml:space="preserve"> – </w:t>
      </w:r>
      <w:r w:rsidRPr="007B7129">
        <w:rPr>
          <w:b/>
          <w:bCs/>
        </w:rPr>
        <w:t xml:space="preserve">3 </w:t>
      </w:r>
      <w:r w:rsidRPr="007B7129">
        <w:t xml:space="preserve">(0.30 mmol) were dissolved in THF (5 mL) under nitrogen atmosphere and temperature was decreased to 0 </w:t>
      </w:r>
      <w:r w:rsidRPr="007B7129">
        <w:rPr>
          <w:rFonts w:cs="Times New Roman"/>
        </w:rPr>
        <w:t>̊</w:t>
      </w:r>
      <w:r w:rsidRPr="007B7129">
        <w:t xml:space="preserve">C. Boron trifluoride etherate (0.90 mmol) was added dropwise and the resulting orange- or yellow-colored homogeneous solution was stirred at 0 </w:t>
      </w:r>
      <w:r w:rsidRPr="007B7129">
        <w:rPr>
          <w:rFonts w:cs="Times New Roman"/>
        </w:rPr>
        <w:t>̊</w:t>
      </w:r>
      <w:r w:rsidRPr="007B7129">
        <w:t>C for 30 minutes. In a separate flask flushed with nitrogen gas, lithium 2-dimethylaminoethanolate (</w:t>
      </w:r>
      <w:proofErr w:type="spellStart"/>
      <w:r w:rsidRPr="007B7129">
        <w:t>LiDMAE</w:t>
      </w:r>
      <w:proofErr w:type="spellEnd"/>
      <w:r w:rsidRPr="007B7129">
        <w:t xml:space="preserve">) was formed </w:t>
      </w:r>
      <w:r w:rsidRPr="007B7129">
        <w:rPr>
          <w:i/>
          <w:iCs/>
        </w:rPr>
        <w:t>in situ</w:t>
      </w:r>
      <w:r w:rsidRPr="007B7129">
        <w:t xml:space="preserve"> from the addition of DMAE (1.20 mmol) dropwise over 15 minutes to a stirring solution of n-BuLi (2.38 mmol) in THF (1 mL) at 0 </w:t>
      </w:r>
      <w:r w:rsidRPr="007B7129">
        <w:rPr>
          <w:rFonts w:cs="Times New Roman"/>
        </w:rPr>
        <w:t>̊</w:t>
      </w:r>
      <w:r w:rsidRPr="007B7129">
        <w:t xml:space="preserve">C. The </w:t>
      </w:r>
      <w:r w:rsidRPr="007B7129">
        <w:rPr>
          <w:rFonts w:cs="Times New Roman"/>
        </w:rPr>
        <w:t>β</w:t>
      </w:r>
      <w:r w:rsidRPr="007B7129">
        <w:t xml:space="preserve">-carboline mixture was cooled to -78 </w:t>
      </w:r>
      <w:r w:rsidRPr="007B7129">
        <w:rPr>
          <w:rFonts w:cs="Times New Roman"/>
        </w:rPr>
        <w:t>̊</w:t>
      </w:r>
      <w:r w:rsidRPr="007B7129">
        <w:t xml:space="preserve">C before the clear, colorless </w:t>
      </w:r>
      <w:proofErr w:type="spellStart"/>
      <w:r w:rsidRPr="007B7129">
        <w:t>LiDMAE</w:t>
      </w:r>
      <w:proofErr w:type="spellEnd"/>
      <w:r w:rsidRPr="007B7129">
        <w:t xml:space="preserve"> solution was added via cannula. The resulting mixture was allowed to stir for one hour before electrophilic compound </w:t>
      </w:r>
      <w:r w:rsidRPr="007B7129">
        <w:rPr>
          <w:b/>
          <w:bCs/>
        </w:rPr>
        <w:t>3.45</w:t>
      </w:r>
      <w:r w:rsidRPr="007B7129">
        <w:t xml:space="preserve"> was added rapidly. Reaction was monitored by TLC, and after complete consumption of starting material, the reaction was quenched slowly with 1 M aqueous HCl (3 mL) to </w:t>
      </w:r>
      <w:proofErr w:type="spellStart"/>
      <w:r w:rsidRPr="007B7129">
        <w:t>hydrolyse</w:t>
      </w:r>
      <w:proofErr w:type="spellEnd"/>
      <w:r w:rsidRPr="007B7129">
        <w:t xml:space="preserve"> it. If no reaction occurred after 2 hours, the solution was allowed to warm to room temperature, usually resulting a cloudy and darkened (yellow or orange) heterogeneous mixture which was then quenched with 1 M aqueous HCl (3 mL). In either case, the aqueous layer was then separated and extracted twice with dichloromethane (20 mL). The </w:t>
      </w:r>
      <w:r w:rsidRPr="007B7129">
        <w:lastRenderedPageBreak/>
        <w:t>combined extracts were dried over sodium sulfate (Na</w:t>
      </w:r>
      <w:r w:rsidRPr="007B7129">
        <w:rPr>
          <w:vertAlign w:val="subscript"/>
        </w:rPr>
        <w:t>2</w:t>
      </w:r>
      <w:r w:rsidRPr="007B7129">
        <w:t>SO</w:t>
      </w:r>
      <w:r w:rsidRPr="007B7129">
        <w:rPr>
          <w:vertAlign w:val="subscript"/>
        </w:rPr>
        <w:t>4</w:t>
      </w:r>
      <w:r w:rsidRPr="007B7129">
        <w:t>) and concentrated. The crude product was purified by flash chromatography (SiO</w:t>
      </w:r>
      <w:r w:rsidRPr="007B7129">
        <w:rPr>
          <w:vertAlign w:val="subscript"/>
        </w:rPr>
        <w:t>2</w:t>
      </w:r>
      <w:r w:rsidRPr="007B7129">
        <w:t xml:space="preserve">) using ethyl acetate/hexanes eluents. </w:t>
      </w:r>
    </w:p>
    <w:p w14:paraId="763FA3B7" w14:textId="77777777" w:rsidR="007B7129" w:rsidRPr="007B7129" w:rsidRDefault="007B7129" w:rsidP="007B7129">
      <w:pPr>
        <w:spacing w:after="0"/>
        <w:ind w:left="1440" w:firstLine="720"/>
        <w:rPr>
          <w:rFonts w:eastAsia="Times New Roman" w:cs="Times New Roman"/>
          <w:b/>
          <w:bCs/>
          <w:szCs w:val="24"/>
        </w:rPr>
      </w:pPr>
      <w:r w:rsidRPr="007B7129">
        <w:rPr>
          <w:rFonts w:eastAsia="Times New Roman" w:cs="Times New Roman"/>
          <w:noProof/>
          <w:szCs w:val="24"/>
        </w:rPr>
        <mc:AlternateContent>
          <mc:Choice Requires="wps">
            <w:drawing>
              <wp:inline distT="0" distB="0" distL="0" distR="0" wp14:anchorId="23BC0561" wp14:editId="09F5FC82">
                <wp:extent cx="3672895" cy="1407160"/>
                <wp:effectExtent l="0" t="0" r="22860" b="21590"/>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95" cy="1407160"/>
                        </a:xfrm>
                        <a:prstGeom prst="rect">
                          <a:avLst/>
                        </a:prstGeom>
                        <a:solidFill>
                          <a:srgbClr val="FFFFFF"/>
                        </a:solidFill>
                        <a:ln w="9525">
                          <a:solidFill>
                            <a:srgbClr val="000000"/>
                          </a:solidFill>
                          <a:miter lim="800000"/>
                          <a:headEnd/>
                          <a:tailEnd/>
                        </a:ln>
                      </wps:spPr>
                      <wps:txbx>
                        <w:txbxContent>
                          <w:p w14:paraId="1B9E1154" w14:textId="77777777" w:rsidR="007B7129" w:rsidRDefault="007B7129" w:rsidP="007B7129">
                            <w:pPr>
                              <w:keepNext/>
                              <w:spacing w:after="0"/>
                              <w:jc w:val="center"/>
                            </w:pPr>
                            <w:r>
                              <w:object w:dxaOrig="1867" w:dyaOrig="1433" w14:anchorId="016505D9">
                                <v:shape id="_x0000_i1139" type="#_x0000_t75" style="width:94.45pt;height:1in">
                                  <v:imagedata r:id="rId363" o:title=""/>
                                </v:shape>
                                <o:OLEObject Type="Embed" ProgID="ChemDraw.Document.6.0" ShapeID="_x0000_i1139" DrawAspect="Content" ObjectID="_1713353527" r:id="rId364"/>
                              </w:object>
                            </w:r>
                          </w:p>
                          <w:p w14:paraId="1A0B7F89" w14:textId="5C187614" w:rsidR="007B7129" w:rsidRDefault="007B7129" w:rsidP="00DF51F5">
                            <w:pPr>
                              <w:pStyle w:val="Caption"/>
                            </w:pPr>
                            <w:bookmarkStart w:id="454" w:name="_Toc100243271"/>
                            <w:r>
                              <w:t>Figure 3.</w:t>
                            </w:r>
                            <w:r w:rsidR="00232E60">
                              <w:t>19</w:t>
                            </w:r>
                            <w:r>
                              <w:t>. Structure of 1-THF-9</w:t>
                            </w:r>
                            <w:r w:rsidRPr="0028318A">
                              <w:rPr>
                                <w:i/>
                              </w:rPr>
                              <w:t>H</w:t>
                            </w:r>
                            <w:r>
                              <w:t>-</w:t>
                            </w:r>
                            <w:r>
                              <w:rPr>
                                <w:rFonts w:cs="Times New Roman"/>
                              </w:rPr>
                              <w:t>β</w:t>
                            </w:r>
                            <w:r>
                              <w:t>-carboline 3.47.</w:t>
                            </w:r>
                            <w:bookmarkEnd w:id="454"/>
                            <w:r>
                              <w:t xml:space="preserve"> </w:t>
                            </w:r>
                          </w:p>
                        </w:txbxContent>
                      </wps:txbx>
                      <wps:bodyPr rot="0" vert="horz" wrap="square" lIns="91440" tIns="45720" rIns="91440" bIns="45720" anchor="t" anchorCtr="0">
                        <a:noAutofit/>
                      </wps:bodyPr>
                    </wps:wsp>
                  </a:graphicData>
                </a:graphic>
              </wp:inline>
            </w:drawing>
          </mc:Choice>
          <mc:Fallback>
            <w:pict>
              <v:shape w14:anchorId="23BC0561" id="_x0000_s1116" type="#_x0000_t202" style="width:289.2pt;height:1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">
                <v:textbox>
                  <w:txbxContent>
                    <w:p w14:paraId="1B9E1154" w14:textId="77777777" w:rsidR="007B7129" w:rsidRDefault="007B7129" w:rsidP="007B7129">
                      <w:pPr>
                        <w:keepNext/>
                        <w:spacing w:after="0"/>
                        <w:jc w:val="center"/>
                      </w:pPr>
                      <w:r>
                        <w:object w:dxaOrig="1867" w:dyaOrig="1433" w14:anchorId="016505D9">
                          <v:shape id="_x0000_i1139" type="#_x0000_t75" style="width:94.45pt;height:1in">
                            <v:imagedata r:id="rId363" o:title=""/>
                          </v:shape>
                          <o:OLEObject Type="Embed" ProgID="ChemDraw.Document.6.0" ShapeID="_x0000_i1139" DrawAspect="Content" ObjectID="_1713353527" r:id="rId365"/>
                        </w:object>
                      </w:r>
                    </w:p>
                    <w:p w14:paraId="1A0B7F89" w14:textId="5C187614" w:rsidR="007B7129" w:rsidRDefault="007B7129" w:rsidP="00DF51F5">
                      <w:pPr>
                        <w:pStyle w:val="Caption"/>
                      </w:pPr>
                      <w:bookmarkStart w:id="455" w:name="_Toc100243271"/>
                      <w:r>
                        <w:t>Figure 3.</w:t>
                      </w:r>
                      <w:r w:rsidR="00232E60">
                        <w:t>19</w:t>
                      </w:r>
                      <w:r>
                        <w:t>. Structure of 1-THF-9</w:t>
                      </w:r>
                      <w:r w:rsidRPr="0028318A">
                        <w:rPr>
                          <w:i/>
                        </w:rPr>
                        <w:t>H</w:t>
                      </w:r>
                      <w:r>
                        <w:t>-</w:t>
                      </w:r>
                      <w:r>
                        <w:rPr>
                          <w:rFonts w:cs="Times New Roman"/>
                        </w:rPr>
                        <w:t>β</w:t>
                      </w:r>
                      <w:r>
                        <w:t>-carboline 3.47.</w:t>
                      </w:r>
                      <w:bookmarkEnd w:id="455"/>
                      <w:r>
                        <w:t xml:space="preserve"> </w:t>
                      </w:r>
                    </w:p>
                  </w:txbxContent>
                </v:textbox>
                <w10:anchorlock/>
              </v:shape>
            </w:pict>
          </mc:Fallback>
        </mc:AlternateContent>
      </w:r>
    </w:p>
    <w:p w14:paraId="02788E7B" w14:textId="77777777" w:rsidR="007B7129" w:rsidRPr="007B7129" w:rsidRDefault="007B7129" w:rsidP="007B7129">
      <w:pPr>
        <w:spacing w:after="0"/>
        <w:ind w:firstLine="720"/>
        <w:rPr>
          <w:rFonts w:eastAsia="Times New Roman" w:cs="Times New Roman"/>
          <w:color w:val="000000"/>
          <w:szCs w:val="24"/>
        </w:rPr>
      </w:pPr>
      <w:r w:rsidRPr="007B7129">
        <w:rPr>
          <w:rFonts w:eastAsia="Times New Roman" w:cs="Times New Roman"/>
          <w:b/>
          <w:bCs/>
          <w:szCs w:val="24"/>
        </w:rPr>
        <w:t>1-(tetrahydrofuran-2-yl)-9</w:t>
      </w:r>
      <w:r w:rsidRPr="007B7129">
        <w:rPr>
          <w:rFonts w:eastAsia="Times New Roman" w:cs="Times New Roman"/>
          <w:b/>
          <w:bCs/>
          <w:i/>
          <w:iCs/>
          <w:szCs w:val="24"/>
        </w:rPr>
        <w:t>H</w:t>
      </w:r>
      <w:r w:rsidRPr="007B7129">
        <w:rPr>
          <w:rFonts w:eastAsia="Times New Roman" w:cs="Times New Roman"/>
          <w:b/>
          <w:bCs/>
          <w:szCs w:val="24"/>
        </w:rPr>
        <w:t>-pyrido[3,4-</w:t>
      </w:r>
      <w:proofErr w:type="gramStart"/>
      <w:r w:rsidRPr="007B7129">
        <w:rPr>
          <w:rFonts w:eastAsia="Times New Roman" w:cs="Times New Roman"/>
          <w:b/>
          <w:bCs/>
          <w:i/>
          <w:iCs/>
          <w:szCs w:val="24"/>
        </w:rPr>
        <w:t>b</w:t>
      </w:r>
      <w:r w:rsidRPr="007B7129">
        <w:rPr>
          <w:rFonts w:eastAsia="Times New Roman" w:cs="Times New Roman"/>
          <w:b/>
          <w:bCs/>
          <w:szCs w:val="24"/>
        </w:rPr>
        <w:t>]indole</w:t>
      </w:r>
      <w:proofErr w:type="gramEnd"/>
      <w:r w:rsidRPr="007B7129">
        <w:rPr>
          <w:rFonts w:eastAsia="Times New Roman" w:cs="Times New Roman"/>
          <w:b/>
          <w:bCs/>
          <w:szCs w:val="24"/>
        </w:rPr>
        <w:t xml:space="preserve"> (3.47):</w:t>
      </w:r>
      <w:r w:rsidRPr="007B7129">
        <w:rPr>
          <w:rFonts w:eastAsia="Times New Roman" w:cs="Times New Roman"/>
          <w:szCs w:val="24"/>
        </w:rPr>
        <w:t xml:space="preserve"> Synthetic methods as described above for β-carboline lithiation reactions. While quaternary carbons were undetectable by 1D NMR, </w:t>
      </w:r>
      <w:r w:rsidRPr="007B7129">
        <w:rPr>
          <w:rFonts w:eastAsia="Times New Roman" w:cs="Times New Roman"/>
          <w:szCs w:val="24"/>
          <w:vertAlign w:val="superscript"/>
        </w:rPr>
        <w:t>1</w:t>
      </w:r>
      <w:r w:rsidRPr="007B7129">
        <w:rPr>
          <w:rFonts w:eastAsia="Times New Roman" w:cs="Times New Roman"/>
          <w:szCs w:val="24"/>
        </w:rPr>
        <w:t xml:space="preserve">H spectra was otherwise identical </w:t>
      </w:r>
      <w:r w:rsidRPr="007B7129">
        <w:rPr>
          <w:rFonts w:eastAsia="DengXian" w:cs="Times New Roman"/>
          <w:color w:val="000000"/>
          <w:kern w:val="2"/>
          <w:szCs w:val="24"/>
        </w:rPr>
        <w:t>to literature values,</w:t>
      </w:r>
      <w:r w:rsidRPr="007B7129">
        <w:rPr>
          <w:rFonts w:eastAsia="DengXian" w:cs="Times New Roman"/>
          <w:color w:val="000000"/>
          <w:kern w:val="2"/>
          <w:szCs w:val="24"/>
        </w:rPr>
        <w:fldChar w:fldCharType="begin"/>
      </w:r>
      <w:r w:rsidRPr="007B7129">
        <w:rPr>
          <w:rFonts w:eastAsia="DengXian" w:cs="Times New Roman"/>
          <w:color w:val="000000"/>
          <w:kern w:val="2"/>
          <w:szCs w:val="24"/>
        </w:rPr>
        <w:instrText xml:space="preserve"> ADDIN ZOTERO_ITEM CSL_CITATION {"citationID":"MMIP1FQu","properties":{"formattedCitation":"\\super 104\\nosupersub{}","plainCitation":"104","noteIndex":0},"citationItems":[{"id":386,"uris":["http://zotero.org/users/6503767/items/ITMR2TY6"],"itemData":{"id":386,"type":"article-journal","abstract":"Ethanol is typically used in organic synthesis as an environmentally benign solvent. Herein, we report a mild and efficient cross-dehydrogenative coupling (CDC) reaction of N-heteroarenes with cyclic ethers by uncovering the new reactivity of ethanol as an efficient promoter in PIFA-mediated radical process. The reaction proceeds smoothly under the irradiation of visible light and features excellent functional group compatibility, which allows the expedite synthesis of a variety of medicinally valuable Cα-heteroarylated cyclic ethers in moderate to high yields.","container-title":"European Journal of Organic Chemistry","DOI":"10.1002/ejoc.202001354","ISSN":"1099-0690","issue":"3","language":"en","note":"_eprint: https://onlinelibrary.wiley.com/doi/pdf/10.1002/ejoc.202001354","page":"411-421","source":"Wiley Online Library","title":"PIFA-Mediated Cross-Dehydrogenative Coupling of N-Heteroarenes with Cyclic Ethers: Ethanol as an Efficient Promoter","title-short":"PIFA-Mediated Cross-Dehydrogenative Coupling of N-Heteroarenes with Cyclic Ethers","volume":"2021","author":[{"family":"Li","given":"Xiang"},{"family":"Liu","given":"Chaoyang"},{"family":"Guo","given":"Shixun"},{"family":"Wang","given":"Wei"},{"family":"Zhang","given":"Yongqiang"}],"issued":{"date-parts":[["2021"]]}}}],"schema":"https://github.com/citation-style-language/schema/raw/master/csl-citation.json"} </w:instrText>
      </w:r>
      <w:r w:rsidRPr="007B7129">
        <w:rPr>
          <w:rFonts w:eastAsia="DengXian" w:cs="Times New Roman"/>
          <w:color w:val="000000"/>
          <w:kern w:val="2"/>
          <w:szCs w:val="24"/>
        </w:rPr>
        <w:fldChar w:fldCharType="separate"/>
      </w:r>
      <w:r w:rsidRPr="007B7129">
        <w:rPr>
          <w:rFonts w:eastAsia="Times New Roman" w:cs="Times New Roman"/>
          <w:szCs w:val="24"/>
          <w:vertAlign w:val="superscript"/>
        </w:rPr>
        <w:t>104</w:t>
      </w:r>
      <w:r w:rsidRPr="007B7129">
        <w:rPr>
          <w:rFonts w:eastAsia="DengXian" w:cs="Times New Roman"/>
          <w:color w:val="000000"/>
          <w:kern w:val="2"/>
          <w:szCs w:val="24"/>
        </w:rPr>
        <w:fldChar w:fldCharType="end"/>
      </w:r>
      <w:r w:rsidRPr="007B7129">
        <w:rPr>
          <w:rFonts w:eastAsia="DengXian" w:cs="Times New Roman"/>
          <w:color w:val="000000"/>
          <w:kern w:val="2"/>
          <w:szCs w:val="24"/>
        </w:rPr>
        <w:t xml:space="preserve"> and the structure was further confirmed by HSQC (see </w:t>
      </w:r>
      <w:r w:rsidRPr="007B7129">
        <w:rPr>
          <w:rFonts w:eastAsia="DengXian" w:cs="Times New Roman"/>
          <w:b/>
          <w:bCs/>
          <w:color w:val="000000"/>
          <w:kern w:val="2"/>
          <w:szCs w:val="24"/>
        </w:rPr>
        <w:t>Appendix II</w:t>
      </w:r>
      <w:r w:rsidRPr="007B7129">
        <w:rPr>
          <w:rFonts w:eastAsia="DengXian" w:cs="Times New Roman"/>
          <w:color w:val="000000"/>
          <w:kern w:val="2"/>
          <w:szCs w:val="24"/>
        </w:rPr>
        <w:t xml:space="preserve">). Yield 14%, amber oil. </w:t>
      </w:r>
      <w:r w:rsidRPr="007B7129">
        <w:rPr>
          <w:rFonts w:eastAsia="Times New Roman" w:cs="Times New Roman"/>
          <w:color w:val="000000"/>
          <w:szCs w:val="24"/>
          <w:vertAlign w:val="superscript"/>
        </w:rPr>
        <w:t>1</w:t>
      </w:r>
      <w:r w:rsidRPr="007B7129">
        <w:rPr>
          <w:rFonts w:eastAsia="Times New Roman" w:cs="Times New Roman"/>
          <w:color w:val="000000"/>
          <w:szCs w:val="24"/>
        </w:rPr>
        <w:t>H NMR (600 MHz, CDCl</w:t>
      </w:r>
      <w:r w:rsidRPr="007B7129">
        <w:rPr>
          <w:rFonts w:eastAsia="Times New Roman" w:cs="Times New Roman"/>
          <w:color w:val="000000"/>
          <w:szCs w:val="24"/>
          <w:vertAlign w:val="subscript"/>
        </w:rPr>
        <w:t>3</w:t>
      </w:r>
      <w:r w:rsidRPr="007B7129">
        <w:rPr>
          <w:rFonts w:eastAsia="Times New Roman" w:cs="Times New Roman"/>
          <w:color w:val="000000"/>
          <w:szCs w:val="24"/>
        </w:rPr>
        <w:t xml:space="preserve">) δ 9.4 (s, 1H), 8.4 (d, </w:t>
      </w:r>
      <w:r w:rsidRPr="007B7129">
        <w:rPr>
          <w:rFonts w:eastAsia="Times New Roman" w:cs="Times New Roman"/>
          <w:i/>
          <w:iCs/>
          <w:color w:val="000000"/>
          <w:szCs w:val="24"/>
        </w:rPr>
        <w:t>J</w:t>
      </w:r>
      <w:r w:rsidRPr="007B7129">
        <w:rPr>
          <w:rFonts w:eastAsia="Times New Roman" w:cs="Times New Roman"/>
          <w:color w:val="000000"/>
          <w:szCs w:val="24"/>
        </w:rPr>
        <w:t xml:space="preserve"> = 5.2 Hz, 1H), 8.1 (d, </w:t>
      </w:r>
      <w:r w:rsidRPr="007B7129">
        <w:rPr>
          <w:rFonts w:eastAsia="Times New Roman" w:cs="Times New Roman"/>
          <w:i/>
          <w:iCs/>
          <w:color w:val="000000"/>
          <w:szCs w:val="24"/>
        </w:rPr>
        <w:t>J</w:t>
      </w:r>
      <w:r w:rsidRPr="007B7129">
        <w:rPr>
          <w:rFonts w:eastAsia="Times New Roman" w:cs="Times New Roman"/>
          <w:color w:val="000000"/>
          <w:szCs w:val="24"/>
        </w:rPr>
        <w:t xml:space="preserve"> = 7.8 Hz, 1H), 7.9 (d, </w:t>
      </w:r>
      <w:r w:rsidRPr="007B7129">
        <w:rPr>
          <w:rFonts w:eastAsia="Times New Roman" w:cs="Times New Roman"/>
          <w:i/>
          <w:iCs/>
          <w:color w:val="000000"/>
          <w:szCs w:val="24"/>
        </w:rPr>
        <w:t>J</w:t>
      </w:r>
      <w:r w:rsidRPr="007B7129">
        <w:rPr>
          <w:rFonts w:eastAsia="Times New Roman" w:cs="Times New Roman"/>
          <w:color w:val="000000"/>
          <w:szCs w:val="24"/>
        </w:rPr>
        <w:t xml:space="preserve"> = 5.2 Hz, 1H), 7.6 – 7.5 (m, 2H), 7.3 (s, 3H), 5.5 (t, </w:t>
      </w:r>
      <w:r w:rsidRPr="007B7129">
        <w:rPr>
          <w:rFonts w:eastAsia="Times New Roman" w:cs="Times New Roman"/>
          <w:i/>
          <w:iCs/>
          <w:color w:val="000000"/>
          <w:szCs w:val="24"/>
        </w:rPr>
        <w:t>J</w:t>
      </w:r>
      <w:r w:rsidRPr="007B7129">
        <w:rPr>
          <w:rFonts w:eastAsia="Times New Roman" w:cs="Times New Roman"/>
          <w:color w:val="000000"/>
          <w:szCs w:val="24"/>
        </w:rPr>
        <w:t xml:space="preserve"> = 7.2 Hz, 1H), 4.2 (td, </w:t>
      </w:r>
      <w:r w:rsidRPr="007B7129">
        <w:rPr>
          <w:rFonts w:eastAsia="Times New Roman" w:cs="Times New Roman"/>
          <w:i/>
          <w:iCs/>
          <w:color w:val="000000"/>
          <w:szCs w:val="24"/>
        </w:rPr>
        <w:t>J</w:t>
      </w:r>
      <w:r w:rsidRPr="007B7129">
        <w:rPr>
          <w:rFonts w:eastAsia="Times New Roman" w:cs="Times New Roman"/>
          <w:color w:val="000000"/>
          <w:szCs w:val="24"/>
        </w:rPr>
        <w:t xml:space="preserve"> = 7.8, 6.1 Hz, 1H), 4.1 (td, </w:t>
      </w:r>
      <w:r w:rsidRPr="007B7129">
        <w:rPr>
          <w:rFonts w:eastAsia="Times New Roman" w:cs="Times New Roman"/>
          <w:i/>
          <w:iCs/>
          <w:color w:val="000000"/>
          <w:szCs w:val="24"/>
        </w:rPr>
        <w:t>J</w:t>
      </w:r>
      <w:r w:rsidRPr="007B7129">
        <w:rPr>
          <w:rFonts w:eastAsia="Times New Roman" w:cs="Times New Roman"/>
          <w:color w:val="000000"/>
          <w:szCs w:val="24"/>
        </w:rPr>
        <w:t xml:space="preserve"> = 8.0, 6.3 Hz, 1H), 2.6 (td, </w:t>
      </w:r>
      <w:r w:rsidRPr="007B7129">
        <w:rPr>
          <w:rFonts w:eastAsia="Times New Roman" w:cs="Times New Roman"/>
          <w:i/>
          <w:iCs/>
          <w:color w:val="000000"/>
          <w:szCs w:val="24"/>
        </w:rPr>
        <w:t>J</w:t>
      </w:r>
      <w:r w:rsidRPr="007B7129">
        <w:rPr>
          <w:rFonts w:eastAsia="Times New Roman" w:cs="Times New Roman"/>
          <w:color w:val="000000"/>
          <w:szCs w:val="24"/>
        </w:rPr>
        <w:t xml:space="preserve"> = 13.0, 7.3 Hz, 1H), 2.4 – 2.3 (m, 1H), 2.2 – 2.0 (m, 2H). </w:t>
      </w:r>
      <w:r w:rsidRPr="007B7129">
        <w:rPr>
          <w:rFonts w:eastAsia="Times New Roman" w:cs="Times New Roman"/>
          <w:color w:val="000000"/>
          <w:szCs w:val="24"/>
          <w:vertAlign w:val="superscript"/>
        </w:rPr>
        <w:t>13</w:t>
      </w:r>
      <w:r w:rsidRPr="007B7129">
        <w:rPr>
          <w:rFonts w:eastAsia="Times New Roman" w:cs="Times New Roman"/>
          <w:color w:val="000000"/>
          <w:szCs w:val="24"/>
        </w:rPr>
        <w:t>C NMR (151 MHz, CDCl</w:t>
      </w:r>
      <w:r w:rsidRPr="007B7129">
        <w:rPr>
          <w:rFonts w:eastAsia="Times New Roman" w:cs="Times New Roman"/>
          <w:color w:val="000000"/>
          <w:szCs w:val="24"/>
          <w:vertAlign w:val="subscript"/>
        </w:rPr>
        <w:t>3</w:t>
      </w:r>
      <w:r w:rsidRPr="007B7129">
        <w:rPr>
          <w:rFonts w:eastAsia="Times New Roman" w:cs="Times New Roman"/>
          <w:color w:val="000000"/>
          <w:szCs w:val="24"/>
        </w:rPr>
        <w:t>) δ 128.5, 121.8, 119.8, 113.6, 111.7, 82.9, 69.2, 32.2, 29.9, 25.7.</w:t>
      </w:r>
    </w:p>
    <w:p w14:paraId="65FEC6D8" w14:textId="77777777" w:rsidR="007B7129" w:rsidRPr="007B7129" w:rsidRDefault="007B7129" w:rsidP="007B7129">
      <w:pPr>
        <w:spacing w:after="0"/>
        <w:ind w:left="1440" w:firstLine="720"/>
        <w:rPr>
          <w:rFonts w:eastAsia="Times New Roman" w:cs="Times New Roman"/>
          <w:color w:val="000000"/>
          <w:szCs w:val="24"/>
        </w:rPr>
      </w:pPr>
      <w:r w:rsidRPr="007B7129">
        <w:rPr>
          <w:rFonts w:eastAsia="Times New Roman" w:cs="Times New Roman"/>
          <w:color w:val="000000"/>
          <w:szCs w:val="24"/>
        </w:rPr>
        <w:t xml:space="preserve"> </w:t>
      </w:r>
      <w:r w:rsidRPr="007B7129">
        <w:rPr>
          <w:rFonts w:eastAsia="DengXian" w:cs="Times New Roman"/>
          <w:noProof/>
          <w:color w:val="000000"/>
          <w:kern w:val="2"/>
          <w:szCs w:val="24"/>
        </w:rPr>
        <mc:AlternateContent>
          <mc:Choice Requires="wps">
            <w:drawing>
              <wp:inline distT="0" distB="0" distL="0" distR="0" wp14:anchorId="1BACEFF8" wp14:editId="547EC181">
                <wp:extent cx="3641090" cy="1828800"/>
                <wp:effectExtent l="0" t="0" r="16510" b="19050"/>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090" cy="1828800"/>
                        </a:xfrm>
                        <a:prstGeom prst="rect">
                          <a:avLst/>
                        </a:prstGeom>
                        <a:solidFill>
                          <a:srgbClr val="FFFFFF"/>
                        </a:solidFill>
                        <a:ln w="9525">
                          <a:solidFill>
                            <a:srgbClr val="000000"/>
                          </a:solidFill>
                          <a:miter lim="800000"/>
                          <a:headEnd/>
                          <a:tailEnd/>
                        </a:ln>
                      </wps:spPr>
                      <wps:txbx>
                        <w:txbxContent>
                          <w:p w14:paraId="5FEB33EE" w14:textId="77777777" w:rsidR="007B7129" w:rsidRDefault="007B7129" w:rsidP="007B7129">
                            <w:pPr>
                              <w:keepNext/>
                              <w:spacing w:after="0"/>
                              <w:jc w:val="center"/>
                            </w:pPr>
                            <w:r>
                              <w:object w:dxaOrig="4227" w:dyaOrig="1526" w14:anchorId="1A44E3FD">
                                <v:shape id="_x0000_i1141" type="#_x0000_t75" style="width:212.25pt;height:76.2pt">
                                  <v:imagedata r:id="rId366" o:title=""/>
                                </v:shape>
                                <o:OLEObject Type="Embed" ProgID="ChemDraw.Document.6.0" ShapeID="_x0000_i1141" DrawAspect="Content" ObjectID="_1713353528" r:id="rId367"/>
                              </w:object>
                            </w:r>
                          </w:p>
                          <w:p w14:paraId="5D341530" w14:textId="7ACEFC8C" w:rsidR="007B7129" w:rsidRDefault="007B7129" w:rsidP="00DF51F5">
                            <w:pPr>
                              <w:pStyle w:val="Caption"/>
                            </w:pPr>
                            <w:r>
                              <w:t>Scheme 3.</w:t>
                            </w:r>
                            <w:r w:rsidR="00232E60">
                              <w:t>24</w:t>
                            </w:r>
                            <w:r>
                              <w:t xml:space="preserve">. </w:t>
                            </w:r>
                            <w:r>
                              <w:rPr>
                                <w:rFonts w:cs="Times New Roman"/>
                              </w:rPr>
                              <w:t>β</w:t>
                            </w:r>
                            <w:r>
                              <w:t xml:space="preserve">-carboline methylation. </w:t>
                            </w:r>
                          </w:p>
                          <w:p w14:paraId="321DC993" w14:textId="77777777" w:rsidR="007B7129" w:rsidRDefault="007B7129" w:rsidP="007B7129">
                            <w:r>
                              <w:t xml:space="preserve">Reagents and conditions: </w:t>
                            </w:r>
                            <w:proofErr w:type="spellStart"/>
                            <w:r>
                              <w:t>nBuLi</w:t>
                            </w:r>
                            <w:proofErr w:type="spellEnd"/>
                            <w:r>
                              <w:t xml:space="preserve">, </w:t>
                            </w:r>
                            <w:proofErr w:type="spellStart"/>
                            <w:r>
                              <w:t>MeI</w:t>
                            </w:r>
                            <w:proofErr w:type="spellEnd"/>
                            <w:r>
                              <w:t xml:space="preserve">, THF, -78 – 23 </w:t>
                            </w:r>
                            <w:r>
                              <w:rPr>
                                <w:rFonts w:cs="Times New Roman"/>
                              </w:rPr>
                              <w:t>̊</w:t>
                            </w:r>
                            <w:r>
                              <w:t>C.</w:t>
                            </w:r>
                          </w:p>
                        </w:txbxContent>
                      </wps:txbx>
                      <wps:bodyPr rot="0" vert="horz" wrap="square" lIns="91440" tIns="45720" rIns="91440" bIns="45720" anchor="t" anchorCtr="0">
                        <a:noAutofit/>
                      </wps:bodyPr>
                    </wps:wsp>
                  </a:graphicData>
                </a:graphic>
              </wp:inline>
            </w:drawing>
          </mc:Choice>
          <mc:Fallback>
            <w:pict>
              <v:shape w14:anchorId="1BACEFF8" id="_x0000_s1117" type="#_x0000_t202" style="width:286.7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">
                <v:textbox>
                  <w:txbxContent>
                    <w:p w14:paraId="5FEB33EE" w14:textId="77777777" w:rsidR="007B7129" w:rsidRDefault="007B7129" w:rsidP="007B7129">
                      <w:pPr>
                        <w:keepNext/>
                        <w:spacing w:after="0"/>
                        <w:jc w:val="center"/>
                      </w:pPr>
                      <w:r>
                        <w:object w:dxaOrig="4227" w:dyaOrig="1526" w14:anchorId="1A44E3FD">
                          <v:shape id="_x0000_i1141" type="#_x0000_t75" style="width:212.25pt;height:76.2pt">
                            <v:imagedata r:id="rId366" o:title=""/>
                          </v:shape>
                          <o:OLEObject Type="Embed" ProgID="ChemDraw.Document.6.0" ShapeID="_x0000_i1141" DrawAspect="Content" ObjectID="_1713353528" r:id="rId368"/>
                        </w:object>
                      </w:r>
                    </w:p>
                    <w:p w14:paraId="5D341530" w14:textId="7ACEFC8C" w:rsidR="007B7129" w:rsidRDefault="007B7129" w:rsidP="00DF51F5">
                      <w:pPr>
                        <w:pStyle w:val="Caption"/>
                      </w:pPr>
                      <w:r>
                        <w:t>Scheme 3.</w:t>
                      </w:r>
                      <w:r w:rsidR="00232E60">
                        <w:t>24</w:t>
                      </w:r>
                      <w:r>
                        <w:t xml:space="preserve">. </w:t>
                      </w:r>
                      <w:r>
                        <w:rPr>
                          <w:rFonts w:cs="Times New Roman"/>
                        </w:rPr>
                        <w:t>β</w:t>
                      </w:r>
                      <w:r>
                        <w:t xml:space="preserve">-carboline methylation. </w:t>
                      </w:r>
                    </w:p>
                    <w:p w14:paraId="321DC993" w14:textId="77777777" w:rsidR="007B7129" w:rsidRDefault="007B7129" w:rsidP="007B7129">
                      <w:r>
                        <w:t xml:space="preserve">Reagents and conditions: </w:t>
                      </w:r>
                      <w:proofErr w:type="spellStart"/>
                      <w:r>
                        <w:t>nBuLi</w:t>
                      </w:r>
                      <w:proofErr w:type="spellEnd"/>
                      <w:r>
                        <w:t xml:space="preserve">, </w:t>
                      </w:r>
                      <w:proofErr w:type="spellStart"/>
                      <w:r>
                        <w:t>MeI</w:t>
                      </w:r>
                      <w:proofErr w:type="spellEnd"/>
                      <w:r>
                        <w:t xml:space="preserve">, THF, -78 – 23 </w:t>
                      </w:r>
                      <w:r>
                        <w:rPr>
                          <w:rFonts w:cs="Times New Roman"/>
                        </w:rPr>
                        <w:t>̊</w:t>
                      </w:r>
                      <w:r>
                        <w:t>C.</w:t>
                      </w:r>
                    </w:p>
                  </w:txbxContent>
                </v:textbox>
                <w10:anchorlock/>
              </v:shape>
            </w:pict>
          </mc:Fallback>
        </mc:AlternateContent>
      </w:r>
    </w:p>
    <w:p w14:paraId="7A1F3538" w14:textId="77777777" w:rsidR="007B7129" w:rsidRPr="007B7129" w:rsidRDefault="007B7129" w:rsidP="007B7129">
      <w:pPr>
        <w:spacing w:after="0"/>
        <w:ind w:firstLine="720"/>
        <w:rPr>
          <w:rFonts w:eastAsia="DengXian" w:cs="Times New Roman"/>
          <w:color w:val="000000"/>
          <w:kern w:val="2"/>
          <w:szCs w:val="24"/>
        </w:rPr>
      </w:pPr>
      <w:r w:rsidRPr="007B7129">
        <w:rPr>
          <w:rFonts w:eastAsia="DengXian" w:cs="Times New Roman"/>
          <w:b/>
          <w:bCs/>
          <w:color w:val="000000"/>
          <w:kern w:val="2"/>
          <w:szCs w:val="24"/>
        </w:rPr>
        <w:t xml:space="preserve">General procedure for </w:t>
      </w:r>
      <w:r w:rsidRPr="007B7129">
        <w:rPr>
          <w:rFonts w:eastAsia="Times New Roman" w:cs="Times New Roman"/>
          <w:b/>
          <w:bCs/>
          <w:szCs w:val="24"/>
        </w:rPr>
        <w:t xml:space="preserve">β-carboline methylation. </w:t>
      </w:r>
      <w:r w:rsidRPr="007B7129">
        <w:rPr>
          <w:rFonts w:eastAsia="Times New Roman" w:cs="Times New Roman"/>
          <w:szCs w:val="24"/>
        </w:rPr>
        <w:t xml:space="preserve">To a yellow solution of N-tosyl-β-carboline </w:t>
      </w:r>
      <w:r w:rsidRPr="007B7129">
        <w:rPr>
          <w:rFonts w:eastAsia="Times New Roman" w:cs="Times New Roman"/>
          <w:b/>
          <w:bCs/>
          <w:szCs w:val="24"/>
        </w:rPr>
        <w:t>D3</w:t>
      </w:r>
      <w:r w:rsidRPr="007B7129">
        <w:rPr>
          <w:rFonts w:eastAsia="Times New Roman" w:cs="Times New Roman"/>
          <w:szCs w:val="24"/>
        </w:rPr>
        <w:t xml:space="preserve"> (0.09 mmol) in THF (1 mL) under nitrogen atmosphere, n-BuLi (0.18 mmol) was added dropwise at -78 ̊C. The resulting mixture appeared darker in color. Methyl iodide (0.09 </w:t>
      </w:r>
      <w:r w:rsidRPr="007B7129">
        <w:rPr>
          <w:rFonts w:eastAsia="Times New Roman" w:cs="Times New Roman"/>
          <w:szCs w:val="24"/>
        </w:rPr>
        <w:lastRenderedPageBreak/>
        <w:t>mmol) was added to the orange solution before the reaction was allowed to warm to room temperature (23 ̊C). Upon consumption of starting material, monitored by TLC, the reaction was quenched with saturated aqueous ammonium chloride and extracted with DCM. The combined organic layers were concentrated under vacuum, and the crude product was purified by flash chromatography (SiO</w:t>
      </w:r>
      <w:r w:rsidRPr="007B7129">
        <w:rPr>
          <w:rFonts w:eastAsia="Times New Roman" w:cs="Times New Roman"/>
          <w:szCs w:val="24"/>
          <w:vertAlign w:val="subscript"/>
        </w:rPr>
        <w:t>2</w:t>
      </w:r>
      <w:r w:rsidRPr="007B7129">
        <w:rPr>
          <w:rFonts w:eastAsia="Times New Roman" w:cs="Times New Roman"/>
          <w:szCs w:val="24"/>
        </w:rPr>
        <w:t xml:space="preserve">) using ethyl acetate/hexanes eluents, yielding </w:t>
      </w:r>
      <w:r w:rsidRPr="007B7129">
        <w:rPr>
          <w:rFonts w:eastAsia="Times New Roman" w:cs="Times New Roman"/>
          <w:b/>
          <w:bCs/>
          <w:szCs w:val="24"/>
        </w:rPr>
        <w:t xml:space="preserve">3.48 </w:t>
      </w:r>
      <w:r w:rsidRPr="007B7129">
        <w:rPr>
          <w:rFonts w:eastAsia="Times New Roman" w:cs="Times New Roman"/>
          <w:szCs w:val="24"/>
        </w:rPr>
        <w:t xml:space="preserve">(0.027 mmol). </w:t>
      </w:r>
    </w:p>
    <w:p w14:paraId="1A4993A4" w14:textId="77777777" w:rsidR="007B7129" w:rsidRPr="007B7129" w:rsidRDefault="007B7129" w:rsidP="007B7129">
      <w:pPr>
        <w:ind w:firstLine="720"/>
      </w:pPr>
      <w:r w:rsidRPr="007B7129">
        <w:rPr>
          <w:b/>
          <w:bCs/>
        </w:rPr>
        <w:t>3-methyl-9-tosyl-9</w:t>
      </w:r>
      <w:r w:rsidRPr="007B7129">
        <w:rPr>
          <w:b/>
          <w:bCs/>
          <w:i/>
          <w:iCs/>
        </w:rPr>
        <w:t>H</w:t>
      </w:r>
      <w:r w:rsidRPr="007B7129">
        <w:rPr>
          <w:b/>
          <w:bCs/>
        </w:rPr>
        <w:t>-pyrido[3,4-</w:t>
      </w:r>
      <w:proofErr w:type="gramStart"/>
      <w:r w:rsidRPr="007B7129">
        <w:rPr>
          <w:b/>
          <w:bCs/>
          <w:i/>
          <w:iCs/>
        </w:rPr>
        <w:t>b</w:t>
      </w:r>
      <w:r w:rsidRPr="007B7129">
        <w:rPr>
          <w:b/>
          <w:bCs/>
        </w:rPr>
        <w:t>]indole</w:t>
      </w:r>
      <w:proofErr w:type="gramEnd"/>
      <w:r w:rsidRPr="007B7129">
        <w:rPr>
          <w:b/>
          <w:bCs/>
        </w:rPr>
        <w:t xml:space="preserve"> (3.48):</w:t>
      </w:r>
      <w:r w:rsidRPr="007B7129">
        <w:t xml:space="preserve"> Amber oil, 30% yield. NMR spectra was compared to literature to confirm structure.</w:t>
      </w:r>
      <w:r w:rsidRPr="007B7129">
        <w:fldChar w:fldCharType="begin"/>
      </w:r>
      <w:r w:rsidRPr="007B7129">
        <w:instrText xml:space="preserve"> ADDIN ZOTERO_ITEM CSL_CITATION {"citationID":"6iSHZu53","properties":{"formattedCitation":"\\super 105\\nosupersub{}","plainCitation":"105","noteIndex":0},"citationItems":[{"id":409,"uris":["http://zotero.org/users/6503767/items/9349GS9N"],"itemData":{"id":409,"type":"article-journal","abstract":"A divergent strategy is presented for the synthesis of 1,3-di- and 1,3,4-trisubstituted β-carbolines through an unprecedented one-pot triple-orthogonal-metal relay catalysis, and 1,3-disubstituted 4-hydroxy-β-carbolines through a one-pot bimetallic relay catalysis from readily accessible 3-(2-aminophenyl)-5-hexenyn-3-ols. These strategies were elaborated to enable the synthesis of benzofuro[2,3-c]pyridines, benzothieno[2,3-c]pyridines, and isoquinolines, which otherwise require multistep synthesis.","container-title":"Angewandte Chemie International Edition","DOI":"10.1002/anie.201600840","ISSN":"1521-3773","issue":"27","language":"en","note":"_eprint: https://onlinelibrary.wiley.com/doi/pdf/10.1002/anie.201600840","page":"7737-7741","source":"Wiley Online Library","title":"One-Pot Trimetallic Relay Catalysis: A Unified Approach for the Synthesis of β-Carbolines and Other [c]-Fused Pyridines","title-short":"One-Pot Trimetallic Relay Catalysis","volume":"55","author":[{"family":"Dhiman","given":"Seema"},{"family":"Mishra","given":"Uttam K."},{"family":"Ramasastry","given":"S. S. V."}],"issued":{"date-parts":[["2016"]]}}}],"schema":"https://github.com/citation-style-language/schema/raw/master/csl-citation.json"} </w:instrText>
      </w:r>
      <w:r w:rsidRPr="007B7129">
        <w:fldChar w:fldCharType="separate"/>
      </w:r>
      <w:r w:rsidRPr="007B7129">
        <w:rPr>
          <w:rFonts w:cs="Times New Roman"/>
          <w:szCs w:val="24"/>
          <w:vertAlign w:val="superscript"/>
        </w:rPr>
        <w:t>105</w:t>
      </w:r>
      <w:r w:rsidRPr="007B7129">
        <w:fldChar w:fldCharType="end"/>
      </w:r>
    </w:p>
    <w:p w14:paraId="13B1BC71" w14:textId="77777777" w:rsidR="007B7129" w:rsidRPr="007B7129" w:rsidRDefault="007B7129" w:rsidP="007B7129">
      <w:pPr>
        <w:ind w:firstLine="720"/>
        <w:rPr>
          <w:rFonts w:cs="Times New Roman"/>
          <w:szCs w:val="24"/>
        </w:rPr>
      </w:pPr>
    </w:p>
    <w:p w14:paraId="249707EE" w14:textId="77777777" w:rsidR="007B7129" w:rsidRPr="007B7129" w:rsidRDefault="007B7129" w:rsidP="00595321">
      <w:pPr>
        <w:pStyle w:val="Section"/>
      </w:pPr>
      <w:bookmarkStart w:id="456" w:name="_Toc97337872"/>
      <w:bookmarkStart w:id="457" w:name="_Toc100241927"/>
      <w:bookmarkStart w:id="458" w:name="_Toc102586291"/>
      <w:r w:rsidRPr="007B7129">
        <w:t>3.7 References for Chapter 3</w:t>
      </w:r>
      <w:bookmarkEnd w:id="456"/>
      <w:bookmarkEnd w:id="457"/>
      <w:bookmarkEnd w:id="458"/>
    </w:p>
    <w:p w14:paraId="5117F6DF" w14:textId="77777777" w:rsidR="007B7129" w:rsidRPr="007B7129" w:rsidRDefault="007B7129" w:rsidP="007B7129">
      <w:pPr>
        <w:tabs>
          <w:tab w:val="left" w:pos="504"/>
        </w:tabs>
        <w:spacing w:after="0"/>
        <w:ind w:left="504" w:hanging="504"/>
      </w:pPr>
      <w:r w:rsidRPr="007B7129">
        <w:rPr>
          <w:rFonts w:asciiTheme="minorHAnsi" w:hAnsiTheme="minorHAnsi"/>
        </w:rPr>
        <w:fldChar w:fldCharType="begin"/>
      </w:r>
      <w:r w:rsidRPr="007B7129">
        <w:instrText xml:space="preserve"> ADDIN ZOTERO_BIBL {"uncited":[],"omitted":[],"custom":[]} CSL_BIBLIOGRAPHY </w:instrText>
      </w:r>
      <w:r w:rsidRPr="007B7129">
        <w:rPr>
          <w:rFonts w:asciiTheme="minorHAnsi" w:hAnsiTheme="minorHAnsi"/>
        </w:rPr>
        <w:fldChar w:fldCharType="separate"/>
      </w:r>
      <w:r w:rsidRPr="007B7129">
        <w:t xml:space="preserve">(1) </w:t>
      </w:r>
      <w:r w:rsidRPr="007B7129">
        <w:tab/>
        <w:t xml:space="preserve">Rushforth, K. D. </w:t>
      </w:r>
      <w:r w:rsidRPr="007B7129">
        <w:rPr>
          <w:i/>
          <w:iCs/>
        </w:rPr>
        <w:t>Collins Wildlife Trust Guide Trees: A Photographic Guide to the Trees of Britain and Europe</w:t>
      </w:r>
      <w:r w:rsidRPr="007B7129">
        <w:t>; Collins Wildlife Trust guides; HarperCollins: London, 1999.</w:t>
      </w:r>
    </w:p>
    <w:p w14:paraId="1F66B8CF" w14:textId="77777777" w:rsidR="007B7129" w:rsidRPr="007B7129" w:rsidRDefault="007B7129" w:rsidP="007B7129">
      <w:pPr>
        <w:tabs>
          <w:tab w:val="left" w:pos="504"/>
        </w:tabs>
        <w:spacing w:after="0"/>
        <w:ind w:left="504" w:hanging="504"/>
      </w:pPr>
      <w:r w:rsidRPr="007B7129">
        <w:t xml:space="preserve">(2) </w:t>
      </w:r>
      <w:r w:rsidRPr="007B7129">
        <w:tab/>
        <w:t xml:space="preserve">Wang, N.; Li, Z.-Y.; Zheng, X.-L.; Li, Q.; Yang, X.; Xu, H. Quality Assessment of Kumu Injection, a Traditional Chinese Medicine Preparation, Using HPLC Combined with Chemometric Methods and Qualitative and Quantitative Analysis of Multiple Alkaloids by Single Marker. </w:t>
      </w:r>
      <w:r w:rsidRPr="007B7129">
        <w:rPr>
          <w:i/>
          <w:iCs/>
        </w:rPr>
        <w:t>Molecules</w:t>
      </w:r>
      <w:r w:rsidRPr="007B7129">
        <w:t xml:space="preserve"> </w:t>
      </w:r>
      <w:r w:rsidRPr="007B7129">
        <w:rPr>
          <w:b/>
          <w:bCs/>
        </w:rPr>
        <w:t>2018</w:t>
      </w:r>
      <w:r w:rsidRPr="007B7129">
        <w:t xml:space="preserve">, </w:t>
      </w:r>
      <w:r w:rsidRPr="007B7129">
        <w:rPr>
          <w:i/>
          <w:iCs/>
        </w:rPr>
        <w:t>23</w:t>
      </w:r>
      <w:r w:rsidRPr="007B7129">
        <w:t xml:space="preserve"> (4), 856. https://doi.org/10.3390/molecules23040856.</w:t>
      </w:r>
    </w:p>
    <w:p w14:paraId="42CC90FA" w14:textId="77777777" w:rsidR="007B7129" w:rsidRPr="007B7129" w:rsidRDefault="007B7129" w:rsidP="007B7129">
      <w:pPr>
        <w:tabs>
          <w:tab w:val="left" w:pos="504"/>
        </w:tabs>
        <w:spacing w:after="0"/>
        <w:ind w:left="504" w:hanging="504"/>
      </w:pPr>
      <w:r w:rsidRPr="007B7129">
        <w:t xml:space="preserve">(3) </w:t>
      </w:r>
      <w:r w:rsidRPr="007B7129">
        <w:tab/>
        <w:t xml:space="preserve">de Sousa Falcão, H.; Leite, J. A.; Barbosa-Filho, J. M.; de Athayde-Filho, P. F.; de Oliveira Chaves, M. C.; Moura, M. D.; Ferreira, A. L.; de Almeida, A. B. A.; Souza-Brito, A. R. M.; de Fátima </w:t>
      </w:r>
      <w:proofErr w:type="spellStart"/>
      <w:r w:rsidRPr="007B7129">
        <w:t>Formiga</w:t>
      </w:r>
      <w:proofErr w:type="spellEnd"/>
      <w:r w:rsidRPr="007B7129">
        <w:t xml:space="preserve"> Melo Diniz, M.; Batista, L. M. Gastric and Duodenal Antiulcer Activity of Alkaloids: A Review. </w:t>
      </w:r>
      <w:r w:rsidRPr="007B7129">
        <w:rPr>
          <w:i/>
          <w:iCs/>
        </w:rPr>
        <w:t>Molecules</w:t>
      </w:r>
      <w:r w:rsidRPr="007B7129">
        <w:t xml:space="preserve"> </w:t>
      </w:r>
      <w:r w:rsidRPr="007B7129">
        <w:rPr>
          <w:b/>
          <w:bCs/>
        </w:rPr>
        <w:t>2008</w:t>
      </w:r>
      <w:r w:rsidRPr="007B7129">
        <w:t xml:space="preserve">, </w:t>
      </w:r>
      <w:r w:rsidRPr="007B7129">
        <w:rPr>
          <w:i/>
          <w:iCs/>
        </w:rPr>
        <w:t>13</w:t>
      </w:r>
      <w:r w:rsidRPr="007B7129">
        <w:t xml:space="preserve"> (12), 3198–3223. https://doi.org/10.3390/molecules13123198.</w:t>
      </w:r>
    </w:p>
    <w:p w14:paraId="3CE28E01" w14:textId="77777777" w:rsidR="007B7129" w:rsidRPr="007B7129" w:rsidRDefault="007B7129" w:rsidP="007B7129">
      <w:pPr>
        <w:tabs>
          <w:tab w:val="left" w:pos="504"/>
        </w:tabs>
        <w:spacing w:after="0"/>
        <w:ind w:left="504" w:hanging="504"/>
      </w:pPr>
      <w:r w:rsidRPr="007B7129">
        <w:t xml:space="preserve">(4) </w:t>
      </w:r>
      <w:r w:rsidRPr="007B7129">
        <w:tab/>
        <w:t xml:space="preserve">Jensen, O.; Nielsen, A. O.; Bjerregaard, P. Pediculosis Capitis Treated with Quassia Tincture. </w:t>
      </w:r>
      <w:r w:rsidRPr="007B7129">
        <w:rPr>
          <w:i/>
          <w:iCs/>
        </w:rPr>
        <w:t xml:space="preserve">Acta </w:t>
      </w:r>
      <w:proofErr w:type="spellStart"/>
      <w:r w:rsidRPr="007B7129">
        <w:rPr>
          <w:i/>
          <w:iCs/>
        </w:rPr>
        <w:t>Derm</w:t>
      </w:r>
      <w:proofErr w:type="spellEnd"/>
      <w:r w:rsidRPr="007B7129">
        <w:rPr>
          <w:i/>
          <w:iCs/>
        </w:rPr>
        <w:t xml:space="preserve"> </w:t>
      </w:r>
      <w:proofErr w:type="spellStart"/>
      <w:r w:rsidRPr="007B7129">
        <w:rPr>
          <w:i/>
          <w:iCs/>
        </w:rPr>
        <w:t>Venereol</w:t>
      </w:r>
      <w:proofErr w:type="spellEnd"/>
      <w:r w:rsidRPr="007B7129">
        <w:t xml:space="preserve"> </w:t>
      </w:r>
      <w:r w:rsidRPr="007B7129">
        <w:rPr>
          <w:b/>
          <w:bCs/>
        </w:rPr>
        <w:t>1978</w:t>
      </w:r>
      <w:r w:rsidRPr="007B7129">
        <w:t xml:space="preserve">, </w:t>
      </w:r>
      <w:r w:rsidRPr="007B7129">
        <w:rPr>
          <w:i/>
          <w:iCs/>
        </w:rPr>
        <w:t>58</w:t>
      </w:r>
      <w:r w:rsidRPr="007B7129">
        <w:t xml:space="preserve"> (6), 557–559.</w:t>
      </w:r>
    </w:p>
    <w:p w14:paraId="5A6E8544" w14:textId="77777777" w:rsidR="007B7129" w:rsidRPr="007B7129" w:rsidRDefault="007B7129" w:rsidP="007B7129">
      <w:pPr>
        <w:tabs>
          <w:tab w:val="left" w:pos="504"/>
        </w:tabs>
        <w:spacing w:after="0"/>
        <w:ind w:left="504" w:hanging="504"/>
      </w:pPr>
      <w:r w:rsidRPr="007B7129">
        <w:lastRenderedPageBreak/>
        <w:t xml:space="preserve">(5) </w:t>
      </w:r>
      <w:r w:rsidRPr="007B7129">
        <w:tab/>
        <w:t xml:space="preserve">Mohd Jamil, M. D. H.; Taher, M.; </w:t>
      </w:r>
      <w:proofErr w:type="spellStart"/>
      <w:r w:rsidRPr="007B7129">
        <w:t>Susanti</w:t>
      </w:r>
      <w:proofErr w:type="spellEnd"/>
      <w:r w:rsidRPr="007B7129">
        <w:t xml:space="preserve">, D.; Rahman, M. A.; Zakaria, Z. A. Phytochemistry, Traditional Use and Pharmacological Activity of Picrasma </w:t>
      </w:r>
      <w:proofErr w:type="spellStart"/>
      <w:r w:rsidRPr="007B7129">
        <w:t>Quassioides</w:t>
      </w:r>
      <w:proofErr w:type="spellEnd"/>
      <w:r w:rsidRPr="007B7129">
        <w:t xml:space="preserve">: A Critical Reviews. </w:t>
      </w:r>
      <w:r w:rsidRPr="007B7129">
        <w:rPr>
          <w:i/>
          <w:iCs/>
        </w:rPr>
        <w:t>Nutrients</w:t>
      </w:r>
      <w:r w:rsidRPr="007B7129">
        <w:t xml:space="preserve"> </w:t>
      </w:r>
      <w:r w:rsidRPr="007B7129">
        <w:rPr>
          <w:b/>
          <w:bCs/>
        </w:rPr>
        <w:t>2020</w:t>
      </w:r>
      <w:r w:rsidRPr="007B7129">
        <w:t xml:space="preserve">, </w:t>
      </w:r>
      <w:r w:rsidRPr="007B7129">
        <w:rPr>
          <w:i/>
          <w:iCs/>
        </w:rPr>
        <w:t>12</w:t>
      </w:r>
      <w:r w:rsidRPr="007B7129">
        <w:t xml:space="preserve"> (9), 2584. https://doi.org/10.3390/nu12092584.</w:t>
      </w:r>
    </w:p>
    <w:p w14:paraId="5CFB77CA" w14:textId="77777777" w:rsidR="007B7129" w:rsidRPr="007B7129" w:rsidRDefault="007B7129" w:rsidP="007B7129">
      <w:pPr>
        <w:tabs>
          <w:tab w:val="left" w:pos="504"/>
        </w:tabs>
        <w:spacing w:after="0"/>
        <w:ind w:left="504" w:hanging="504"/>
      </w:pPr>
      <w:r w:rsidRPr="007B7129">
        <w:t xml:space="preserve">(6) </w:t>
      </w:r>
      <w:r w:rsidRPr="007B7129">
        <w:tab/>
        <w:t xml:space="preserve">Zhao, S.; Kanno, Y.; Li, W.; Sasaki, T.; Zhang, X.; Wang, J.; Cheng, M.; Koike, K.; Nemoto, K.; Li, H. Identification of Picrasidine C as a Subtype-Selective PPARα Agonist. </w:t>
      </w:r>
      <w:r w:rsidRPr="007B7129">
        <w:rPr>
          <w:i/>
          <w:iCs/>
        </w:rPr>
        <w:t>J. Nat. Prod.</w:t>
      </w:r>
      <w:r w:rsidRPr="007B7129">
        <w:t xml:space="preserve"> </w:t>
      </w:r>
      <w:r w:rsidRPr="007B7129">
        <w:rPr>
          <w:b/>
          <w:bCs/>
        </w:rPr>
        <w:t>2016</w:t>
      </w:r>
      <w:r w:rsidRPr="007B7129">
        <w:t xml:space="preserve">, </w:t>
      </w:r>
      <w:r w:rsidRPr="007B7129">
        <w:rPr>
          <w:i/>
          <w:iCs/>
        </w:rPr>
        <w:t>79</w:t>
      </w:r>
      <w:r w:rsidRPr="007B7129">
        <w:t xml:space="preserve"> (12), 3127–3133. https://doi.org/10.1021/acs.jnatprod.6b00883.</w:t>
      </w:r>
    </w:p>
    <w:p w14:paraId="362F646A" w14:textId="77777777" w:rsidR="007B7129" w:rsidRPr="007B7129" w:rsidRDefault="007B7129" w:rsidP="007B7129">
      <w:pPr>
        <w:tabs>
          <w:tab w:val="left" w:pos="504"/>
        </w:tabs>
        <w:spacing w:after="0"/>
        <w:ind w:left="504" w:hanging="504"/>
      </w:pPr>
      <w:r w:rsidRPr="007B7129">
        <w:t xml:space="preserve">(7) </w:t>
      </w:r>
      <w:r w:rsidRPr="007B7129">
        <w:tab/>
        <w:t xml:space="preserve">Koike, K.; Ohmoto, T. Studies on the Alkaloids from Picrasma </w:t>
      </w:r>
      <w:proofErr w:type="spellStart"/>
      <w:r w:rsidRPr="007B7129">
        <w:t>Quassioides</w:t>
      </w:r>
      <w:proofErr w:type="spellEnd"/>
      <w:r w:rsidRPr="007B7129">
        <w:t xml:space="preserve"> BENNET.VII</w:t>
      </w:r>
      <w:proofErr w:type="gramStart"/>
      <w:r w:rsidRPr="007B7129">
        <w:t>. :</w:t>
      </w:r>
      <w:proofErr w:type="gramEnd"/>
      <w:r w:rsidRPr="007B7129">
        <w:t xml:space="preserve"> Structures of β-Carboline Dimer Alkaloids, Picrasidines-H and -R. </w:t>
      </w:r>
      <w:r w:rsidRPr="007B7129">
        <w:rPr>
          <w:i/>
          <w:iCs/>
        </w:rPr>
        <w:t>Chemical &amp; Pharmaceutical Bulletin</w:t>
      </w:r>
      <w:r w:rsidRPr="007B7129">
        <w:t xml:space="preserve"> </w:t>
      </w:r>
      <w:r w:rsidRPr="007B7129">
        <w:rPr>
          <w:b/>
          <w:bCs/>
        </w:rPr>
        <w:t>1986</w:t>
      </w:r>
      <w:r w:rsidRPr="007B7129">
        <w:t xml:space="preserve">, </w:t>
      </w:r>
      <w:r w:rsidRPr="007B7129">
        <w:rPr>
          <w:i/>
          <w:iCs/>
        </w:rPr>
        <w:t>34</w:t>
      </w:r>
      <w:r w:rsidRPr="007B7129">
        <w:t xml:space="preserve"> (5), 2090–2093. https://doi.org/10.1248/cpb.34.2090.</w:t>
      </w:r>
    </w:p>
    <w:p w14:paraId="532BFCCA" w14:textId="77777777" w:rsidR="007B7129" w:rsidRPr="007B7129" w:rsidRDefault="007B7129" w:rsidP="007B7129">
      <w:pPr>
        <w:tabs>
          <w:tab w:val="left" w:pos="504"/>
        </w:tabs>
        <w:spacing w:after="0"/>
        <w:ind w:left="504" w:hanging="504"/>
      </w:pPr>
      <w:r w:rsidRPr="007B7129">
        <w:t xml:space="preserve">(8) </w:t>
      </w:r>
      <w:r w:rsidRPr="007B7129">
        <w:tab/>
        <w:t xml:space="preserve">Jiao, W.-H.; Gao, H.; Li, C.-Y.; Zhao, F.; Jiang, R.-W.; Wang, Y.; Zhou, G.-X.; Yao, X.-S. Quassidines A−D, Bis-β-Carboline Alkaloids from the Stems of Picrasma </w:t>
      </w:r>
      <w:proofErr w:type="spellStart"/>
      <w:r w:rsidRPr="007B7129">
        <w:t>Quassioides</w:t>
      </w:r>
      <w:proofErr w:type="spellEnd"/>
      <w:r w:rsidRPr="007B7129">
        <w:t xml:space="preserve">. </w:t>
      </w:r>
      <w:r w:rsidRPr="007B7129">
        <w:rPr>
          <w:i/>
          <w:iCs/>
        </w:rPr>
        <w:t>J. Nat. Prod.</w:t>
      </w:r>
      <w:r w:rsidRPr="007B7129">
        <w:t xml:space="preserve"> </w:t>
      </w:r>
      <w:r w:rsidRPr="007B7129">
        <w:rPr>
          <w:b/>
          <w:bCs/>
        </w:rPr>
        <w:t>2010</w:t>
      </w:r>
      <w:r w:rsidRPr="007B7129">
        <w:t xml:space="preserve">, </w:t>
      </w:r>
      <w:r w:rsidRPr="007B7129">
        <w:rPr>
          <w:i/>
          <w:iCs/>
        </w:rPr>
        <w:t>73</w:t>
      </w:r>
      <w:r w:rsidRPr="007B7129">
        <w:t xml:space="preserve"> (2), 167–171. https://doi.org/10.1021/np900538r.</w:t>
      </w:r>
    </w:p>
    <w:p w14:paraId="598DB9C2" w14:textId="77777777" w:rsidR="007B7129" w:rsidRPr="007B7129" w:rsidRDefault="007B7129" w:rsidP="007B7129">
      <w:pPr>
        <w:tabs>
          <w:tab w:val="left" w:pos="504"/>
        </w:tabs>
        <w:spacing w:after="0"/>
        <w:ind w:left="504" w:hanging="504"/>
      </w:pPr>
      <w:r w:rsidRPr="007B7129">
        <w:t xml:space="preserve">(9) </w:t>
      </w:r>
      <w:r w:rsidRPr="007B7129">
        <w:tab/>
        <w:t>Guo-</w:t>
      </w:r>
      <w:proofErr w:type="spellStart"/>
      <w:r w:rsidRPr="007B7129">
        <w:t>hua</w:t>
      </w:r>
      <w:proofErr w:type="spellEnd"/>
      <w:r w:rsidRPr="007B7129">
        <w:t>, S.; Wei-</w:t>
      </w:r>
      <w:proofErr w:type="spellStart"/>
      <w:r w:rsidRPr="007B7129">
        <w:t>hua</w:t>
      </w:r>
      <w:proofErr w:type="spellEnd"/>
      <w:r w:rsidRPr="007B7129">
        <w:t xml:space="preserve">, J.; Fan, Y.; Hou-wen, L. Three Bis-β-Carboline Alkaloids from Picrasma </w:t>
      </w:r>
      <w:proofErr w:type="spellStart"/>
      <w:r w:rsidRPr="007B7129">
        <w:t>Quassioides</w:t>
      </w:r>
      <w:proofErr w:type="spellEnd"/>
      <w:r w:rsidRPr="007B7129">
        <w:t xml:space="preserve"> and Their Bioactivities. </w:t>
      </w:r>
      <w:r w:rsidRPr="007B7129">
        <w:rPr>
          <w:i/>
          <w:iCs/>
        </w:rPr>
        <w:t>Chinese Traditional and Herbal Drugs</w:t>
      </w:r>
      <w:r w:rsidRPr="007B7129">
        <w:t xml:space="preserve"> </w:t>
      </w:r>
      <w:r w:rsidRPr="007B7129">
        <w:rPr>
          <w:b/>
          <w:bCs/>
        </w:rPr>
        <w:t>2015</w:t>
      </w:r>
      <w:r w:rsidRPr="007B7129">
        <w:t xml:space="preserve">, </w:t>
      </w:r>
      <w:r w:rsidRPr="007B7129">
        <w:rPr>
          <w:i/>
          <w:iCs/>
        </w:rPr>
        <w:t>46</w:t>
      </w:r>
      <w:r w:rsidRPr="007B7129">
        <w:t xml:space="preserve"> (6), 803–807. https://doi.org/10.7501/j.issn.0253-2670.2015.06.004.</w:t>
      </w:r>
    </w:p>
    <w:p w14:paraId="2D1C224B" w14:textId="77777777" w:rsidR="007B7129" w:rsidRPr="007B7129" w:rsidRDefault="007B7129" w:rsidP="007B7129">
      <w:pPr>
        <w:tabs>
          <w:tab w:val="left" w:pos="504"/>
        </w:tabs>
        <w:spacing w:after="0"/>
        <w:ind w:left="504" w:hanging="504"/>
      </w:pPr>
      <w:r w:rsidRPr="007B7129">
        <w:t xml:space="preserve">(10) </w:t>
      </w:r>
      <w:r w:rsidRPr="007B7129">
        <w:tab/>
        <w:t xml:space="preserve">Yamashita, N.; Kondo, M.; Zhao, S.; Li, W.; Koike, K.; Nemoto, K.; Kanno, Y. Picrasidine G Decreases Viability of MDA-MB 468 EGFR-Overexpressing Triple-Negative Breast Cancer Cells through Inhibition of EGFR/STAT3 Signaling Pathway. </w:t>
      </w:r>
      <w:r w:rsidRPr="007B7129">
        <w:rPr>
          <w:i/>
          <w:iCs/>
        </w:rPr>
        <w:t>Bioorganic &amp; Medicinal Chemistry Letters</w:t>
      </w:r>
      <w:r w:rsidRPr="007B7129">
        <w:t xml:space="preserve"> </w:t>
      </w:r>
      <w:r w:rsidRPr="007B7129">
        <w:rPr>
          <w:b/>
          <w:bCs/>
        </w:rPr>
        <w:t>2017</w:t>
      </w:r>
      <w:r w:rsidRPr="007B7129">
        <w:t xml:space="preserve">, </w:t>
      </w:r>
      <w:r w:rsidRPr="007B7129">
        <w:rPr>
          <w:i/>
          <w:iCs/>
        </w:rPr>
        <w:t>27</w:t>
      </w:r>
      <w:r w:rsidRPr="007B7129">
        <w:t xml:space="preserve"> (11), 2608–2612. https://doi.org/10.1016/j.bmcl.2017.03.061.</w:t>
      </w:r>
    </w:p>
    <w:p w14:paraId="2B5C506B" w14:textId="77777777" w:rsidR="007B7129" w:rsidRPr="007B7129" w:rsidRDefault="007B7129" w:rsidP="007B7129">
      <w:pPr>
        <w:tabs>
          <w:tab w:val="left" w:pos="504"/>
        </w:tabs>
        <w:spacing w:after="0"/>
        <w:ind w:left="504" w:hanging="504"/>
      </w:pPr>
      <w:r w:rsidRPr="007B7129">
        <w:t xml:space="preserve">(11) </w:t>
      </w:r>
      <w:r w:rsidRPr="007B7129">
        <w:tab/>
        <w:t xml:space="preserve">Higuchi, T.; Ohmoto, T.; Koike, K. Picrasidine-T, a Dimeric β-Carboline Alkaloid from Picrasma </w:t>
      </w:r>
      <w:proofErr w:type="spellStart"/>
      <w:r w:rsidRPr="007B7129">
        <w:t>Quassioides</w:t>
      </w:r>
      <w:proofErr w:type="spellEnd"/>
      <w:r w:rsidRPr="007B7129">
        <w:t xml:space="preserve">. </w:t>
      </w:r>
      <w:r w:rsidRPr="007B7129">
        <w:rPr>
          <w:i/>
          <w:iCs/>
        </w:rPr>
        <w:t>Phytochemistry</w:t>
      </w:r>
      <w:r w:rsidRPr="007B7129">
        <w:t xml:space="preserve"> </w:t>
      </w:r>
      <w:r w:rsidRPr="007B7129">
        <w:rPr>
          <w:b/>
          <w:bCs/>
        </w:rPr>
        <w:t>1987</w:t>
      </w:r>
      <w:r w:rsidRPr="007B7129">
        <w:t xml:space="preserve">, </w:t>
      </w:r>
      <w:r w:rsidRPr="007B7129">
        <w:rPr>
          <w:i/>
          <w:iCs/>
        </w:rPr>
        <w:t>26</w:t>
      </w:r>
      <w:r w:rsidRPr="007B7129">
        <w:t>, 3375–3377.</w:t>
      </w:r>
    </w:p>
    <w:p w14:paraId="0F85E30E" w14:textId="77777777" w:rsidR="007B7129" w:rsidRPr="007B7129" w:rsidRDefault="007B7129" w:rsidP="007B7129">
      <w:pPr>
        <w:tabs>
          <w:tab w:val="left" w:pos="504"/>
        </w:tabs>
        <w:spacing w:after="0"/>
        <w:ind w:left="504" w:hanging="504"/>
      </w:pPr>
      <w:r w:rsidRPr="007B7129">
        <w:lastRenderedPageBreak/>
        <w:t xml:space="preserve">(12) </w:t>
      </w:r>
      <w:r w:rsidRPr="007B7129">
        <w:tab/>
        <w:t xml:space="preserve">Jiao, W.-H.; Chen, G.-D.; Gao, H.; Li, J.; Gu, B.-B.; Xu, T.-T.; Yu, H.-B.; Shi, G.-H.; Yang, F.; Yao, X.-S.; Lin, H.-W. (±)-Quassidines I and J, Two Pairs of Cytotoxic Bis-β-Carboline Alkaloid Enantiomers from </w:t>
      </w:r>
      <w:r w:rsidRPr="007B7129">
        <w:rPr>
          <w:i/>
          <w:iCs/>
        </w:rPr>
        <w:t xml:space="preserve">Picrasma </w:t>
      </w:r>
      <w:proofErr w:type="spellStart"/>
      <w:r w:rsidRPr="007B7129">
        <w:rPr>
          <w:i/>
          <w:iCs/>
        </w:rPr>
        <w:t>Quassioides</w:t>
      </w:r>
      <w:proofErr w:type="spellEnd"/>
      <w:r w:rsidRPr="007B7129">
        <w:t xml:space="preserve">. </w:t>
      </w:r>
      <w:r w:rsidRPr="007B7129">
        <w:rPr>
          <w:i/>
          <w:iCs/>
        </w:rPr>
        <w:t>J. Nat. Prod.</w:t>
      </w:r>
      <w:r w:rsidRPr="007B7129">
        <w:t xml:space="preserve"> </w:t>
      </w:r>
      <w:r w:rsidRPr="007B7129">
        <w:rPr>
          <w:b/>
          <w:bCs/>
        </w:rPr>
        <w:t>2015</w:t>
      </w:r>
      <w:r w:rsidRPr="007B7129">
        <w:t xml:space="preserve">, </w:t>
      </w:r>
      <w:r w:rsidRPr="007B7129">
        <w:rPr>
          <w:i/>
          <w:iCs/>
        </w:rPr>
        <w:t>78</w:t>
      </w:r>
      <w:r w:rsidRPr="007B7129">
        <w:t xml:space="preserve"> (1), 125–130. https://doi.org/10.1021/np500801s.</w:t>
      </w:r>
    </w:p>
    <w:p w14:paraId="1E643CD2" w14:textId="77777777" w:rsidR="007B7129" w:rsidRPr="007B7129" w:rsidRDefault="007B7129" w:rsidP="007B7129">
      <w:pPr>
        <w:tabs>
          <w:tab w:val="left" w:pos="504"/>
        </w:tabs>
        <w:spacing w:after="0"/>
        <w:ind w:left="504" w:hanging="504"/>
      </w:pPr>
      <w:r w:rsidRPr="007B7129">
        <w:t xml:space="preserve">(13) </w:t>
      </w:r>
      <w:r w:rsidRPr="007B7129">
        <w:tab/>
        <w:t xml:space="preserve">Zhang, J.; Zhao, S.-S.; Xie, J.; Yang, J.; Chen, G.-D.; Hu, D.; Zhang, W.-G.; Wang, C.-X.; Yao, X.-S.; Gao, H. N-Methoxy-β-Carboline Alkaloids with Inhibitory Activities against Aβ42 Aggregation and Acetylcholinesterase from the Stems of Picrasma </w:t>
      </w:r>
      <w:proofErr w:type="spellStart"/>
      <w:r w:rsidRPr="007B7129">
        <w:t>Quassioides</w:t>
      </w:r>
      <w:proofErr w:type="spellEnd"/>
      <w:r w:rsidRPr="007B7129">
        <w:t xml:space="preserve">. </w:t>
      </w:r>
      <w:r w:rsidRPr="007B7129">
        <w:rPr>
          <w:i/>
          <w:iCs/>
        </w:rPr>
        <w:t>Bioorganic Chemistry</w:t>
      </w:r>
      <w:r w:rsidRPr="007B7129">
        <w:t xml:space="preserve"> </w:t>
      </w:r>
      <w:r w:rsidRPr="007B7129">
        <w:rPr>
          <w:b/>
          <w:bCs/>
        </w:rPr>
        <w:t>2020</w:t>
      </w:r>
      <w:r w:rsidRPr="007B7129">
        <w:t xml:space="preserve">, </w:t>
      </w:r>
      <w:r w:rsidRPr="007B7129">
        <w:rPr>
          <w:i/>
          <w:iCs/>
        </w:rPr>
        <w:t>101</w:t>
      </w:r>
      <w:r w:rsidRPr="007B7129">
        <w:t>, 104043. https://doi.org/10.1016/j.bioorg.2020.104043.</w:t>
      </w:r>
    </w:p>
    <w:p w14:paraId="067E08A1" w14:textId="77777777" w:rsidR="007B7129" w:rsidRPr="007B7129" w:rsidRDefault="007B7129" w:rsidP="007B7129">
      <w:pPr>
        <w:tabs>
          <w:tab w:val="left" w:pos="504"/>
        </w:tabs>
        <w:spacing w:after="0"/>
        <w:ind w:left="504" w:hanging="504"/>
      </w:pPr>
      <w:r w:rsidRPr="007B7129">
        <w:t xml:space="preserve">(14) </w:t>
      </w:r>
      <w:r w:rsidRPr="007B7129">
        <w:tab/>
        <w:t xml:space="preserve">Ohmoto, T.; Koike, K. Studies on the Alkaloids from Picrasma </w:t>
      </w:r>
      <w:proofErr w:type="spellStart"/>
      <w:r w:rsidRPr="007B7129">
        <w:t>Quassioides</w:t>
      </w:r>
      <w:proofErr w:type="spellEnd"/>
      <w:r w:rsidRPr="007B7129">
        <w:t xml:space="preserve"> BENNET. V. Structures of Picrasidines L, M, and P. </w:t>
      </w:r>
      <w:r w:rsidRPr="007B7129">
        <w:rPr>
          <w:i/>
          <w:iCs/>
        </w:rPr>
        <w:t>Chem. Pharm. Bull.</w:t>
      </w:r>
      <w:r w:rsidRPr="007B7129">
        <w:t xml:space="preserve"> </w:t>
      </w:r>
      <w:r w:rsidRPr="007B7129">
        <w:rPr>
          <w:b/>
          <w:bCs/>
        </w:rPr>
        <w:t>1985</w:t>
      </w:r>
      <w:r w:rsidRPr="007B7129">
        <w:t xml:space="preserve">, </w:t>
      </w:r>
      <w:r w:rsidRPr="007B7129">
        <w:rPr>
          <w:i/>
          <w:iCs/>
        </w:rPr>
        <w:t>33</w:t>
      </w:r>
      <w:r w:rsidRPr="007B7129">
        <w:t xml:space="preserve"> (9), 3847–3851. https://doi.org/10.1248/cpb.33.3847.</w:t>
      </w:r>
    </w:p>
    <w:p w14:paraId="2C1DAEC7" w14:textId="77777777" w:rsidR="007B7129" w:rsidRPr="007B7129" w:rsidRDefault="007B7129" w:rsidP="007B7129">
      <w:pPr>
        <w:tabs>
          <w:tab w:val="left" w:pos="504"/>
        </w:tabs>
        <w:spacing w:after="0"/>
        <w:ind w:left="504" w:hanging="504"/>
      </w:pPr>
      <w:r w:rsidRPr="007B7129">
        <w:t xml:space="preserve">(15) </w:t>
      </w:r>
      <w:r w:rsidRPr="007B7129">
        <w:tab/>
        <w:t xml:space="preserve">Zhao, S.; Kanno, Y.; Li, W.; </w:t>
      </w:r>
      <w:proofErr w:type="spellStart"/>
      <w:r w:rsidRPr="007B7129">
        <w:t>Wakatabi</w:t>
      </w:r>
      <w:proofErr w:type="spellEnd"/>
      <w:r w:rsidRPr="007B7129">
        <w:t xml:space="preserve">, H.; Sasaki, T.; Koike, K.; Nemoto, K.; Li, H. Picrasidine N Is a Subtype-Selective PPARβ/δ Agonist. </w:t>
      </w:r>
      <w:r w:rsidRPr="007B7129">
        <w:rPr>
          <w:i/>
          <w:iCs/>
        </w:rPr>
        <w:t>J. Nat. Prod.</w:t>
      </w:r>
      <w:r w:rsidRPr="007B7129">
        <w:t xml:space="preserve"> </w:t>
      </w:r>
      <w:r w:rsidRPr="007B7129">
        <w:rPr>
          <w:b/>
          <w:bCs/>
        </w:rPr>
        <w:t>2016</w:t>
      </w:r>
      <w:r w:rsidRPr="007B7129">
        <w:t xml:space="preserve">, </w:t>
      </w:r>
      <w:r w:rsidRPr="007B7129">
        <w:rPr>
          <w:i/>
          <w:iCs/>
        </w:rPr>
        <w:t>79</w:t>
      </w:r>
      <w:r w:rsidRPr="007B7129">
        <w:t xml:space="preserve"> (4), 879–885. https://doi.org/10.1021/acs.jnatprod.5b00909.</w:t>
      </w:r>
    </w:p>
    <w:p w14:paraId="09C6DB2B" w14:textId="77777777" w:rsidR="007B7129" w:rsidRPr="007B7129" w:rsidRDefault="007B7129" w:rsidP="007B7129">
      <w:pPr>
        <w:tabs>
          <w:tab w:val="left" w:pos="504"/>
        </w:tabs>
        <w:spacing w:after="0"/>
        <w:ind w:left="504" w:hanging="504"/>
      </w:pPr>
      <w:r w:rsidRPr="007B7129">
        <w:t xml:space="preserve">(16) </w:t>
      </w:r>
      <w:r w:rsidRPr="007B7129">
        <w:tab/>
        <w:t xml:space="preserve">Zhao, W.-Y.; Song, X.-Y.; Zhao, L.; Zou, C.-X.; Zhou, W.-Y.; Lin, B.; Yao, G.-D.; Huang, X.-X.; Song, S.-J. </w:t>
      </w:r>
      <w:proofErr w:type="spellStart"/>
      <w:r w:rsidRPr="007B7129">
        <w:t>Quassinoids</w:t>
      </w:r>
      <w:proofErr w:type="spellEnd"/>
      <w:r w:rsidRPr="007B7129">
        <w:t xml:space="preserve"> from Picrasma </w:t>
      </w:r>
      <w:proofErr w:type="spellStart"/>
      <w:r w:rsidRPr="007B7129">
        <w:t>Quassioides</w:t>
      </w:r>
      <w:proofErr w:type="spellEnd"/>
      <w:r w:rsidRPr="007B7129">
        <w:t xml:space="preserve"> and Their Neuroprotective Effects. </w:t>
      </w:r>
      <w:r w:rsidRPr="007B7129">
        <w:rPr>
          <w:i/>
          <w:iCs/>
        </w:rPr>
        <w:t>J. Nat. Prod.</w:t>
      </w:r>
      <w:r w:rsidRPr="007B7129">
        <w:t xml:space="preserve"> </w:t>
      </w:r>
      <w:r w:rsidRPr="007B7129">
        <w:rPr>
          <w:b/>
          <w:bCs/>
        </w:rPr>
        <w:t>2019</w:t>
      </w:r>
      <w:r w:rsidRPr="007B7129">
        <w:t xml:space="preserve">, </w:t>
      </w:r>
      <w:r w:rsidRPr="007B7129">
        <w:rPr>
          <w:i/>
          <w:iCs/>
        </w:rPr>
        <w:t>82</w:t>
      </w:r>
      <w:r w:rsidRPr="007B7129">
        <w:t xml:space="preserve"> (4), 714–723. https://doi.org/10.1021/acs.jnatprod.8b00470.</w:t>
      </w:r>
    </w:p>
    <w:p w14:paraId="2CD2B00D" w14:textId="77777777" w:rsidR="007B7129" w:rsidRPr="007B7129" w:rsidRDefault="007B7129" w:rsidP="007B7129">
      <w:pPr>
        <w:tabs>
          <w:tab w:val="left" w:pos="504"/>
        </w:tabs>
        <w:spacing w:after="0"/>
        <w:ind w:left="504" w:hanging="504"/>
      </w:pPr>
      <w:r w:rsidRPr="007B7129">
        <w:t xml:space="preserve">(17) </w:t>
      </w:r>
      <w:r w:rsidRPr="007B7129">
        <w:tab/>
        <w:t xml:space="preserve">Ohmoto, T.; Koike, K. Studies on the Constituents of Picrasma </w:t>
      </w:r>
      <w:proofErr w:type="spellStart"/>
      <w:r w:rsidRPr="007B7129">
        <w:t>Quassioides</w:t>
      </w:r>
      <w:proofErr w:type="spellEnd"/>
      <w:r w:rsidRPr="007B7129">
        <w:t xml:space="preserve"> BENNET. I. On the Alkaloidal Constituents. </w:t>
      </w:r>
      <w:r w:rsidRPr="007B7129">
        <w:rPr>
          <w:i/>
          <w:iCs/>
        </w:rPr>
        <w:t>Chemical &amp; Pharmaceutical Bulletin</w:t>
      </w:r>
      <w:r w:rsidRPr="007B7129">
        <w:t xml:space="preserve"> </w:t>
      </w:r>
      <w:r w:rsidRPr="007B7129">
        <w:rPr>
          <w:b/>
          <w:bCs/>
        </w:rPr>
        <w:t>1982</w:t>
      </w:r>
      <w:r w:rsidRPr="007B7129">
        <w:t xml:space="preserve">, </w:t>
      </w:r>
      <w:r w:rsidRPr="007B7129">
        <w:rPr>
          <w:i/>
          <w:iCs/>
        </w:rPr>
        <w:t>30</w:t>
      </w:r>
      <w:r w:rsidRPr="007B7129">
        <w:t xml:space="preserve"> (4), 1204–1209. https://doi.org/10.1248/cpb.30.1204.</w:t>
      </w:r>
    </w:p>
    <w:p w14:paraId="29B8BBBD" w14:textId="77777777" w:rsidR="007B7129" w:rsidRPr="007B7129" w:rsidRDefault="007B7129" w:rsidP="007B7129">
      <w:pPr>
        <w:tabs>
          <w:tab w:val="left" w:pos="504"/>
        </w:tabs>
        <w:spacing w:after="0"/>
        <w:ind w:left="504" w:hanging="504"/>
      </w:pPr>
      <w:r w:rsidRPr="007B7129">
        <w:t xml:space="preserve">(18) </w:t>
      </w:r>
      <w:r w:rsidRPr="007B7129">
        <w:tab/>
        <w:t xml:space="preserve">Jiang, M.-X.; Zhou, Y.-J. Canthin-6-One Alkaloids from Picrasma </w:t>
      </w:r>
      <w:proofErr w:type="spellStart"/>
      <w:r w:rsidRPr="007B7129">
        <w:t>Quassioides</w:t>
      </w:r>
      <w:proofErr w:type="spellEnd"/>
      <w:r w:rsidRPr="007B7129">
        <w:t xml:space="preserve"> and Their Cytotoxic Activity. </w:t>
      </w:r>
      <w:r w:rsidRPr="007B7129">
        <w:rPr>
          <w:i/>
          <w:iCs/>
        </w:rPr>
        <w:t>J Asian Nat Prod Res</w:t>
      </w:r>
      <w:r w:rsidRPr="007B7129">
        <w:t xml:space="preserve"> </w:t>
      </w:r>
      <w:r w:rsidRPr="007B7129">
        <w:rPr>
          <w:b/>
          <w:bCs/>
        </w:rPr>
        <w:t>2008</w:t>
      </w:r>
      <w:r w:rsidRPr="007B7129">
        <w:t xml:space="preserve">, </w:t>
      </w:r>
      <w:r w:rsidRPr="007B7129">
        <w:rPr>
          <w:i/>
          <w:iCs/>
        </w:rPr>
        <w:t>10</w:t>
      </w:r>
      <w:r w:rsidRPr="007B7129">
        <w:t xml:space="preserve"> (11–12), 1009–1012. https://doi.org/10.1080/10286020802277956.</w:t>
      </w:r>
    </w:p>
    <w:p w14:paraId="2F071369" w14:textId="77777777" w:rsidR="007B7129" w:rsidRPr="007B7129" w:rsidRDefault="007B7129" w:rsidP="007B7129">
      <w:pPr>
        <w:tabs>
          <w:tab w:val="left" w:pos="504"/>
        </w:tabs>
        <w:spacing w:after="0"/>
        <w:ind w:left="504" w:hanging="504"/>
      </w:pPr>
      <w:r w:rsidRPr="007B7129">
        <w:lastRenderedPageBreak/>
        <w:t xml:space="preserve">(19) </w:t>
      </w:r>
      <w:r w:rsidRPr="007B7129">
        <w:tab/>
        <w:t xml:space="preserve">Sung, Y.; Koike, K.; Nikaido, T.; Ohmoto, T.; </w:t>
      </w:r>
      <w:proofErr w:type="spellStart"/>
      <w:r w:rsidRPr="007B7129">
        <w:t>Sankawa</w:t>
      </w:r>
      <w:proofErr w:type="spellEnd"/>
      <w:r w:rsidRPr="007B7129">
        <w:t xml:space="preserve">, U. Inhibitors of Cyclic AMP Phosphodiesterase in Picrasma </w:t>
      </w:r>
      <w:proofErr w:type="spellStart"/>
      <w:r w:rsidRPr="007B7129">
        <w:t>Quassioides</w:t>
      </w:r>
      <w:proofErr w:type="spellEnd"/>
      <w:r w:rsidRPr="007B7129">
        <w:t xml:space="preserve"> Bennet, and Inhibitory Activities of Related Beta-Carboline Alkaloids. </w:t>
      </w:r>
      <w:r w:rsidRPr="007B7129">
        <w:rPr>
          <w:i/>
          <w:iCs/>
        </w:rPr>
        <w:t>Chem Pharm Bull (Tokyo)</w:t>
      </w:r>
      <w:r w:rsidRPr="007B7129">
        <w:t xml:space="preserve"> </w:t>
      </w:r>
      <w:r w:rsidRPr="007B7129">
        <w:rPr>
          <w:b/>
          <w:bCs/>
        </w:rPr>
        <w:t>1984</w:t>
      </w:r>
      <w:r w:rsidRPr="007B7129">
        <w:t xml:space="preserve">, </w:t>
      </w:r>
      <w:r w:rsidRPr="007B7129">
        <w:rPr>
          <w:i/>
          <w:iCs/>
        </w:rPr>
        <w:t>32</w:t>
      </w:r>
      <w:r w:rsidRPr="007B7129">
        <w:t xml:space="preserve"> (5), 1872–1877. https://doi.org/10.1248/cpb.32.1872.</w:t>
      </w:r>
    </w:p>
    <w:p w14:paraId="3D805D24" w14:textId="77777777" w:rsidR="007B7129" w:rsidRPr="007B7129" w:rsidRDefault="007B7129" w:rsidP="007B7129">
      <w:pPr>
        <w:tabs>
          <w:tab w:val="left" w:pos="504"/>
        </w:tabs>
        <w:spacing w:after="0"/>
        <w:ind w:left="504" w:hanging="504"/>
      </w:pPr>
      <w:r w:rsidRPr="007B7129">
        <w:t xml:space="preserve">(20) </w:t>
      </w:r>
      <w:r w:rsidRPr="007B7129">
        <w:tab/>
        <w:t xml:space="preserve">Villarroel-Vicente, C.; Gutiérrez-Palomo, S.; Ferri, J.; Cortes, D.; Cabedo, N. Natural Products and Analogs as Preventive Agents for Metabolic Syndrome via Peroxisome Proliferator-Activated Receptors: An Overview. </w:t>
      </w:r>
      <w:r w:rsidRPr="007B7129">
        <w:rPr>
          <w:i/>
          <w:iCs/>
        </w:rPr>
        <w:t>European Journal of Medicinal Chemistry</w:t>
      </w:r>
      <w:r w:rsidRPr="007B7129">
        <w:t xml:space="preserve"> </w:t>
      </w:r>
      <w:r w:rsidRPr="007B7129">
        <w:rPr>
          <w:b/>
          <w:bCs/>
        </w:rPr>
        <w:t>2021</w:t>
      </w:r>
      <w:r w:rsidRPr="007B7129">
        <w:t xml:space="preserve">, </w:t>
      </w:r>
      <w:r w:rsidRPr="007B7129">
        <w:rPr>
          <w:i/>
          <w:iCs/>
        </w:rPr>
        <w:t>221</w:t>
      </w:r>
      <w:r w:rsidRPr="007B7129">
        <w:t>, 113535. https://doi.org/10.1016/j.ejmech.2021.113535.</w:t>
      </w:r>
    </w:p>
    <w:p w14:paraId="0081F830" w14:textId="77777777" w:rsidR="007B7129" w:rsidRPr="007B7129" w:rsidRDefault="007B7129" w:rsidP="007B7129">
      <w:pPr>
        <w:tabs>
          <w:tab w:val="left" w:pos="504"/>
        </w:tabs>
        <w:spacing w:after="0"/>
        <w:ind w:left="504" w:hanging="504"/>
      </w:pPr>
      <w:r w:rsidRPr="007B7129">
        <w:t xml:space="preserve">(21) </w:t>
      </w:r>
      <w:r w:rsidRPr="007B7129">
        <w:tab/>
      </w:r>
      <w:proofErr w:type="spellStart"/>
      <w:r w:rsidRPr="007B7129">
        <w:t>Biscetti</w:t>
      </w:r>
      <w:proofErr w:type="spellEnd"/>
      <w:r w:rsidRPr="007B7129">
        <w:t xml:space="preserve">, F.; Gaetani, E.; Flex, A.; Aprahamian, T.; Hopkins, T.; Straface, G.; </w:t>
      </w:r>
      <w:proofErr w:type="spellStart"/>
      <w:r w:rsidRPr="007B7129">
        <w:t>Pecorini</w:t>
      </w:r>
      <w:proofErr w:type="spellEnd"/>
      <w:r w:rsidRPr="007B7129">
        <w:t xml:space="preserve">, G.; Stigliano, E.; Smith, R. C.; Angelini, F.; </w:t>
      </w:r>
      <w:proofErr w:type="spellStart"/>
      <w:r w:rsidRPr="007B7129">
        <w:t>Castellot</w:t>
      </w:r>
      <w:proofErr w:type="spellEnd"/>
      <w:r w:rsidRPr="007B7129">
        <w:t xml:space="preserve">, J. J.; Pola, R. Selective Activation of Peroxisome Proliferator–Activated Receptor (PPAR)α and </w:t>
      </w:r>
      <w:proofErr w:type="spellStart"/>
      <w:r w:rsidRPr="007B7129">
        <w:t>PPARγ</w:t>
      </w:r>
      <w:proofErr w:type="spellEnd"/>
      <w:r w:rsidRPr="007B7129">
        <w:t xml:space="preserve"> Induces </w:t>
      </w:r>
      <w:proofErr w:type="spellStart"/>
      <w:r w:rsidRPr="007B7129">
        <w:t>Neoangiogenesis</w:t>
      </w:r>
      <w:proofErr w:type="spellEnd"/>
      <w:r w:rsidRPr="007B7129">
        <w:t xml:space="preserve"> Through a Vascular Endothelial Growth Factor–Dependent Mechanism. </w:t>
      </w:r>
      <w:r w:rsidRPr="007B7129">
        <w:rPr>
          <w:i/>
          <w:iCs/>
        </w:rPr>
        <w:t>Diabetes</w:t>
      </w:r>
      <w:r w:rsidRPr="007B7129">
        <w:t xml:space="preserve"> </w:t>
      </w:r>
      <w:r w:rsidRPr="007B7129">
        <w:rPr>
          <w:b/>
          <w:bCs/>
        </w:rPr>
        <w:t>2008</w:t>
      </w:r>
      <w:r w:rsidRPr="007B7129">
        <w:t xml:space="preserve">, </w:t>
      </w:r>
      <w:r w:rsidRPr="007B7129">
        <w:rPr>
          <w:i/>
          <w:iCs/>
        </w:rPr>
        <w:t>57</w:t>
      </w:r>
      <w:r w:rsidRPr="007B7129">
        <w:t xml:space="preserve"> (5), 1394–1404. https://doi.org/10.2337/db07-0765.</w:t>
      </w:r>
    </w:p>
    <w:p w14:paraId="151AEF34" w14:textId="77777777" w:rsidR="007B7129" w:rsidRPr="007B7129" w:rsidRDefault="007B7129" w:rsidP="007B7129">
      <w:pPr>
        <w:tabs>
          <w:tab w:val="left" w:pos="504"/>
        </w:tabs>
        <w:spacing w:after="0"/>
        <w:ind w:left="504" w:hanging="504"/>
      </w:pPr>
      <w:r w:rsidRPr="007B7129">
        <w:t xml:space="preserve">(22) </w:t>
      </w:r>
      <w:r w:rsidRPr="007B7129">
        <w:tab/>
        <w:t xml:space="preserve">Batista, F. A. H.; </w:t>
      </w:r>
      <w:proofErr w:type="spellStart"/>
      <w:r w:rsidRPr="007B7129">
        <w:t>Trivella</w:t>
      </w:r>
      <w:proofErr w:type="spellEnd"/>
      <w:r w:rsidRPr="007B7129">
        <w:t xml:space="preserve">, D. B. B.; Bernardes, A.; </w:t>
      </w:r>
      <w:proofErr w:type="spellStart"/>
      <w:r w:rsidRPr="007B7129">
        <w:t>Gratieri</w:t>
      </w:r>
      <w:proofErr w:type="spellEnd"/>
      <w:r w:rsidRPr="007B7129">
        <w:t xml:space="preserve">, J.; Oliveira, P. S. L.; Figueira, A. C. M.; Webb, P.; </w:t>
      </w:r>
      <w:proofErr w:type="spellStart"/>
      <w:r w:rsidRPr="007B7129">
        <w:t>Polikarpov</w:t>
      </w:r>
      <w:proofErr w:type="spellEnd"/>
      <w:r w:rsidRPr="007B7129">
        <w:t xml:space="preserve">, I. Structural Insights into Human Peroxisome Proliferator Activated Receptor Delta (PPAR-Delta) Selective Ligand Binding. </w:t>
      </w:r>
      <w:r w:rsidRPr="007B7129">
        <w:rPr>
          <w:i/>
          <w:iCs/>
        </w:rPr>
        <w:t>PLOS ONE</w:t>
      </w:r>
      <w:r w:rsidRPr="007B7129">
        <w:t xml:space="preserve"> </w:t>
      </w:r>
      <w:r w:rsidRPr="007B7129">
        <w:rPr>
          <w:b/>
          <w:bCs/>
        </w:rPr>
        <w:t>2012</w:t>
      </w:r>
      <w:r w:rsidRPr="007B7129">
        <w:t xml:space="preserve">, </w:t>
      </w:r>
      <w:r w:rsidRPr="007B7129">
        <w:rPr>
          <w:i/>
          <w:iCs/>
        </w:rPr>
        <w:t>7</w:t>
      </w:r>
      <w:r w:rsidRPr="007B7129">
        <w:t xml:space="preserve"> (5), e33643. https://doi.org/10.1371/journal.pone.0033643.</w:t>
      </w:r>
    </w:p>
    <w:p w14:paraId="45576659" w14:textId="77777777" w:rsidR="007B7129" w:rsidRPr="007B7129" w:rsidRDefault="007B7129" w:rsidP="007B7129">
      <w:pPr>
        <w:tabs>
          <w:tab w:val="left" w:pos="504"/>
        </w:tabs>
        <w:spacing w:after="0"/>
        <w:ind w:left="504" w:hanging="504"/>
      </w:pPr>
      <w:r w:rsidRPr="007B7129">
        <w:t xml:space="preserve">(23) </w:t>
      </w:r>
      <w:r w:rsidRPr="007B7129">
        <w:tab/>
        <w:t xml:space="preserve">Dou, X.; Duerfeldt, A. S. Small-Molecule Modulation of PPARs for the Treatment of Prevalent Vascular Retinal Diseases. </w:t>
      </w:r>
      <w:r w:rsidRPr="007B7129">
        <w:rPr>
          <w:i/>
          <w:iCs/>
        </w:rPr>
        <w:t>International Journal of Molecular Sciences</w:t>
      </w:r>
      <w:r w:rsidRPr="007B7129">
        <w:t xml:space="preserve"> </w:t>
      </w:r>
      <w:r w:rsidRPr="007B7129">
        <w:rPr>
          <w:b/>
          <w:bCs/>
        </w:rPr>
        <w:t>2020</w:t>
      </w:r>
      <w:r w:rsidRPr="007B7129">
        <w:t xml:space="preserve">, </w:t>
      </w:r>
      <w:r w:rsidRPr="007B7129">
        <w:rPr>
          <w:i/>
          <w:iCs/>
        </w:rPr>
        <w:t>21</w:t>
      </w:r>
      <w:r w:rsidRPr="007B7129">
        <w:t xml:space="preserve"> (23), 9251. https://doi.org/10.3390/ijms21239251.</w:t>
      </w:r>
    </w:p>
    <w:p w14:paraId="44FE3C1C" w14:textId="77777777" w:rsidR="007B7129" w:rsidRPr="007B7129" w:rsidRDefault="007B7129" w:rsidP="007B7129">
      <w:pPr>
        <w:tabs>
          <w:tab w:val="left" w:pos="504"/>
        </w:tabs>
        <w:spacing w:after="0"/>
        <w:ind w:left="504" w:hanging="504"/>
      </w:pPr>
      <w:r w:rsidRPr="007B7129">
        <w:t xml:space="preserve">(24) </w:t>
      </w:r>
      <w:r w:rsidRPr="007B7129">
        <w:tab/>
        <w:t xml:space="preserve">Jiao, W.-H.; Gao, H.; Zhao, F.; Lin, H.-W.; Pan, Y.-M.; Zhou, G.-X.; Yao, X.-S. Anti-Inflammatory Alkaloids from the Stems of Picrasma </w:t>
      </w:r>
      <w:proofErr w:type="spellStart"/>
      <w:r w:rsidRPr="007B7129">
        <w:t>Quassioides</w:t>
      </w:r>
      <w:proofErr w:type="spellEnd"/>
      <w:r w:rsidRPr="007B7129">
        <w:t xml:space="preserve"> BENNET. </w:t>
      </w:r>
      <w:r w:rsidRPr="007B7129">
        <w:rPr>
          <w:i/>
          <w:iCs/>
        </w:rPr>
        <w:t>Chem. Pharm. Bull.</w:t>
      </w:r>
      <w:r w:rsidRPr="007B7129">
        <w:t xml:space="preserve"> </w:t>
      </w:r>
      <w:r w:rsidRPr="007B7129">
        <w:rPr>
          <w:b/>
          <w:bCs/>
        </w:rPr>
        <w:t>2011</w:t>
      </w:r>
      <w:r w:rsidRPr="007B7129">
        <w:t xml:space="preserve">, </w:t>
      </w:r>
      <w:r w:rsidRPr="007B7129">
        <w:rPr>
          <w:i/>
          <w:iCs/>
        </w:rPr>
        <w:t>59</w:t>
      </w:r>
      <w:r w:rsidRPr="007B7129">
        <w:t xml:space="preserve"> (3), 359–364. https://doi.org/10.1248/cpb.59.359.</w:t>
      </w:r>
    </w:p>
    <w:p w14:paraId="6854E32C" w14:textId="77777777" w:rsidR="007B7129" w:rsidRPr="007B7129" w:rsidRDefault="007B7129" w:rsidP="007B7129">
      <w:pPr>
        <w:tabs>
          <w:tab w:val="left" w:pos="504"/>
        </w:tabs>
        <w:spacing w:after="0"/>
        <w:ind w:left="504" w:hanging="504"/>
      </w:pPr>
      <w:r w:rsidRPr="007B7129">
        <w:lastRenderedPageBreak/>
        <w:t xml:space="preserve">(25) </w:t>
      </w:r>
      <w:r w:rsidRPr="007B7129">
        <w:tab/>
        <w:t xml:space="preserve">Liu, J.; Davidson, R. S.; Howarth, O. W. Full Assignments of Proton and Carbon Signals of Picrasidine-G by 1D and 2D NMR Methods. </w:t>
      </w:r>
      <w:r w:rsidRPr="007B7129">
        <w:rPr>
          <w:i/>
          <w:iCs/>
        </w:rPr>
        <w:t xml:space="preserve">Magn. </w:t>
      </w:r>
      <w:proofErr w:type="spellStart"/>
      <w:r w:rsidRPr="007B7129">
        <w:rPr>
          <w:i/>
          <w:iCs/>
        </w:rPr>
        <w:t>Reson</w:t>
      </w:r>
      <w:proofErr w:type="spellEnd"/>
      <w:r w:rsidRPr="007B7129">
        <w:rPr>
          <w:i/>
          <w:iCs/>
        </w:rPr>
        <w:t>. Chem.</w:t>
      </w:r>
      <w:r w:rsidRPr="007B7129">
        <w:t xml:space="preserve"> </w:t>
      </w:r>
      <w:r w:rsidRPr="007B7129">
        <w:rPr>
          <w:b/>
          <w:bCs/>
        </w:rPr>
        <w:t>1993</w:t>
      </w:r>
      <w:r w:rsidRPr="007B7129">
        <w:t xml:space="preserve">, </w:t>
      </w:r>
      <w:r w:rsidRPr="007B7129">
        <w:rPr>
          <w:i/>
          <w:iCs/>
        </w:rPr>
        <w:t>31</w:t>
      </w:r>
      <w:r w:rsidRPr="007B7129">
        <w:t xml:space="preserve"> (12), 1091–1092. https://doi.org/10.1002/mrc.1260311212.</w:t>
      </w:r>
    </w:p>
    <w:p w14:paraId="1B9C097F" w14:textId="77777777" w:rsidR="007B7129" w:rsidRPr="007B7129" w:rsidRDefault="007B7129" w:rsidP="007B7129">
      <w:pPr>
        <w:tabs>
          <w:tab w:val="left" w:pos="504"/>
        </w:tabs>
        <w:spacing w:after="0"/>
        <w:ind w:left="504" w:hanging="504"/>
      </w:pPr>
      <w:r w:rsidRPr="007B7129">
        <w:t xml:space="preserve">(26) </w:t>
      </w:r>
      <w:r w:rsidRPr="007B7129">
        <w:tab/>
        <w:t xml:space="preserve">Li, F.; Wang, H.; Wang, Y.; Feng, S.; Hu, B.; Zhang, X.; Wang, J.; Li, W.; Cheng, M. Computational Investigation Reveals Picrasidine C as Selective PPARα Lead: Binding Pattern, Selectivity Mechanism and ADME/Tox Profile. </w:t>
      </w:r>
      <w:r w:rsidRPr="007B7129">
        <w:rPr>
          <w:i/>
          <w:iCs/>
        </w:rPr>
        <w:t>Journal of Biomolecular Structure and Dynamics</w:t>
      </w:r>
      <w:r w:rsidRPr="007B7129">
        <w:t xml:space="preserve"> </w:t>
      </w:r>
      <w:r w:rsidRPr="007B7129">
        <w:rPr>
          <w:b/>
          <w:bCs/>
        </w:rPr>
        <w:t>2020</w:t>
      </w:r>
      <w:r w:rsidRPr="007B7129">
        <w:t xml:space="preserve">, </w:t>
      </w:r>
      <w:r w:rsidRPr="007B7129">
        <w:rPr>
          <w:i/>
          <w:iCs/>
        </w:rPr>
        <w:t>38</w:t>
      </w:r>
      <w:r w:rsidRPr="007B7129">
        <w:t xml:space="preserve"> (18), 5401–5418. https://doi.org/10.1080/07391102.2019.1699861.</w:t>
      </w:r>
    </w:p>
    <w:p w14:paraId="4C24FFF0" w14:textId="77777777" w:rsidR="007B7129" w:rsidRPr="007B7129" w:rsidRDefault="007B7129" w:rsidP="007B7129">
      <w:pPr>
        <w:tabs>
          <w:tab w:val="left" w:pos="504"/>
        </w:tabs>
        <w:spacing w:after="0"/>
        <w:ind w:left="504" w:hanging="504"/>
      </w:pPr>
      <w:r w:rsidRPr="007B7129">
        <w:t xml:space="preserve">(27) </w:t>
      </w:r>
      <w:r w:rsidRPr="007B7129">
        <w:tab/>
        <w:t xml:space="preserve">Pictet, A.; Spengler, Theod. </w:t>
      </w:r>
      <w:proofErr w:type="spellStart"/>
      <w:r w:rsidRPr="007B7129">
        <w:t>Über</w:t>
      </w:r>
      <w:proofErr w:type="spellEnd"/>
      <w:r w:rsidRPr="007B7129">
        <w:t xml:space="preserve"> Die </w:t>
      </w:r>
      <w:proofErr w:type="spellStart"/>
      <w:r w:rsidRPr="007B7129">
        <w:t>Bildung</w:t>
      </w:r>
      <w:proofErr w:type="spellEnd"/>
      <w:r w:rsidRPr="007B7129">
        <w:t xml:space="preserve"> von </w:t>
      </w:r>
      <w:proofErr w:type="spellStart"/>
      <w:r w:rsidRPr="007B7129">
        <w:t>Isochinolin-Derivaten</w:t>
      </w:r>
      <w:proofErr w:type="spellEnd"/>
      <w:r w:rsidRPr="007B7129">
        <w:t xml:space="preserve"> Durch </w:t>
      </w:r>
      <w:proofErr w:type="spellStart"/>
      <w:r w:rsidRPr="007B7129">
        <w:t>Einwirkung</w:t>
      </w:r>
      <w:proofErr w:type="spellEnd"/>
      <w:r w:rsidRPr="007B7129">
        <w:t xml:space="preserve"> von Methylal Auf Phenyl-</w:t>
      </w:r>
      <w:proofErr w:type="spellStart"/>
      <w:r w:rsidRPr="007B7129">
        <w:t>Äthylamin</w:t>
      </w:r>
      <w:proofErr w:type="spellEnd"/>
      <w:r w:rsidRPr="007B7129">
        <w:t xml:space="preserve">, Phenyl-Alanin Und </w:t>
      </w:r>
      <w:proofErr w:type="spellStart"/>
      <w:r w:rsidRPr="007B7129">
        <w:t>Tyrosin</w:t>
      </w:r>
      <w:proofErr w:type="spellEnd"/>
      <w:r w:rsidRPr="007B7129">
        <w:t xml:space="preserve">. </w:t>
      </w:r>
      <w:proofErr w:type="spellStart"/>
      <w:r w:rsidRPr="007B7129">
        <w:rPr>
          <w:i/>
          <w:iCs/>
        </w:rPr>
        <w:t>Berichte</w:t>
      </w:r>
      <w:proofErr w:type="spellEnd"/>
      <w:r w:rsidRPr="007B7129">
        <w:rPr>
          <w:i/>
          <w:iCs/>
        </w:rPr>
        <w:t xml:space="preserve"> der </w:t>
      </w:r>
      <w:proofErr w:type="spellStart"/>
      <w:r w:rsidRPr="007B7129">
        <w:rPr>
          <w:i/>
          <w:iCs/>
        </w:rPr>
        <w:t>deutschen</w:t>
      </w:r>
      <w:proofErr w:type="spellEnd"/>
      <w:r w:rsidRPr="007B7129">
        <w:rPr>
          <w:i/>
          <w:iCs/>
        </w:rPr>
        <w:t xml:space="preserve"> </w:t>
      </w:r>
      <w:proofErr w:type="spellStart"/>
      <w:r w:rsidRPr="007B7129">
        <w:rPr>
          <w:i/>
          <w:iCs/>
        </w:rPr>
        <w:t>chemischen</w:t>
      </w:r>
      <w:proofErr w:type="spellEnd"/>
      <w:r w:rsidRPr="007B7129">
        <w:rPr>
          <w:i/>
          <w:iCs/>
        </w:rPr>
        <w:t xml:space="preserve"> Gesellschaft</w:t>
      </w:r>
      <w:r w:rsidRPr="007B7129">
        <w:t xml:space="preserve"> </w:t>
      </w:r>
      <w:r w:rsidRPr="007B7129">
        <w:rPr>
          <w:b/>
          <w:bCs/>
        </w:rPr>
        <w:t>1911</w:t>
      </w:r>
      <w:r w:rsidRPr="007B7129">
        <w:t xml:space="preserve">, </w:t>
      </w:r>
      <w:r w:rsidRPr="007B7129">
        <w:rPr>
          <w:i/>
          <w:iCs/>
        </w:rPr>
        <w:t>44</w:t>
      </w:r>
      <w:r w:rsidRPr="007B7129">
        <w:t xml:space="preserve"> (3), 2030–2036. https://doi.org/10.1002/cber.19110440309.</w:t>
      </w:r>
    </w:p>
    <w:p w14:paraId="427B79DF" w14:textId="77777777" w:rsidR="007B7129" w:rsidRPr="007B7129" w:rsidRDefault="007B7129" w:rsidP="007B7129">
      <w:pPr>
        <w:tabs>
          <w:tab w:val="left" w:pos="504"/>
        </w:tabs>
        <w:spacing w:after="0"/>
        <w:ind w:left="504" w:hanging="504"/>
      </w:pPr>
      <w:r w:rsidRPr="007B7129">
        <w:t xml:space="preserve">(28) </w:t>
      </w:r>
      <w:r w:rsidRPr="007B7129">
        <w:tab/>
        <w:t xml:space="preserve">Yokoyama, A.; Ohwada, T.; </w:t>
      </w:r>
      <w:proofErr w:type="spellStart"/>
      <w:r w:rsidRPr="007B7129">
        <w:t>Shudo</w:t>
      </w:r>
      <w:proofErr w:type="spellEnd"/>
      <w:r w:rsidRPr="007B7129">
        <w:t xml:space="preserve">, K. Prototype Pictet−Spengler Reactions Catalyzed by </w:t>
      </w:r>
      <w:proofErr w:type="spellStart"/>
      <w:r w:rsidRPr="007B7129">
        <w:t>Superacids</w:t>
      </w:r>
      <w:proofErr w:type="spellEnd"/>
      <w:r w:rsidRPr="007B7129">
        <w:t xml:space="preserve">. Involvement of </w:t>
      </w:r>
      <w:proofErr w:type="spellStart"/>
      <w:r w:rsidRPr="007B7129">
        <w:t>Dicationic</w:t>
      </w:r>
      <w:proofErr w:type="spellEnd"/>
      <w:r w:rsidRPr="007B7129">
        <w:t xml:space="preserve"> </w:t>
      </w:r>
      <w:proofErr w:type="spellStart"/>
      <w:r w:rsidRPr="007B7129">
        <w:t>Superelectrophiles</w:t>
      </w:r>
      <w:proofErr w:type="spellEnd"/>
      <w:r w:rsidRPr="007B7129">
        <w:t xml:space="preserve">. </w:t>
      </w:r>
      <w:r w:rsidRPr="007B7129">
        <w:rPr>
          <w:i/>
          <w:iCs/>
        </w:rPr>
        <w:t>J. Org. Chem.</w:t>
      </w:r>
      <w:r w:rsidRPr="007B7129">
        <w:t xml:space="preserve"> </w:t>
      </w:r>
      <w:r w:rsidRPr="007B7129">
        <w:rPr>
          <w:b/>
          <w:bCs/>
        </w:rPr>
        <w:t>1999</w:t>
      </w:r>
      <w:r w:rsidRPr="007B7129">
        <w:t xml:space="preserve">, </w:t>
      </w:r>
      <w:r w:rsidRPr="007B7129">
        <w:rPr>
          <w:i/>
          <w:iCs/>
        </w:rPr>
        <w:t>64</w:t>
      </w:r>
      <w:r w:rsidRPr="007B7129">
        <w:t xml:space="preserve"> (2), 611–617. https://doi.org/10.1021/jo982019e.</w:t>
      </w:r>
    </w:p>
    <w:p w14:paraId="15FF3821" w14:textId="77777777" w:rsidR="007B7129" w:rsidRPr="007B7129" w:rsidRDefault="007B7129" w:rsidP="007B7129">
      <w:pPr>
        <w:tabs>
          <w:tab w:val="left" w:pos="504"/>
        </w:tabs>
        <w:spacing w:after="0"/>
        <w:ind w:left="504" w:hanging="504"/>
      </w:pPr>
      <w:r w:rsidRPr="007B7129">
        <w:t xml:space="preserve">(29) </w:t>
      </w:r>
      <w:r w:rsidRPr="007B7129">
        <w:tab/>
      </w:r>
      <w:proofErr w:type="spellStart"/>
      <w:r w:rsidRPr="007B7129">
        <w:t>Bischler</w:t>
      </w:r>
      <w:proofErr w:type="spellEnd"/>
      <w:r w:rsidRPr="007B7129">
        <w:t xml:space="preserve">, Aug.; Napieralski, B. Zur </w:t>
      </w:r>
      <w:proofErr w:type="spellStart"/>
      <w:r w:rsidRPr="007B7129">
        <w:t>Kenntniss</w:t>
      </w:r>
      <w:proofErr w:type="spellEnd"/>
      <w:r w:rsidRPr="007B7129">
        <w:t xml:space="preserve"> Einer </w:t>
      </w:r>
      <w:proofErr w:type="spellStart"/>
      <w:r w:rsidRPr="007B7129">
        <w:t>Neuen</w:t>
      </w:r>
      <w:proofErr w:type="spellEnd"/>
      <w:r w:rsidRPr="007B7129">
        <w:t xml:space="preserve"> </w:t>
      </w:r>
      <w:proofErr w:type="spellStart"/>
      <w:r w:rsidRPr="007B7129">
        <w:t>Isochinolinsynthese</w:t>
      </w:r>
      <w:proofErr w:type="spellEnd"/>
      <w:r w:rsidRPr="007B7129">
        <w:t xml:space="preserve">. </w:t>
      </w:r>
      <w:proofErr w:type="spellStart"/>
      <w:r w:rsidRPr="007B7129">
        <w:rPr>
          <w:i/>
          <w:iCs/>
        </w:rPr>
        <w:t>Berichte</w:t>
      </w:r>
      <w:proofErr w:type="spellEnd"/>
      <w:r w:rsidRPr="007B7129">
        <w:rPr>
          <w:i/>
          <w:iCs/>
        </w:rPr>
        <w:t xml:space="preserve"> der </w:t>
      </w:r>
      <w:proofErr w:type="spellStart"/>
      <w:r w:rsidRPr="007B7129">
        <w:rPr>
          <w:i/>
          <w:iCs/>
        </w:rPr>
        <w:t>deutschen</w:t>
      </w:r>
      <w:proofErr w:type="spellEnd"/>
      <w:r w:rsidRPr="007B7129">
        <w:rPr>
          <w:i/>
          <w:iCs/>
        </w:rPr>
        <w:t xml:space="preserve"> </w:t>
      </w:r>
      <w:proofErr w:type="spellStart"/>
      <w:r w:rsidRPr="007B7129">
        <w:rPr>
          <w:i/>
          <w:iCs/>
        </w:rPr>
        <w:t>chemischen</w:t>
      </w:r>
      <w:proofErr w:type="spellEnd"/>
      <w:r w:rsidRPr="007B7129">
        <w:rPr>
          <w:i/>
          <w:iCs/>
        </w:rPr>
        <w:t xml:space="preserve"> Gesellschaft</w:t>
      </w:r>
      <w:r w:rsidRPr="007B7129">
        <w:t xml:space="preserve"> </w:t>
      </w:r>
      <w:r w:rsidRPr="007B7129">
        <w:rPr>
          <w:b/>
          <w:bCs/>
        </w:rPr>
        <w:t>1893</w:t>
      </w:r>
      <w:r w:rsidRPr="007B7129">
        <w:t xml:space="preserve">, </w:t>
      </w:r>
      <w:r w:rsidRPr="007B7129">
        <w:rPr>
          <w:i/>
          <w:iCs/>
        </w:rPr>
        <w:t>26</w:t>
      </w:r>
      <w:r w:rsidRPr="007B7129">
        <w:t xml:space="preserve"> (2), 1903–1908. https://doi.org/10.1002/cber.189302602143.</w:t>
      </w:r>
    </w:p>
    <w:p w14:paraId="7B1914D7" w14:textId="77777777" w:rsidR="007B7129" w:rsidRPr="007B7129" w:rsidRDefault="007B7129" w:rsidP="007B7129">
      <w:pPr>
        <w:tabs>
          <w:tab w:val="left" w:pos="504"/>
        </w:tabs>
        <w:spacing w:after="0"/>
        <w:ind w:left="504" w:hanging="504"/>
      </w:pPr>
      <w:r w:rsidRPr="007B7129">
        <w:t xml:space="preserve">(30) </w:t>
      </w:r>
      <w:r w:rsidRPr="007B7129">
        <w:tab/>
        <w:t xml:space="preserve">Murakami, Y.; Yokoyama, Y.; Aoki, C.; Suzuki, H.; Sakurai, K.; Shinohara, T.; Miyagi, C.; Kimura, Y.; Takahashi, T.; Watanabe, T.; Ohmoto, T. Synthetic Studies of Indoles and Related Compounds. A New Synthesis of </w:t>
      </w:r>
      <w:proofErr w:type="spellStart"/>
      <w:r w:rsidRPr="007B7129">
        <w:t>Crenatine</w:t>
      </w:r>
      <w:proofErr w:type="spellEnd"/>
      <w:r w:rsidRPr="007B7129">
        <w:t xml:space="preserve"> from Ethyl Indole-2-Carboxylate. </w:t>
      </w:r>
      <w:r w:rsidRPr="007B7129">
        <w:rPr>
          <w:i/>
          <w:iCs/>
        </w:rPr>
        <w:t>Chem. Pharm. Bull.</w:t>
      </w:r>
      <w:r w:rsidRPr="007B7129">
        <w:t xml:space="preserve"> </w:t>
      </w:r>
      <w:r w:rsidRPr="007B7129">
        <w:rPr>
          <w:b/>
          <w:bCs/>
        </w:rPr>
        <w:t>1991</w:t>
      </w:r>
      <w:r w:rsidRPr="007B7129">
        <w:t xml:space="preserve">, </w:t>
      </w:r>
      <w:r w:rsidRPr="007B7129">
        <w:rPr>
          <w:i/>
          <w:iCs/>
        </w:rPr>
        <w:t>39</w:t>
      </w:r>
      <w:r w:rsidRPr="007B7129">
        <w:t xml:space="preserve"> (9), 2189–2195.</w:t>
      </w:r>
    </w:p>
    <w:p w14:paraId="0C41678E" w14:textId="77777777" w:rsidR="007B7129" w:rsidRPr="007B7129" w:rsidRDefault="007B7129" w:rsidP="007B7129">
      <w:pPr>
        <w:tabs>
          <w:tab w:val="left" w:pos="504"/>
        </w:tabs>
        <w:spacing w:after="0"/>
        <w:ind w:left="504" w:hanging="504"/>
      </w:pPr>
      <w:r w:rsidRPr="007B7129">
        <w:t xml:space="preserve">(31) </w:t>
      </w:r>
      <w:r w:rsidRPr="007B7129">
        <w:tab/>
        <w:t>Hagen, T. J.; Narayanan, K.; Names, J.; Cook, J. M. DDQ Oxidations in the Indole Area. Synthesis of 4-Alkoxy</w:t>
      </w:r>
      <w:proofErr w:type="gramStart"/>
      <w:r w:rsidRPr="007B7129">
        <w:t>-.Beta</w:t>
      </w:r>
      <w:proofErr w:type="gramEnd"/>
      <w:r w:rsidRPr="007B7129">
        <w:t xml:space="preserve">.-Carbolines Including the Natural Products </w:t>
      </w:r>
      <w:proofErr w:type="spellStart"/>
      <w:r w:rsidRPr="007B7129">
        <w:t>Crenatine</w:t>
      </w:r>
      <w:proofErr w:type="spellEnd"/>
      <w:r w:rsidRPr="007B7129">
        <w:t xml:space="preserve"> and 1-</w:t>
      </w:r>
      <w:r w:rsidRPr="007B7129">
        <w:lastRenderedPageBreak/>
        <w:t xml:space="preserve">Methoxycanthin-6-One. </w:t>
      </w:r>
      <w:r w:rsidRPr="007B7129">
        <w:rPr>
          <w:i/>
          <w:iCs/>
        </w:rPr>
        <w:t>J. Org. Chem.</w:t>
      </w:r>
      <w:r w:rsidRPr="007B7129">
        <w:t xml:space="preserve"> </w:t>
      </w:r>
      <w:r w:rsidRPr="007B7129">
        <w:rPr>
          <w:b/>
          <w:bCs/>
        </w:rPr>
        <w:t>1989</w:t>
      </w:r>
      <w:r w:rsidRPr="007B7129">
        <w:t xml:space="preserve">, </w:t>
      </w:r>
      <w:r w:rsidRPr="007B7129">
        <w:rPr>
          <w:i/>
          <w:iCs/>
        </w:rPr>
        <w:t>54</w:t>
      </w:r>
      <w:r w:rsidRPr="007B7129">
        <w:t xml:space="preserve"> (9), 2170–2178. https://doi.org/10.1021/jo00270a029.</w:t>
      </w:r>
    </w:p>
    <w:p w14:paraId="442E7858" w14:textId="77777777" w:rsidR="007B7129" w:rsidRPr="007B7129" w:rsidRDefault="007B7129" w:rsidP="007B7129">
      <w:pPr>
        <w:tabs>
          <w:tab w:val="left" w:pos="504"/>
        </w:tabs>
        <w:spacing w:after="0"/>
        <w:ind w:left="504" w:hanging="504"/>
      </w:pPr>
      <w:r w:rsidRPr="007B7129">
        <w:t xml:space="preserve">(32) </w:t>
      </w:r>
      <w:r w:rsidRPr="007B7129">
        <w:tab/>
        <w:t xml:space="preserve">Showalter, H. D. H. Progress in the Synthesis of </w:t>
      </w:r>
      <w:proofErr w:type="spellStart"/>
      <w:r w:rsidRPr="007B7129">
        <w:t>Canthine</w:t>
      </w:r>
      <w:proofErr w:type="spellEnd"/>
      <w:r w:rsidRPr="007B7129">
        <w:t xml:space="preserve"> Alkaloids and Ring-Truncated Congeners. </w:t>
      </w:r>
      <w:r w:rsidRPr="007B7129">
        <w:rPr>
          <w:i/>
          <w:iCs/>
        </w:rPr>
        <w:t>J. Nat. Prod.</w:t>
      </w:r>
      <w:r w:rsidRPr="007B7129">
        <w:t xml:space="preserve"> </w:t>
      </w:r>
      <w:r w:rsidRPr="007B7129">
        <w:rPr>
          <w:b/>
          <w:bCs/>
        </w:rPr>
        <w:t>2013</w:t>
      </w:r>
      <w:r w:rsidRPr="007B7129">
        <w:t xml:space="preserve">, </w:t>
      </w:r>
      <w:r w:rsidRPr="007B7129">
        <w:rPr>
          <w:i/>
          <w:iCs/>
        </w:rPr>
        <w:t>76</w:t>
      </w:r>
      <w:r w:rsidRPr="007B7129">
        <w:t xml:space="preserve"> (3), 455–467. https://doi.org/10.1021/np300753z.</w:t>
      </w:r>
    </w:p>
    <w:p w14:paraId="45CBA5EE" w14:textId="77777777" w:rsidR="007B7129" w:rsidRPr="007B7129" w:rsidRDefault="007B7129" w:rsidP="007B7129">
      <w:pPr>
        <w:tabs>
          <w:tab w:val="left" w:pos="504"/>
        </w:tabs>
        <w:spacing w:after="0"/>
        <w:ind w:left="504" w:hanging="504"/>
      </w:pPr>
      <w:r w:rsidRPr="007B7129">
        <w:t xml:space="preserve">(33) </w:t>
      </w:r>
      <w:r w:rsidRPr="007B7129">
        <w:tab/>
        <w:t xml:space="preserve">Li, J.; Wang, T.; Yu, P.; Peterson, A.; Weber, R.; Soerens, D.; </w:t>
      </w:r>
      <w:proofErr w:type="spellStart"/>
      <w:r w:rsidRPr="007B7129">
        <w:t>Grubisha</w:t>
      </w:r>
      <w:proofErr w:type="spellEnd"/>
      <w:r w:rsidRPr="007B7129">
        <w:t>, D.; Bennett, D.; Cook, J. M. General Approach for the Synthesis of Ajmaline/</w:t>
      </w:r>
      <w:proofErr w:type="spellStart"/>
      <w:r w:rsidRPr="007B7129">
        <w:t>Sarpagine</w:t>
      </w:r>
      <w:proofErr w:type="spellEnd"/>
      <w:r w:rsidRPr="007B7129">
        <w:t xml:space="preserve"> Indole Alkaloids:  Enantiospecific Total Synthesis of (+)-Ajmaline, Alkaloid G, and </w:t>
      </w:r>
      <w:proofErr w:type="spellStart"/>
      <w:r w:rsidRPr="007B7129">
        <w:t>Norsuaveoline</w:t>
      </w:r>
      <w:proofErr w:type="spellEnd"/>
      <w:r w:rsidRPr="007B7129">
        <w:t xml:space="preserve"> via the Asymmetric Pictet−Spengler Reaction. </w:t>
      </w:r>
      <w:r w:rsidRPr="007B7129">
        <w:rPr>
          <w:i/>
          <w:iCs/>
        </w:rPr>
        <w:t>J. Am. Chem. Soc.</w:t>
      </w:r>
      <w:r w:rsidRPr="007B7129">
        <w:t xml:space="preserve"> </w:t>
      </w:r>
      <w:r w:rsidRPr="007B7129">
        <w:rPr>
          <w:b/>
          <w:bCs/>
        </w:rPr>
        <w:t>1999</w:t>
      </w:r>
      <w:r w:rsidRPr="007B7129">
        <w:t xml:space="preserve">, </w:t>
      </w:r>
      <w:r w:rsidRPr="007B7129">
        <w:rPr>
          <w:i/>
          <w:iCs/>
        </w:rPr>
        <w:t>121</w:t>
      </w:r>
      <w:r w:rsidRPr="007B7129">
        <w:t xml:space="preserve"> (30), 6998–7010. https://doi.org/10.1021/ja990184l.</w:t>
      </w:r>
    </w:p>
    <w:p w14:paraId="30A96CC2" w14:textId="77777777" w:rsidR="007B7129" w:rsidRPr="007B7129" w:rsidRDefault="007B7129" w:rsidP="007B7129">
      <w:pPr>
        <w:tabs>
          <w:tab w:val="left" w:pos="504"/>
        </w:tabs>
        <w:spacing w:after="0"/>
        <w:ind w:left="504" w:hanging="504"/>
      </w:pPr>
      <w:r w:rsidRPr="007B7129">
        <w:t xml:space="preserve">(34) </w:t>
      </w:r>
      <w:r w:rsidRPr="007B7129">
        <w:tab/>
        <w:t xml:space="preserve">Suzuki, H.; </w:t>
      </w:r>
      <w:proofErr w:type="gramStart"/>
      <w:r w:rsidRPr="007B7129">
        <w:t>Iwata(</w:t>
      </w:r>
      <w:proofErr w:type="gramEnd"/>
      <w:r w:rsidRPr="007B7129">
        <w:t xml:space="preserve">nee </w:t>
      </w:r>
      <w:proofErr w:type="spellStart"/>
      <w:r w:rsidRPr="007B7129">
        <w:t>Miyaga</w:t>
      </w:r>
      <w:proofErr w:type="spellEnd"/>
      <w:r w:rsidRPr="007B7129">
        <w:t xml:space="preserve">), C.; Sakurai, K.; Tokumoto, K.; Takahashi, H.; Hanada, M.; Yokoyama, Y.; Murakami, Y. A General Synthetic Route for 1-Substituted 4-Oxygenated β-Carbolines (Synthetic Studies on Indoles and Related Compounds 41). </w:t>
      </w:r>
      <w:r w:rsidRPr="007B7129">
        <w:rPr>
          <w:i/>
          <w:iCs/>
        </w:rPr>
        <w:t>Tetrahedron</w:t>
      </w:r>
      <w:r w:rsidRPr="007B7129">
        <w:t xml:space="preserve"> </w:t>
      </w:r>
      <w:r w:rsidRPr="007B7129">
        <w:rPr>
          <w:b/>
          <w:bCs/>
        </w:rPr>
        <w:t>1997</w:t>
      </w:r>
      <w:r w:rsidRPr="007B7129">
        <w:t xml:space="preserve">, </w:t>
      </w:r>
      <w:r w:rsidRPr="007B7129">
        <w:rPr>
          <w:i/>
          <w:iCs/>
        </w:rPr>
        <w:t>53</w:t>
      </w:r>
      <w:r w:rsidRPr="007B7129">
        <w:t xml:space="preserve"> (5), 1593–1606. https://doi.org/10.1016/S0040-4020(96)01112-X.</w:t>
      </w:r>
    </w:p>
    <w:p w14:paraId="6EBE2B63" w14:textId="77777777" w:rsidR="007B7129" w:rsidRPr="007B7129" w:rsidRDefault="007B7129" w:rsidP="007B7129">
      <w:pPr>
        <w:tabs>
          <w:tab w:val="left" w:pos="504"/>
        </w:tabs>
        <w:spacing w:after="0"/>
        <w:ind w:left="504" w:hanging="504"/>
      </w:pPr>
      <w:r w:rsidRPr="007B7129">
        <w:t xml:space="preserve">(35) </w:t>
      </w:r>
      <w:r w:rsidRPr="007B7129">
        <w:tab/>
        <w:t xml:space="preserve">Cain, M.; Mantei, R.; Cook, J. M. </w:t>
      </w:r>
      <w:proofErr w:type="spellStart"/>
      <w:r w:rsidRPr="007B7129">
        <w:t>Dichlorodicyanoquinone</w:t>
      </w:r>
      <w:proofErr w:type="spellEnd"/>
      <w:r w:rsidRPr="007B7129">
        <w:t xml:space="preserve"> Oxidations in the Indole Area. Synthesis of </w:t>
      </w:r>
      <w:proofErr w:type="spellStart"/>
      <w:r w:rsidRPr="007B7129">
        <w:t>Crenatine</w:t>
      </w:r>
      <w:proofErr w:type="spellEnd"/>
      <w:r w:rsidRPr="007B7129">
        <w:t xml:space="preserve">. </w:t>
      </w:r>
      <w:r w:rsidRPr="007B7129">
        <w:rPr>
          <w:i/>
          <w:iCs/>
        </w:rPr>
        <w:t>J. Org. Chem.</w:t>
      </w:r>
      <w:r w:rsidRPr="007B7129">
        <w:t xml:space="preserve"> </w:t>
      </w:r>
      <w:r w:rsidRPr="007B7129">
        <w:rPr>
          <w:b/>
          <w:bCs/>
        </w:rPr>
        <w:t>1982</w:t>
      </w:r>
      <w:r w:rsidRPr="007B7129">
        <w:t xml:space="preserve">, </w:t>
      </w:r>
      <w:r w:rsidRPr="007B7129">
        <w:rPr>
          <w:i/>
          <w:iCs/>
        </w:rPr>
        <w:t>47</w:t>
      </w:r>
      <w:r w:rsidRPr="007B7129">
        <w:t xml:space="preserve"> (25), 4933–4936. https://doi.org/10.1021/jo00146a021.</w:t>
      </w:r>
    </w:p>
    <w:p w14:paraId="109357CC" w14:textId="77777777" w:rsidR="007B7129" w:rsidRPr="007B7129" w:rsidRDefault="007B7129" w:rsidP="007B7129">
      <w:pPr>
        <w:tabs>
          <w:tab w:val="left" w:pos="504"/>
        </w:tabs>
        <w:spacing w:after="0"/>
        <w:ind w:left="504" w:hanging="504"/>
      </w:pPr>
      <w:r w:rsidRPr="007B7129">
        <w:t xml:space="preserve">(36) </w:t>
      </w:r>
      <w:r w:rsidRPr="007B7129">
        <w:tab/>
        <w:t xml:space="preserve">Koike, K.; Yoshino, H.; Li, H.; Sasaki, T.; Li, W. Determination of the Absolute Configuration of Picrasidine Y, a Naturally Occurring β-Carboline Alkaloid. </w:t>
      </w:r>
      <w:r w:rsidRPr="007B7129">
        <w:rPr>
          <w:i/>
          <w:iCs/>
        </w:rPr>
        <w:t>Tetrahedron Letters</w:t>
      </w:r>
      <w:r w:rsidRPr="007B7129">
        <w:t xml:space="preserve"> </w:t>
      </w:r>
      <w:r w:rsidRPr="007B7129">
        <w:rPr>
          <w:b/>
          <w:bCs/>
        </w:rPr>
        <w:t>2015</w:t>
      </w:r>
      <w:r w:rsidRPr="007B7129">
        <w:t xml:space="preserve">, </w:t>
      </w:r>
      <w:r w:rsidRPr="007B7129">
        <w:rPr>
          <w:i/>
          <w:iCs/>
        </w:rPr>
        <w:t>56</w:t>
      </w:r>
      <w:r w:rsidRPr="007B7129">
        <w:t xml:space="preserve"> (38), 5306–5308. https://doi.org/10.1016/j.tetlet.2015.07.079.</w:t>
      </w:r>
    </w:p>
    <w:p w14:paraId="7F9BF70F" w14:textId="77777777" w:rsidR="007B7129" w:rsidRPr="007B7129" w:rsidRDefault="007B7129" w:rsidP="007B7129">
      <w:pPr>
        <w:tabs>
          <w:tab w:val="left" w:pos="504"/>
        </w:tabs>
        <w:spacing w:after="0"/>
        <w:ind w:left="504" w:hanging="504"/>
      </w:pPr>
      <w:r w:rsidRPr="007B7129">
        <w:t xml:space="preserve">(37) </w:t>
      </w:r>
      <w:r w:rsidRPr="007B7129">
        <w:tab/>
        <w:t xml:space="preserve">Shelar, S. V.; Argade, N. P. Total Synthesis of Bioactive </w:t>
      </w:r>
      <w:proofErr w:type="spellStart"/>
      <w:r w:rsidRPr="007B7129">
        <w:t>Canthine</w:t>
      </w:r>
      <w:proofErr w:type="spellEnd"/>
      <w:r w:rsidRPr="007B7129">
        <w:t xml:space="preserve"> Alkaloid </w:t>
      </w:r>
      <w:proofErr w:type="spellStart"/>
      <w:r w:rsidRPr="007B7129">
        <w:t>Cordatanine</w:t>
      </w:r>
      <w:proofErr w:type="spellEnd"/>
      <w:r w:rsidRPr="007B7129">
        <w:t xml:space="preserve"> Comprising in Situ Double Oxidative Aromatization of </w:t>
      </w:r>
      <w:proofErr w:type="spellStart"/>
      <w:r w:rsidRPr="007B7129">
        <w:t>Tetrahydrocarbazole</w:t>
      </w:r>
      <w:proofErr w:type="spellEnd"/>
      <w:r w:rsidRPr="007B7129">
        <w:t xml:space="preserve">. </w:t>
      </w:r>
      <w:r w:rsidRPr="007B7129">
        <w:rPr>
          <w:i/>
          <w:iCs/>
        </w:rPr>
        <w:t>ACS Omega</w:t>
      </w:r>
      <w:r w:rsidRPr="007B7129">
        <w:t xml:space="preserve"> </w:t>
      </w:r>
      <w:r w:rsidRPr="007B7129">
        <w:rPr>
          <w:b/>
          <w:bCs/>
        </w:rPr>
        <w:t>2017</w:t>
      </w:r>
      <w:r w:rsidRPr="007B7129">
        <w:t xml:space="preserve">, </w:t>
      </w:r>
      <w:r w:rsidRPr="007B7129">
        <w:rPr>
          <w:i/>
          <w:iCs/>
        </w:rPr>
        <w:t>2</w:t>
      </w:r>
      <w:r w:rsidRPr="007B7129">
        <w:t xml:space="preserve"> (7), 3945–3950. https://doi.org/10.1021/acsomega.7b00609.</w:t>
      </w:r>
    </w:p>
    <w:p w14:paraId="1D62055E" w14:textId="77777777" w:rsidR="007B7129" w:rsidRPr="007B7129" w:rsidRDefault="007B7129" w:rsidP="007B7129">
      <w:pPr>
        <w:tabs>
          <w:tab w:val="left" w:pos="504"/>
        </w:tabs>
        <w:spacing w:after="0"/>
        <w:ind w:left="504" w:hanging="504"/>
      </w:pPr>
      <w:r w:rsidRPr="007B7129">
        <w:lastRenderedPageBreak/>
        <w:t xml:space="preserve">(38) </w:t>
      </w:r>
      <w:r w:rsidRPr="007B7129">
        <w:tab/>
        <w:t xml:space="preserve">Suzuki, H.; Ebihara, Y.; Yokoyama, Y.; Murakami, Y. Total Synthesis of the Structure Proposed for Picrasidine-H (Dimeric 4-Methoxy-P-Carboline Alkaloid). </w:t>
      </w:r>
      <w:r w:rsidRPr="007B7129">
        <w:rPr>
          <w:i/>
          <w:iCs/>
        </w:rPr>
        <w:t>Heterocycles</w:t>
      </w:r>
      <w:r w:rsidRPr="007B7129">
        <w:t xml:space="preserve"> </w:t>
      </w:r>
      <w:r w:rsidRPr="007B7129">
        <w:rPr>
          <w:b/>
          <w:bCs/>
        </w:rPr>
        <w:t>1997</w:t>
      </w:r>
      <w:r w:rsidRPr="007B7129">
        <w:t xml:space="preserve">, </w:t>
      </w:r>
      <w:r w:rsidRPr="007B7129">
        <w:rPr>
          <w:i/>
          <w:iCs/>
        </w:rPr>
        <w:t>16</w:t>
      </w:r>
      <w:r w:rsidRPr="007B7129">
        <w:t>, 57–60.</w:t>
      </w:r>
    </w:p>
    <w:p w14:paraId="5474B7FF" w14:textId="77777777" w:rsidR="007B7129" w:rsidRPr="007B7129" w:rsidRDefault="007B7129" w:rsidP="007B7129">
      <w:pPr>
        <w:tabs>
          <w:tab w:val="left" w:pos="504"/>
        </w:tabs>
        <w:spacing w:after="0"/>
        <w:ind w:left="504" w:hanging="504"/>
      </w:pPr>
      <w:r w:rsidRPr="007B7129">
        <w:t xml:space="preserve">(39) </w:t>
      </w:r>
      <w:r w:rsidRPr="007B7129">
        <w:tab/>
        <w:t xml:space="preserve">Omura, K.; </w:t>
      </w:r>
      <w:proofErr w:type="spellStart"/>
      <w:r w:rsidRPr="007B7129">
        <w:t>Swern</w:t>
      </w:r>
      <w:proofErr w:type="spellEnd"/>
      <w:r w:rsidRPr="007B7129">
        <w:t xml:space="preserve">, D. Oxidation of Alcohols by “Activated” Dimethyl Sulfoxide. a Preparative, Steric and Mechanistic Study. </w:t>
      </w:r>
      <w:r w:rsidRPr="007B7129">
        <w:rPr>
          <w:i/>
          <w:iCs/>
        </w:rPr>
        <w:t>Tetrahedron</w:t>
      </w:r>
      <w:r w:rsidRPr="007B7129">
        <w:t xml:space="preserve"> </w:t>
      </w:r>
      <w:r w:rsidRPr="007B7129">
        <w:rPr>
          <w:b/>
          <w:bCs/>
        </w:rPr>
        <w:t>1978</w:t>
      </w:r>
      <w:r w:rsidRPr="007B7129">
        <w:t xml:space="preserve">, </w:t>
      </w:r>
      <w:r w:rsidRPr="007B7129">
        <w:rPr>
          <w:i/>
          <w:iCs/>
        </w:rPr>
        <w:t>34</w:t>
      </w:r>
      <w:r w:rsidRPr="007B7129">
        <w:t xml:space="preserve"> (11), 1651–1660. https://doi.org/10.1016/0040-4020(78)80197-5.</w:t>
      </w:r>
    </w:p>
    <w:p w14:paraId="1CC38B1B" w14:textId="77777777" w:rsidR="007B7129" w:rsidRPr="007B7129" w:rsidRDefault="007B7129" w:rsidP="007B7129">
      <w:pPr>
        <w:tabs>
          <w:tab w:val="left" w:pos="504"/>
        </w:tabs>
        <w:spacing w:after="0"/>
        <w:ind w:left="504" w:hanging="504"/>
      </w:pPr>
      <w:r w:rsidRPr="007B7129">
        <w:t xml:space="preserve">(40) </w:t>
      </w:r>
      <w:r w:rsidRPr="007B7129">
        <w:tab/>
        <w:t xml:space="preserve">Gros, P.; Fort, Y.; </w:t>
      </w:r>
      <w:proofErr w:type="spellStart"/>
      <w:r w:rsidRPr="007B7129">
        <w:t>Caubère</w:t>
      </w:r>
      <w:proofErr w:type="spellEnd"/>
      <w:r w:rsidRPr="007B7129">
        <w:t xml:space="preserve">, P. Aggregative Activation in Heterocyclic Chemistry. Part </w:t>
      </w:r>
      <w:proofErr w:type="gramStart"/>
      <w:r w:rsidRPr="007B7129">
        <w:t>5.†</w:t>
      </w:r>
      <w:proofErr w:type="gramEnd"/>
      <w:r w:rsidRPr="007B7129">
        <w:t xml:space="preserve"> Lithiation of Pyridine and Quinoline with the Complex Base BuLi·Me2N(CH2)2OLi (</w:t>
      </w:r>
      <w:proofErr w:type="spellStart"/>
      <w:r w:rsidRPr="007B7129">
        <w:t>BuLi·LiDMAE</w:t>
      </w:r>
      <w:proofErr w:type="spellEnd"/>
      <w:r w:rsidRPr="007B7129">
        <w:t xml:space="preserve">). </w:t>
      </w:r>
      <w:r w:rsidRPr="007B7129">
        <w:rPr>
          <w:i/>
          <w:iCs/>
        </w:rPr>
        <w:t>J. Chem. Soc., Perkin Trans. 1</w:t>
      </w:r>
      <w:r w:rsidRPr="007B7129">
        <w:t xml:space="preserve"> </w:t>
      </w:r>
      <w:r w:rsidRPr="007B7129">
        <w:rPr>
          <w:b/>
          <w:bCs/>
        </w:rPr>
        <w:t>1997</w:t>
      </w:r>
      <w:r w:rsidRPr="007B7129">
        <w:t>, No. 24, 3597–3600. https://doi.org/10.1039/A705027E.</w:t>
      </w:r>
    </w:p>
    <w:p w14:paraId="14BC39A4" w14:textId="77777777" w:rsidR="007B7129" w:rsidRPr="007B7129" w:rsidRDefault="007B7129" w:rsidP="007B7129">
      <w:pPr>
        <w:tabs>
          <w:tab w:val="left" w:pos="504"/>
        </w:tabs>
        <w:spacing w:after="0"/>
        <w:ind w:left="504" w:hanging="504"/>
      </w:pPr>
      <w:r w:rsidRPr="007B7129">
        <w:t xml:space="preserve">(41) </w:t>
      </w:r>
      <w:r w:rsidRPr="007B7129">
        <w:tab/>
        <w:t xml:space="preserve">Li, B.; Wu, Z.-H.; Gu, Y.-F.; Sun, C.-L.; Wang, B.-Q.; Shi, Z.-J. Direct Cross-Coupling of C-H Bonds with Grignard Reagents through Cobalt Catalysis. </w:t>
      </w:r>
      <w:proofErr w:type="spellStart"/>
      <w:r w:rsidRPr="007B7129">
        <w:rPr>
          <w:i/>
          <w:iCs/>
        </w:rPr>
        <w:t>Angewandte</w:t>
      </w:r>
      <w:proofErr w:type="spellEnd"/>
      <w:r w:rsidRPr="007B7129">
        <w:rPr>
          <w:i/>
          <w:iCs/>
        </w:rPr>
        <w:t xml:space="preserve"> </w:t>
      </w:r>
      <w:proofErr w:type="spellStart"/>
      <w:r w:rsidRPr="007B7129">
        <w:rPr>
          <w:i/>
          <w:iCs/>
        </w:rPr>
        <w:t>Chemie</w:t>
      </w:r>
      <w:proofErr w:type="spellEnd"/>
      <w:r w:rsidRPr="007B7129">
        <w:rPr>
          <w:i/>
          <w:iCs/>
        </w:rPr>
        <w:t xml:space="preserve"> International Edition</w:t>
      </w:r>
      <w:r w:rsidRPr="007B7129">
        <w:t xml:space="preserve"> </w:t>
      </w:r>
      <w:r w:rsidRPr="007B7129">
        <w:rPr>
          <w:b/>
          <w:bCs/>
        </w:rPr>
        <w:t>2011</w:t>
      </w:r>
      <w:r w:rsidRPr="007B7129">
        <w:t xml:space="preserve">, </w:t>
      </w:r>
      <w:r w:rsidRPr="007B7129">
        <w:rPr>
          <w:i/>
          <w:iCs/>
        </w:rPr>
        <w:t>50</w:t>
      </w:r>
      <w:r w:rsidRPr="007B7129">
        <w:t xml:space="preserve"> (5), 1109–1113. https://doi.org/10.1002/anie.201005394.</w:t>
      </w:r>
    </w:p>
    <w:p w14:paraId="13FC1036" w14:textId="77777777" w:rsidR="007B7129" w:rsidRPr="007B7129" w:rsidRDefault="007B7129" w:rsidP="007B7129">
      <w:pPr>
        <w:tabs>
          <w:tab w:val="left" w:pos="504"/>
        </w:tabs>
        <w:spacing w:after="0"/>
        <w:ind w:left="504" w:hanging="504"/>
      </w:pPr>
      <w:r w:rsidRPr="007B7129">
        <w:t xml:space="preserve">(42) </w:t>
      </w:r>
      <w:r w:rsidRPr="007B7129">
        <w:tab/>
      </w:r>
      <w:proofErr w:type="spellStart"/>
      <w:r w:rsidRPr="007B7129">
        <w:t>Minisci</w:t>
      </w:r>
      <w:proofErr w:type="spellEnd"/>
      <w:r w:rsidRPr="007B7129">
        <w:t xml:space="preserve">, F.; Bernardi, R.; Bertini, F.; Galli, R.; </w:t>
      </w:r>
      <w:proofErr w:type="spellStart"/>
      <w:r w:rsidRPr="007B7129">
        <w:t>Perchinummo</w:t>
      </w:r>
      <w:proofErr w:type="spellEnd"/>
      <w:r w:rsidRPr="007B7129">
        <w:t xml:space="preserve">, M. Nucleophilic Character of Alkyl Radicals—VI: A New Convenient Selective Alkylation of Heteroaromatic Bases. </w:t>
      </w:r>
      <w:r w:rsidRPr="007B7129">
        <w:rPr>
          <w:i/>
          <w:iCs/>
        </w:rPr>
        <w:t>Tetrahedron</w:t>
      </w:r>
      <w:r w:rsidRPr="007B7129">
        <w:t xml:space="preserve"> </w:t>
      </w:r>
      <w:r w:rsidRPr="007B7129">
        <w:rPr>
          <w:b/>
          <w:bCs/>
        </w:rPr>
        <w:t>1971</w:t>
      </w:r>
      <w:r w:rsidRPr="007B7129">
        <w:t xml:space="preserve">, </w:t>
      </w:r>
      <w:r w:rsidRPr="007B7129">
        <w:rPr>
          <w:i/>
          <w:iCs/>
        </w:rPr>
        <w:t>27</w:t>
      </w:r>
      <w:r w:rsidRPr="007B7129">
        <w:t xml:space="preserve"> (15), 3575–3579. https://doi.org/10.1016/S0040-4020(01)97768-3.</w:t>
      </w:r>
    </w:p>
    <w:p w14:paraId="4806B3F8" w14:textId="77777777" w:rsidR="007B7129" w:rsidRPr="007B7129" w:rsidRDefault="007B7129" w:rsidP="007B7129">
      <w:pPr>
        <w:tabs>
          <w:tab w:val="left" w:pos="504"/>
        </w:tabs>
        <w:spacing w:after="0"/>
        <w:ind w:left="504" w:hanging="504"/>
      </w:pPr>
      <w:r w:rsidRPr="007B7129">
        <w:t xml:space="preserve">(43) </w:t>
      </w:r>
      <w:r w:rsidRPr="007B7129">
        <w:tab/>
        <w:t xml:space="preserve">Andreeva, I. V.; </w:t>
      </w:r>
      <w:proofErr w:type="spellStart"/>
      <w:r w:rsidRPr="007B7129">
        <w:t>Artemyeva</w:t>
      </w:r>
      <w:proofErr w:type="spellEnd"/>
      <w:r w:rsidRPr="007B7129">
        <w:t xml:space="preserve">, V. N.; Nesterov, V. V.; </w:t>
      </w:r>
      <w:proofErr w:type="spellStart"/>
      <w:r w:rsidRPr="007B7129">
        <w:t>Kukarkina</w:t>
      </w:r>
      <w:proofErr w:type="spellEnd"/>
      <w:r w:rsidRPr="007B7129">
        <w:t xml:space="preserve">, N. V. Methods of Acrolein Polymerization and Investigation of Structures of the Polymers Obtained | EndNote Click. </w:t>
      </w:r>
      <w:r w:rsidRPr="007B7129">
        <w:rPr>
          <w:i/>
          <w:iCs/>
        </w:rPr>
        <w:t>Journal of Polymer Science</w:t>
      </w:r>
      <w:r w:rsidRPr="007B7129">
        <w:t xml:space="preserve"> </w:t>
      </w:r>
      <w:r w:rsidRPr="007B7129">
        <w:rPr>
          <w:b/>
          <w:bCs/>
        </w:rPr>
        <w:t>1979</w:t>
      </w:r>
      <w:r w:rsidRPr="007B7129">
        <w:t xml:space="preserve">, </w:t>
      </w:r>
      <w:r w:rsidRPr="007B7129">
        <w:rPr>
          <w:i/>
          <w:iCs/>
        </w:rPr>
        <w:t>17</w:t>
      </w:r>
      <w:r w:rsidRPr="007B7129">
        <w:t>, 3415–3424.</w:t>
      </w:r>
    </w:p>
    <w:p w14:paraId="44330E74" w14:textId="77777777" w:rsidR="007B7129" w:rsidRPr="007B7129" w:rsidRDefault="007B7129" w:rsidP="007B7129">
      <w:pPr>
        <w:tabs>
          <w:tab w:val="left" w:pos="504"/>
        </w:tabs>
        <w:spacing w:after="0"/>
        <w:ind w:left="504" w:hanging="504"/>
      </w:pPr>
      <w:r w:rsidRPr="007B7129">
        <w:t xml:space="preserve">(44) </w:t>
      </w:r>
      <w:r w:rsidRPr="007B7129">
        <w:tab/>
        <w:t xml:space="preserve">Li, S. Chapter 12 - Fundamentals of Polymerization Reaction Engineering. In </w:t>
      </w:r>
      <w:r w:rsidRPr="007B7129">
        <w:rPr>
          <w:i/>
          <w:iCs/>
        </w:rPr>
        <w:t>Reaction Engineering</w:t>
      </w:r>
      <w:r w:rsidRPr="007B7129">
        <w:t>; Li, S., Ed.; Butterworth-Heinemann: Boston, 2017; pp 541–598. https://doi.org/10.1016/B978-0-12-410416-7.00012-4.</w:t>
      </w:r>
    </w:p>
    <w:p w14:paraId="75BE5E6A" w14:textId="77777777" w:rsidR="007B7129" w:rsidRPr="007B7129" w:rsidRDefault="007B7129" w:rsidP="007B7129">
      <w:pPr>
        <w:tabs>
          <w:tab w:val="left" w:pos="504"/>
        </w:tabs>
        <w:spacing w:after="0"/>
        <w:ind w:left="504" w:hanging="504"/>
      </w:pPr>
      <w:r w:rsidRPr="007B7129">
        <w:lastRenderedPageBreak/>
        <w:t xml:space="preserve">(45) </w:t>
      </w:r>
      <w:r w:rsidRPr="007B7129">
        <w:tab/>
        <w:t xml:space="preserve">Kamal, A.; Srinivasulu, V.; Nayak, V. L.; Sathish, M.; </w:t>
      </w:r>
      <w:proofErr w:type="spellStart"/>
      <w:r w:rsidRPr="007B7129">
        <w:t>Shankaraiah</w:t>
      </w:r>
      <w:proofErr w:type="spellEnd"/>
      <w:r w:rsidRPr="007B7129">
        <w:t xml:space="preserve">, N.; Bagul, C.; Reddy, N. V. S.; Rangaraj, N.; Nagesh, N. Design and Synthesis of C3-Pyrazole/Chalcone-Linked Beta-Carboline Hybrids: </w:t>
      </w:r>
      <w:proofErr w:type="spellStart"/>
      <w:r w:rsidRPr="007B7129">
        <w:t>Antitopoisomerase</w:t>
      </w:r>
      <w:proofErr w:type="spellEnd"/>
      <w:r w:rsidRPr="007B7129">
        <w:t xml:space="preserve"> I, DNA-Interactive, and Apoptosis-Inducing Anticancer Agents. </w:t>
      </w:r>
      <w:r w:rsidRPr="007B7129">
        <w:rPr>
          <w:i/>
          <w:iCs/>
        </w:rPr>
        <w:t>Chem. Med. Chem.</w:t>
      </w:r>
      <w:r w:rsidRPr="007B7129">
        <w:t xml:space="preserve"> </w:t>
      </w:r>
      <w:r w:rsidRPr="007B7129">
        <w:rPr>
          <w:b/>
          <w:bCs/>
        </w:rPr>
        <w:t>2014</w:t>
      </w:r>
      <w:r w:rsidRPr="007B7129">
        <w:t xml:space="preserve">, </w:t>
      </w:r>
      <w:r w:rsidRPr="007B7129">
        <w:rPr>
          <w:i/>
          <w:iCs/>
        </w:rPr>
        <w:t>9</w:t>
      </w:r>
      <w:r w:rsidRPr="007B7129">
        <w:t xml:space="preserve"> (9), 2084–2098. https://doi.org/10.1002/cmdc.201300406.</w:t>
      </w:r>
    </w:p>
    <w:p w14:paraId="23390664" w14:textId="77777777" w:rsidR="007B7129" w:rsidRPr="007B7129" w:rsidRDefault="007B7129" w:rsidP="007B7129">
      <w:pPr>
        <w:tabs>
          <w:tab w:val="left" w:pos="504"/>
        </w:tabs>
        <w:spacing w:after="0"/>
        <w:ind w:left="504" w:hanging="504"/>
      </w:pPr>
      <w:r w:rsidRPr="007B7129">
        <w:t xml:space="preserve">(46) </w:t>
      </w:r>
      <w:r w:rsidRPr="007B7129">
        <w:tab/>
        <w:t>Cain, M.; Campos, O.; Guzman, F.; Cook, J. M. Selenium Dioxide Oxidations in the Indole Area. Synthesis of /3-Carboline Alkaloids. 7.</w:t>
      </w:r>
    </w:p>
    <w:p w14:paraId="5DB6E3CC" w14:textId="77777777" w:rsidR="007B7129" w:rsidRPr="007B7129" w:rsidRDefault="007B7129" w:rsidP="007B7129">
      <w:pPr>
        <w:tabs>
          <w:tab w:val="left" w:pos="504"/>
        </w:tabs>
        <w:spacing w:after="0"/>
        <w:ind w:left="504" w:hanging="504"/>
      </w:pPr>
      <w:r w:rsidRPr="007B7129">
        <w:t xml:space="preserve">(47) </w:t>
      </w:r>
      <w:r w:rsidRPr="007B7129">
        <w:tab/>
        <w:t xml:space="preserve">Gaikwad, S.; Kamble, D.; Lokhande, P. Iodine-Catalyzed </w:t>
      </w:r>
      <w:proofErr w:type="spellStart"/>
      <w:r w:rsidRPr="007B7129">
        <w:t>Chemoselective</w:t>
      </w:r>
      <w:proofErr w:type="spellEnd"/>
      <w:r w:rsidRPr="007B7129">
        <w:t xml:space="preserve"> Dehydrogenation and Aromatization of Tetrahydro-β-Carbolines: A Short Synthesis of </w:t>
      </w:r>
      <w:proofErr w:type="spellStart"/>
      <w:r w:rsidRPr="007B7129">
        <w:t>Kumujian</w:t>
      </w:r>
      <w:proofErr w:type="spellEnd"/>
      <w:r w:rsidRPr="007B7129">
        <w:t xml:space="preserve">-C, </w:t>
      </w:r>
      <w:proofErr w:type="spellStart"/>
      <w:r w:rsidRPr="007B7129">
        <w:t>Eudistomin</w:t>
      </w:r>
      <w:proofErr w:type="spellEnd"/>
      <w:r w:rsidRPr="007B7129">
        <w:t xml:space="preserve">-U, </w:t>
      </w:r>
      <w:proofErr w:type="spellStart"/>
      <w:r w:rsidRPr="007B7129">
        <w:t>Norharmane</w:t>
      </w:r>
      <w:proofErr w:type="spellEnd"/>
      <w:r w:rsidRPr="007B7129">
        <w:t xml:space="preserve">, Harmane </w:t>
      </w:r>
      <w:proofErr w:type="spellStart"/>
      <w:r w:rsidRPr="007B7129">
        <w:t>Harmalan</w:t>
      </w:r>
      <w:proofErr w:type="spellEnd"/>
      <w:r w:rsidRPr="007B7129">
        <w:t xml:space="preserve"> and </w:t>
      </w:r>
      <w:proofErr w:type="spellStart"/>
      <w:r w:rsidRPr="007B7129">
        <w:t>Isoeudistomine</w:t>
      </w:r>
      <w:proofErr w:type="spellEnd"/>
      <w:r w:rsidRPr="007B7129">
        <w:t xml:space="preserve">-M. </w:t>
      </w:r>
      <w:r w:rsidRPr="007B7129">
        <w:rPr>
          <w:i/>
          <w:iCs/>
        </w:rPr>
        <w:t>Tetrahedron Letters</w:t>
      </w:r>
      <w:r w:rsidRPr="007B7129">
        <w:t xml:space="preserve"> </w:t>
      </w:r>
      <w:r w:rsidRPr="007B7129">
        <w:rPr>
          <w:b/>
          <w:bCs/>
        </w:rPr>
        <w:t>2018</w:t>
      </w:r>
      <w:r w:rsidRPr="007B7129">
        <w:t xml:space="preserve">, </w:t>
      </w:r>
      <w:r w:rsidRPr="007B7129">
        <w:rPr>
          <w:i/>
          <w:iCs/>
        </w:rPr>
        <w:t>59</w:t>
      </w:r>
      <w:r w:rsidRPr="007B7129">
        <w:t xml:space="preserve"> (25), 2387–2392. https://doi.org/10.1016/j.tetlet.2018.04.043.</w:t>
      </w:r>
    </w:p>
    <w:p w14:paraId="4C4DEF29" w14:textId="77777777" w:rsidR="007B7129" w:rsidRPr="007B7129" w:rsidRDefault="007B7129" w:rsidP="007B7129">
      <w:pPr>
        <w:tabs>
          <w:tab w:val="left" w:pos="504"/>
        </w:tabs>
        <w:spacing w:after="0"/>
        <w:ind w:left="504" w:hanging="504"/>
      </w:pPr>
      <w:r w:rsidRPr="007B7129">
        <w:t xml:space="preserve">(48) </w:t>
      </w:r>
      <w:r w:rsidRPr="007B7129">
        <w:tab/>
        <w:t xml:space="preserve">Kamal, A.; Tangella, Y.; Manasa, K. L.; Sathish, M.; Srinivasulu, V.; Chetna, J.; </w:t>
      </w:r>
      <w:proofErr w:type="spellStart"/>
      <w:r w:rsidRPr="007B7129">
        <w:t>Alarifi</w:t>
      </w:r>
      <w:proofErr w:type="spellEnd"/>
      <w:r w:rsidRPr="007B7129">
        <w:t xml:space="preserve">, A. </w:t>
      </w:r>
      <w:proofErr w:type="spellStart"/>
      <w:proofErr w:type="gramStart"/>
      <w:r w:rsidRPr="007B7129">
        <w:t>PhI</w:t>
      </w:r>
      <w:proofErr w:type="spellEnd"/>
      <w:r w:rsidRPr="007B7129">
        <w:t>(</w:t>
      </w:r>
      <w:proofErr w:type="spellStart"/>
      <w:proofErr w:type="gramEnd"/>
      <w:r w:rsidRPr="007B7129">
        <w:t>OAc</w:t>
      </w:r>
      <w:proofErr w:type="spellEnd"/>
      <w:r w:rsidRPr="007B7129">
        <w:t xml:space="preserve">) </w:t>
      </w:r>
      <w:r w:rsidRPr="007B7129">
        <w:rPr>
          <w:vertAlign w:val="subscript"/>
        </w:rPr>
        <w:t>2</w:t>
      </w:r>
      <w:r w:rsidRPr="007B7129">
        <w:t xml:space="preserve"> -Mediated One-Pot Oxidative Decarboxylation and Aromatization of Tetrahydro-β-Carbolines: Synthesis of </w:t>
      </w:r>
      <w:proofErr w:type="spellStart"/>
      <w:r w:rsidRPr="007B7129">
        <w:t>Norharmane</w:t>
      </w:r>
      <w:proofErr w:type="spellEnd"/>
      <w:r w:rsidRPr="007B7129">
        <w:t xml:space="preserve">, Harmane, </w:t>
      </w:r>
      <w:proofErr w:type="spellStart"/>
      <w:r w:rsidRPr="007B7129">
        <w:t>Eudistomin</w:t>
      </w:r>
      <w:proofErr w:type="spellEnd"/>
      <w:r w:rsidRPr="007B7129">
        <w:t xml:space="preserve"> U and </w:t>
      </w:r>
      <w:proofErr w:type="spellStart"/>
      <w:r w:rsidRPr="007B7129">
        <w:t>Eudistomin</w:t>
      </w:r>
      <w:proofErr w:type="spellEnd"/>
      <w:r w:rsidRPr="007B7129">
        <w:t xml:space="preserve"> I. </w:t>
      </w:r>
      <w:r w:rsidRPr="007B7129">
        <w:rPr>
          <w:i/>
          <w:iCs/>
        </w:rPr>
        <w:t xml:space="preserve">Org. </w:t>
      </w:r>
      <w:proofErr w:type="spellStart"/>
      <w:r w:rsidRPr="007B7129">
        <w:rPr>
          <w:i/>
          <w:iCs/>
        </w:rPr>
        <w:t>Biomol</w:t>
      </w:r>
      <w:proofErr w:type="spellEnd"/>
      <w:r w:rsidRPr="007B7129">
        <w:rPr>
          <w:i/>
          <w:iCs/>
        </w:rPr>
        <w:t>. Chem.</w:t>
      </w:r>
      <w:r w:rsidRPr="007B7129">
        <w:t xml:space="preserve"> </w:t>
      </w:r>
      <w:r w:rsidRPr="007B7129">
        <w:rPr>
          <w:b/>
          <w:bCs/>
        </w:rPr>
        <w:t>2015</w:t>
      </w:r>
      <w:r w:rsidRPr="007B7129">
        <w:t xml:space="preserve">, </w:t>
      </w:r>
      <w:r w:rsidRPr="007B7129">
        <w:rPr>
          <w:i/>
          <w:iCs/>
        </w:rPr>
        <w:t>13</w:t>
      </w:r>
      <w:r w:rsidRPr="007B7129">
        <w:t xml:space="preserve"> (32), 8652–8662. https://doi.org/10.1039/C5OB00871A.</w:t>
      </w:r>
    </w:p>
    <w:p w14:paraId="64DCE0DE" w14:textId="77777777" w:rsidR="007B7129" w:rsidRPr="007B7129" w:rsidRDefault="007B7129" w:rsidP="007B7129">
      <w:pPr>
        <w:tabs>
          <w:tab w:val="left" w:pos="504"/>
        </w:tabs>
        <w:spacing w:after="0"/>
        <w:ind w:left="504" w:hanging="504"/>
      </w:pPr>
      <w:r w:rsidRPr="007B7129">
        <w:t xml:space="preserve">(49) </w:t>
      </w:r>
      <w:r w:rsidRPr="007B7129">
        <w:tab/>
        <w:t xml:space="preserve">Hati, S.; Sen, S. N-Bromo-Succinimide Promoted Synthesis of β-Carbolines and 3,4-Dihydro-β-Carbolines from Tetrahydro-β-Carbolines. </w:t>
      </w:r>
      <w:r w:rsidRPr="007B7129">
        <w:rPr>
          <w:i/>
          <w:iCs/>
        </w:rPr>
        <w:t>Tetrahedron Letters</w:t>
      </w:r>
      <w:r w:rsidRPr="007B7129">
        <w:t xml:space="preserve"> </w:t>
      </w:r>
      <w:r w:rsidRPr="007B7129">
        <w:rPr>
          <w:b/>
          <w:bCs/>
        </w:rPr>
        <w:t>2016</w:t>
      </w:r>
      <w:r w:rsidRPr="007B7129">
        <w:t xml:space="preserve">, </w:t>
      </w:r>
      <w:r w:rsidRPr="007B7129">
        <w:rPr>
          <w:i/>
          <w:iCs/>
        </w:rPr>
        <w:t>57</w:t>
      </w:r>
      <w:r w:rsidRPr="007B7129">
        <w:t xml:space="preserve"> (9), 1040–1043. https://doi.org/10.1016/j.tetlet.2016.01.081.</w:t>
      </w:r>
    </w:p>
    <w:p w14:paraId="08AB90D9" w14:textId="77777777" w:rsidR="007B7129" w:rsidRPr="007B7129" w:rsidRDefault="007B7129" w:rsidP="007B7129">
      <w:pPr>
        <w:tabs>
          <w:tab w:val="left" w:pos="504"/>
        </w:tabs>
        <w:spacing w:after="0"/>
        <w:ind w:left="504" w:hanging="504"/>
      </w:pPr>
      <w:r w:rsidRPr="007B7129">
        <w:t xml:space="preserve">(50) </w:t>
      </w:r>
      <w:r w:rsidRPr="007B7129">
        <w:tab/>
        <w:t xml:space="preserve">Rinehart, K. L.; Kobayashi, J.; </w:t>
      </w:r>
      <w:proofErr w:type="spellStart"/>
      <w:r w:rsidRPr="007B7129">
        <w:t>Harbour</w:t>
      </w:r>
      <w:proofErr w:type="spellEnd"/>
      <w:r w:rsidRPr="007B7129">
        <w:t xml:space="preserve">, G. C.; Gilmore, J.; </w:t>
      </w:r>
      <w:proofErr w:type="spellStart"/>
      <w:r w:rsidRPr="007B7129">
        <w:t>Mascal</w:t>
      </w:r>
      <w:proofErr w:type="spellEnd"/>
      <w:r w:rsidRPr="007B7129">
        <w:t xml:space="preserve">, M.; Holt, T. G.; Shield, L. S.; Lafargue, F. </w:t>
      </w:r>
      <w:proofErr w:type="spellStart"/>
      <w:r w:rsidRPr="007B7129">
        <w:t>Eudistomins</w:t>
      </w:r>
      <w:proofErr w:type="spellEnd"/>
      <w:r w:rsidRPr="007B7129">
        <w:t xml:space="preserve"> A-Q, Beta-Carbolines from the Antiviral Caribbean Tunicate </w:t>
      </w:r>
      <w:proofErr w:type="spellStart"/>
      <w:r w:rsidRPr="007B7129">
        <w:t>Eudistoma</w:t>
      </w:r>
      <w:proofErr w:type="spellEnd"/>
      <w:r w:rsidRPr="007B7129">
        <w:t xml:space="preserve"> </w:t>
      </w:r>
      <w:proofErr w:type="spellStart"/>
      <w:r w:rsidRPr="007B7129">
        <w:t>Olivaceum</w:t>
      </w:r>
      <w:proofErr w:type="spellEnd"/>
      <w:r w:rsidRPr="007B7129">
        <w:t xml:space="preserve">. </w:t>
      </w:r>
      <w:r w:rsidRPr="007B7129">
        <w:rPr>
          <w:i/>
          <w:iCs/>
        </w:rPr>
        <w:t>J. Am. Chem. Soc.</w:t>
      </w:r>
      <w:r w:rsidRPr="007B7129">
        <w:t xml:space="preserve"> </w:t>
      </w:r>
      <w:r w:rsidRPr="007B7129">
        <w:rPr>
          <w:b/>
          <w:bCs/>
        </w:rPr>
        <w:t>1987</w:t>
      </w:r>
      <w:r w:rsidRPr="007B7129">
        <w:t xml:space="preserve">, </w:t>
      </w:r>
      <w:r w:rsidRPr="007B7129">
        <w:rPr>
          <w:i/>
          <w:iCs/>
        </w:rPr>
        <w:t>109</w:t>
      </w:r>
      <w:r w:rsidRPr="007B7129">
        <w:t xml:space="preserve"> (11), 3378–3387. https://doi.org/10.1021/ja00245a031.</w:t>
      </w:r>
    </w:p>
    <w:p w14:paraId="38E09366" w14:textId="77777777" w:rsidR="007B7129" w:rsidRPr="007B7129" w:rsidRDefault="007B7129" w:rsidP="007B7129">
      <w:pPr>
        <w:tabs>
          <w:tab w:val="left" w:pos="504"/>
        </w:tabs>
        <w:spacing w:after="0"/>
        <w:ind w:left="504" w:hanging="504"/>
      </w:pPr>
      <w:r w:rsidRPr="007B7129">
        <w:lastRenderedPageBreak/>
        <w:t xml:space="preserve">(51) </w:t>
      </w:r>
      <w:r w:rsidRPr="007B7129">
        <w:tab/>
        <w:t xml:space="preserve">D’Agostino, I.; </w:t>
      </w:r>
      <w:proofErr w:type="spellStart"/>
      <w:r w:rsidRPr="007B7129">
        <w:t>Giacchello</w:t>
      </w:r>
      <w:proofErr w:type="spellEnd"/>
      <w:r w:rsidRPr="007B7129">
        <w:t xml:space="preserve">, I.; </w:t>
      </w:r>
      <w:proofErr w:type="spellStart"/>
      <w:r w:rsidRPr="007B7129">
        <w:t>Nannetti</w:t>
      </w:r>
      <w:proofErr w:type="spellEnd"/>
      <w:r w:rsidRPr="007B7129">
        <w:t xml:space="preserve">, G.; </w:t>
      </w:r>
      <w:proofErr w:type="spellStart"/>
      <w:r w:rsidRPr="007B7129">
        <w:t>Fallacara</w:t>
      </w:r>
      <w:proofErr w:type="spellEnd"/>
      <w:r w:rsidRPr="007B7129">
        <w:t xml:space="preserve">, A. L.; Deodato, D.; Musumeci, F.; Grossi, G.; Palù, G.; </w:t>
      </w:r>
      <w:proofErr w:type="spellStart"/>
      <w:r w:rsidRPr="007B7129">
        <w:t>Cau</w:t>
      </w:r>
      <w:proofErr w:type="spellEnd"/>
      <w:r w:rsidRPr="007B7129">
        <w:t xml:space="preserve">, Y.; Trist, I. M.; </w:t>
      </w:r>
      <w:proofErr w:type="spellStart"/>
      <w:r w:rsidRPr="007B7129">
        <w:t>Loregian</w:t>
      </w:r>
      <w:proofErr w:type="spellEnd"/>
      <w:r w:rsidRPr="007B7129">
        <w:t xml:space="preserve">, A.; Schenone, S.; Botta, M. Synthesis and Biological Evaluation of a Library of Hybrid Derivatives as Inhibitors of Influenza Virus PA-PB1 Interaction. </w:t>
      </w:r>
      <w:r w:rsidRPr="007B7129">
        <w:rPr>
          <w:i/>
          <w:iCs/>
        </w:rPr>
        <w:t>European Journal of Medicinal Chemistry</w:t>
      </w:r>
      <w:r w:rsidRPr="007B7129">
        <w:t xml:space="preserve"> </w:t>
      </w:r>
      <w:r w:rsidRPr="007B7129">
        <w:rPr>
          <w:b/>
          <w:bCs/>
        </w:rPr>
        <w:t>2018</w:t>
      </w:r>
      <w:r w:rsidRPr="007B7129">
        <w:t xml:space="preserve">, </w:t>
      </w:r>
      <w:r w:rsidRPr="007B7129">
        <w:rPr>
          <w:i/>
          <w:iCs/>
        </w:rPr>
        <w:t>157</w:t>
      </w:r>
      <w:r w:rsidRPr="007B7129">
        <w:t>, 743–758. https://doi.org/10.1016/j.ejmech.2018.08.032.</w:t>
      </w:r>
    </w:p>
    <w:p w14:paraId="1A837D3C" w14:textId="77777777" w:rsidR="007B7129" w:rsidRPr="007B7129" w:rsidRDefault="007B7129" w:rsidP="007B7129">
      <w:pPr>
        <w:tabs>
          <w:tab w:val="left" w:pos="504"/>
        </w:tabs>
        <w:spacing w:after="0"/>
        <w:ind w:left="504" w:hanging="504"/>
      </w:pPr>
      <w:r w:rsidRPr="007B7129">
        <w:t xml:space="preserve">(52) </w:t>
      </w:r>
      <w:r w:rsidRPr="007B7129">
        <w:tab/>
      </w:r>
      <w:proofErr w:type="spellStart"/>
      <w:r w:rsidRPr="007B7129">
        <w:t>Su</w:t>
      </w:r>
      <w:proofErr w:type="spellEnd"/>
      <w:r w:rsidRPr="007B7129">
        <w:t xml:space="preserve">, D. S.; Zhang, J.; Frank, B.; Thomas, A.; Wang, X.; </w:t>
      </w:r>
      <w:proofErr w:type="spellStart"/>
      <w:r w:rsidRPr="007B7129">
        <w:t>Paraknowitsch</w:t>
      </w:r>
      <w:proofErr w:type="spellEnd"/>
      <w:r w:rsidRPr="007B7129">
        <w:t xml:space="preserve">, J.; </w:t>
      </w:r>
      <w:proofErr w:type="spellStart"/>
      <w:r w:rsidRPr="007B7129">
        <w:t>Schlögl</w:t>
      </w:r>
      <w:proofErr w:type="spellEnd"/>
      <w:r w:rsidRPr="007B7129">
        <w:t xml:space="preserve">, R. Metal-Free Heterogeneous Catalysis for Sustainable Chemistry. </w:t>
      </w:r>
      <w:proofErr w:type="spellStart"/>
      <w:r w:rsidRPr="007B7129">
        <w:rPr>
          <w:i/>
          <w:iCs/>
        </w:rPr>
        <w:t>ChemSusChem</w:t>
      </w:r>
      <w:proofErr w:type="spellEnd"/>
      <w:r w:rsidRPr="007B7129">
        <w:t xml:space="preserve"> </w:t>
      </w:r>
      <w:r w:rsidRPr="007B7129">
        <w:rPr>
          <w:b/>
          <w:bCs/>
        </w:rPr>
        <w:t>2010</w:t>
      </w:r>
      <w:r w:rsidRPr="007B7129">
        <w:t xml:space="preserve">, </w:t>
      </w:r>
      <w:r w:rsidRPr="007B7129">
        <w:rPr>
          <w:i/>
          <w:iCs/>
        </w:rPr>
        <w:t>3</w:t>
      </w:r>
      <w:r w:rsidRPr="007B7129">
        <w:t xml:space="preserve"> (2), 169–180. https://doi.org/10.1002/cssc.200900180.</w:t>
      </w:r>
    </w:p>
    <w:p w14:paraId="41681DB8" w14:textId="77777777" w:rsidR="007B7129" w:rsidRPr="007B7129" w:rsidRDefault="007B7129" w:rsidP="007B7129">
      <w:pPr>
        <w:tabs>
          <w:tab w:val="left" w:pos="504"/>
        </w:tabs>
        <w:spacing w:after="0"/>
        <w:ind w:left="504" w:hanging="504"/>
      </w:pPr>
      <w:r w:rsidRPr="007B7129">
        <w:t xml:space="preserve">(53) </w:t>
      </w:r>
      <w:r w:rsidRPr="007B7129">
        <w:tab/>
        <w:t xml:space="preserve">Hati, S.; </w:t>
      </w:r>
      <w:proofErr w:type="spellStart"/>
      <w:r w:rsidRPr="007B7129">
        <w:t>Holzgrabe</w:t>
      </w:r>
      <w:proofErr w:type="spellEnd"/>
      <w:r w:rsidRPr="007B7129">
        <w:t xml:space="preserve">, U.; Sen, S. Oxidative Dehydrogenation of C–C and C–N Bonds: A Convenient Approach to Access Diverse (Dihydro)Heteroaromatic Compounds. </w:t>
      </w:r>
      <w:r w:rsidRPr="007B7129">
        <w:rPr>
          <w:i/>
          <w:iCs/>
        </w:rPr>
        <w:t>Beilstein J Org Chem</w:t>
      </w:r>
      <w:r w:rsidRPr="007B7129">
        <w:t xml:space="preserve"> </w:t>
      </w:r>
      <w:r w:rsidRPr="007B7129">
        <w:rPr>
          <w:b/>
          <w:bCs/>
        </w:rPr>
        <w:t>2017</w:t>
      </w:r>
      <w:r w:rsidRPr="007B7129">
        <w:t xml:space="preserve">, </w:t>
      </w:r>
      <w:r w:rsidRPr="007B7129">
        <w:rPr>
          <w:i/>
          <w:iCs/>
        </w:rPr>
        <w:t>13</w:t>
      </w:r>
      <w:r w:rsidRPr="007B7129">
        <w:t>, 1670–1692. https://doi.org/10.3762/bjoc.13.162.</w:t>
      </w:r>
    </w:p>
    <w:p w14:paraId="5248FB27" w14:textId="77777777" w:rsidR="007B7129" w:rsidRPr="007B7129" w:rsidRDefault="007B7129" w:rsidP="007B7129">
      <w:pPr>
        <w:tabs>
          <w:tab w:val="left" w:pos="504"/>
        </w:tabs>
        <w:spacing w:after="0"/>
        <w:ind w:left="504" w:hanging="504"/>
      </w:pPr>
      <w:r w:rsidRPr="007B7129">
        <w:t xml:space="preserve">(54) </w:t>
      </w:r>
      <w:r w:rsidRPr="007B7129">
        <w:tab/>
        <w:t xml:space="preserve">Schlitzer, S. C.; Arunprasath, D.; Stevens, K. G.; Sharma, I. A Metal-Free </w:t>
      </w:r>
      <w:proofErr w:type="spellStart"/>
      <w:r w:rsidRPr="007B7129">
        <w:t>Aromative</w:t>
      </w:r>
      <w:proofErr w:type="spellEnd"/>
      <w:r w:rsidRPr="007B7129">
        <w:t xml:space="preserve"> Cascade for the Synthesis of Diverse Heterocycles. </w:t>
      </w:r>
      <w:r w:rsidRPr="007B7129">
        <w:rPr>
          <w:i/>
          <w:iCs/>
        </w:rPr>
        <w:t>Org Chem Front</w:t>
      </w:r>
      <w:r w:rsidRPr="007B7129">
        <w:t xml:space="preserve"> </w:t>
      </w:r>
      <w:r w:rsidRPr="007B7129">
        <w:rPr>
          <w:b/>
          <w:bCs/>
        </w:rPr>
        <w:t>2020</w:t>
      </w:r>
      <w:r w:rsidRPr="007B7129">
        <w:t xml:space="preserve">, </w:t>
      </w:r>
      <w:r w:rsidRPr="007B7129">
        <w:rPr>
          <w:i/>
          <w:iCs/>
        </w:rPr>
        <w:t>7</w:t>
      </w:r>
      <w:r w:rsidRPr="007B7129">
        <w:t xml:space="preserve"> (7), 913–918. https://doi.org/10.1039/c9qo01336a.</w:t>
      </w:r>
    </w:p>
    <w:p w14:paraId="54D7E2CE" w14:textId="77777777" w:rsidR="007B7129" w:rsidRPr="007B7129" w:rsidRDefault="007B7129" w:rsidP="007B7129">
      <w:pPr>
        <w:tabs>
          <w:tab w:val="left" w:pos="504"/>
        </w:tabs>
        <w:spacing w:after="0"/>
        <w:ind w:left="504" w:hanging="504"/>
      </w:pPr>
      <w:r w:rsidRPr="007B7129">
        <w:t xml:space="preserve">(55) </w:t>
      </w:r>
      <w:r w:rsidRPr="007B7129">
        <w:tab/>
        <w:t xml:space="preserve">Kamal, A.; Sathish, M.; Prasanthi, A. V. G.; Chetna, J.; Tangella, Y.; Srinivasulu, V.; </w:t>
      </w:r>
      <w:proofErr w:type="spellStart"/>
      <w:r w:rsidRPr="007B7129">
        <w:t>Shankaraiah</w:t>
      </w:r>
      <w:proofErr w:type="spellEnd"/>
      <w:r w:rsidRPr="007B7129">
        <w:t xml:space="preserve">, N.; </w:t>
      </w:r>
      <w:proofErr w:type="spellStart"/>
      <w:r w:rsidRPr="007B7129">
        <w:t>Alarifi</w:t>
      </w:r>
      <w:proofErr w:type="spellEnd"/>
      <w:r w:rsidRPr="007B7129">
        <w:t xml:space="preserve">, A. An Efficient One-Pot Decarboxylative Aromatization of Tetrahydro-β-Carbolines by Using N-Chlorosuccinimide: Total Synthesis of </w:t>
      </w:r>
      <w:proofErr w:type="spellStart"/>
      <w:r w:rsidRPr="007B7129">
        <w:t>Norharmane</w:t>
      </w:r>
      <w:proofErr w:type="spellEnd"/>
      <w:r w:rsidRPr="007B7129">
        <w:t xml:space="preserve">, Harmane and </w:t>
      </w:r>
      <w:proofErr w:type="spellStart"/>
      <w:r w:rsidRPr="007B7129">
        <w:t>Eudistomins</w:t>
      </w:r>
      <w:proofErr w:type="spellEnd"/>
      <w:r w:rsidRPr="007B7129">
        <w:t xml:space="preserve">. </w:t>
      </w:r>
      <w:r w:rsidRPr="007B7129">
        <w:rPr>
          <w:i/>
          <w:iCs/>
        </w:rPr>
        <w:t>RSC Adv.</w:t>
      </w:r>
      <w:r w:rsidRPr="007B7129">
        <w:t xml:space="preserve"> </w:t>
      </w:r>
      <w:r w:rsidRPr="007B7129">
        <w:rPr>
          <w:b/>
          <w:bCs/>
        </w:rPr>
        <w:t>2015</w:t>
      </w:r>
      <w:r w:rsidRPr="007B7129">
        <w:t xml:space="preserve">, </w:t>
      </w:r>
      <w:r w:rsidRPr="007B7129">
        <w:rPr>
          <w:i/>
          <w:iCs/>
        </w:rPr>
        <w:t>5</w:t>
      </w:r>
      <w:r w:rsidRPr="007B7129">
        <w:t xml:space="preserve"> (109), 90121–90126. https://doi.org/10.1039/C5RA16221A.</w:t>
      </w:r>
    </w:p>
    <w:p w14:paraId="7924D84B" w14:textId="77777777" w:rsidR="007B7129" w:rsidRPr="007B7129" w:rsidRDefault="007B7129" w:rsidP="007B7129">
      <w:pPr>
        <w:tabs>
          <w:tab w:val="left" w:pos="504"/>
        </w:tabs>
        <w:spacing w:after="0"/>
        <w:ind w:left="504" w:hanging="504"/>
      </w:pPr>
      <w:r w:rsidRPr="007B7129">
        <w:t xml:space="preserve">(56) </w:t>
      </w:r>
      <w:r w:rsidRPr="007B7129">
        <w:tab/>
        <w:t xml:space="preserve">Zhao, Z.; Sun, Y.; Wang, L.; Chen, X.; Sun, Y.; Lin, L.; Tang, Y.; Li, F.; Chen, D. Organic Base-Promoted Efficient Dehydrogenative/Decarboxylative Aromatization of Tetrahydro-β-Carbolines into β-Carbolines under Air. </w:t>
      </w:r>
      <w:r w:rsidRPr="007B7129">
        <w:rPr>
          <w:i/>
          <w:iCs/>
        </w:rPr>
        <w:t>Tetrahedron Letters</w:t>
      </w:r>
      <w:r w:rsidRPr="007B7129">
        <w:t xml:space="preserve"> </w:t>
      </w:r>
      <w:r w:rsidRPr="007B7129">
        <w:rPr>
          <w:b/>
          <w:bCs/>
        </w:rPr>
        <w:t>2019</w:t>
      </w:r>
      <w:r w:rsidRPr="007B7129">
        <w:t xml:space="preserve">, </w:t>
      </w:r>
      <w:r w:rsidRPr="007B7129">
        <w:rPr>
          <w:i/>
          <w:iCs/>
        </w:rPr>
        <w:t>60</w:t>
      </w:r>
      <w:r w:rsidRPr="007B7129">
        <w:t xml:space="preserve"> (11), 800–804. https://doi.org/10.1016/j.tetlet.2019.02.020.</w:t>
      </w:r>
    </w:p>
    <w:p w14:paraId="158A9ED3" w14:textId="77777777" w:rsidR="007B7129" w:rsidRPr="007B7129" w:rsidRDefault="007B7129" w:rsidP="007B7129">
      <w:pPr>
        <w:tabs>
          <w:tab w:val="left" w:pos="504"/>
        </w:tabs>
        <w:spacing w:after="0"/>
        <w:ind w:left="504" w:hanging="504"/>
      </w:pPr>
      <w:r w:rsidRPr="007B7129">
        <w:lastRenderedPageBreak/>
        <w:t xml:space="preserve">(57) </w:t>
      </w:r>
      <w:r w:rsidRPr="007B7129">
        <w:tab/>
        <w:t xml:space="preserve">Zheng, B.; Trieu, T. H.; Li, F.-L.; Zhu, X.-L.; He, Y.-G.; Fan, Q.-Q.; Shi, X.-X. Copper-Catalyzed Benign and Efficient Oxidation of </w:t>
      </w:r>
      <w:proofErr w:type="spellStart"/>
      <w:r w:rsidRPr="007B7129">
        <w:t>Tetrahydroisoquinolines</w:t>
      </w:r>
      <w:proofErr w:type="spellEnd"/>
      <w:r w:rsidRPr="007B7129">
        <w:t xml:space="preserve"> and </w:t>
      </w:r>
      <w:proofErr w:type="spellStart"/>
      <w:r w:rsidRPr="007B7129">
        <w:t>Dihydroisoquinolines</w:t>
      </w:r>
      <w:proofErr w:type="spellEnd"/>
      <w:r w:rsidRPr="007B7129">
        <w:t xml:space="preserve"> Using Air as a Clean Oxidant. </w:t>
      </w:r>
      <w:r w:rsidRPr="007B7129">
        <w:rPr>
          <w:i/>
          <w:iCs/>
        </w:rPr>
        <w:t>ACS Omega</w:t>
      </w:r>
      <w:r w:rsidRPr="007B7129">
        <w:t xml:space="preserve"> </w:t>
      </w:r>
      <w:r w:rsidRPr="007B7129">
        <w:rPr>
          <w:b/>
          <w:bCs/>
        </w:rPr>
        <w:t>2018</w:t>
      </w:r>
      <w:r w:rsidRPr="007B7129">
        <w:t xml:space="preserve">, </w:t>
      </w:r>
      <w:r w:rsidRPr="007B7129">
        <w:rPr>
          <w:i/>
          <w:iCs/>
        </w:rPr>
        <w:t>3</w:t>
      </w:r>
      <w:r w:rsidRPr="007B7129">
        <w:t xml:space="preserve"> (7), 8243–8252. https://doi.org/10.1021/acsomega.8b00855.</w:t>
      </w:r>
    </w:p>
    <w:p w14:paraId="01FBB596" w14:textId="77777777" w:rsidR="007B7129" w:rsidRPr="007B7129" w:rsidRDefault="007B7129" w:rsidP="007B7129">
      <w:pPr>
        <w:tabs>
          <w:tab w:val="left" w:pos="504"/>
        </w:tabs>
        <w:spacing w:after="0"/>
        <w:ind w:left="504" w:hanging="504"/>
      </w:pPr>
      <w:r w:rsidRPr="007B7129">
        <w:t xml:space="preserve">(58) </w:t>
      </w:r>
      <w:r w:rsidRPr="007B7129">
        <w:tab/>
        <w:t xml:space="preserve">Aronica, L. A.; Albano, G. Supported Metal Catalysts for the Synthesis of N-Heterocycles. </w:t>
      </w:r>
      <w:r w:rsidRPr="007B7129">
        <w:rPr>
          <w:i/>
          <w:iCs/>
        </w:rPr>
        <w:t>Catalysts</w:t>
      </w:r>
      <w:r w:rsidRPr="007B7129">
        <w:t xml:space="preserve"> </w:t>
      </w:r>
      <w:r w:rsidRPr="007B7129">
        <w:rPr>
          <w:b/>
          <w:bCs/>
        </w:rPr>
        <w:t>2022</w:t>
      </w:r>
      <w:r w:rsidRPr="007B7129">
        <w:t xml:space="preserve">, </w:t>
      </w:r>
      <w:r w:rsidRPr="007B7129">
        <w:rPr>
          <w:i/>
          <w:iCs/>
        </w:rPr>
        <w:t>12</w:t>
      </w:r>
      <w:r w:rsidRPr="007B7129">
        <w:t xml:space="preserve"> (1), 68. https://doi.org/10.3390/catal12010068.</w:t>
      </w:r>
    </w:p>
    <w:p w14:paraId="3071E00F" w14:textId="77777777" w:rsidR="007B7129" w:rsidRPr="007B7129" w:rsidRDefault="007B7129" w:rsidP="007B7129">
      <w:pPr>
        <w:tabs>
          <w:tab w:val="left" w:pos="504"/>
        </w:tabs>
        <w:spacing w:after="0"/>
        <w:ind w:left="504" w:hanging="504"/>
      </w:pPr>
      <w:r w:rsidRPr="007B7129">
        <w:t xml:space="preserve">(59) </w:t>
      </w:r>
      <w:r w:rsidRPr="007B7129">
        <w:tab/>
        <w:t xml:space="preserve">Durham, S. D.; Sierra, B.; Gomez, M. J.; Tran, J. K.; Anderson, M. O.; Whittington-Davis, N. A.; Eagon, S. Synthesis of β-Carbolines via a Silver-Mediated Oxidation of Tetrahydro-β-Carbolines. </w:t>
      </w:r>
      <w:r w:rsidRPr="007B7129">
        <w:rPr>
          <w:i/>
          <w:iCs/>
        </w:rPr>
        <w:t>Tetrahedron Letters</w:t>
      </w:r>
      <w:r w:rsidRPr="007B7129">
        <w:t xml:space="preserve"> </w:t>
      </w:r>
      <w:r w:rsidRPr="007B7129">
        <w:rPr>
          <w:b/>
          <w:bCs/>
        </w:rPr>
        <w:t>2017</w:t>
      </w:r>
      <w:r w:rsidRPr="007B7129">
        <w:t xml:space="preserve">, </w:t>
      </w:r>
      <w:r w:rsidRPr="007B7129">
        <w:rPr>
          <w:i/>
          <w:iCs/>
        </w:rPr>
        <w:t>58</w:t>
      </w:r>
      <w:r w:rsidRPr="007B7129">
        <w:t xml:space="preserve"> (28), 2747–2750. https://doi.org/10.1016/j.tetlet.2017.05.098.</w:t>
      </w:r>
    </w:p>
    <w:p w14:paraId="1BAD6B82" w14:textId="77777777" w:rsidR="007B7129" w:rsidRPr="007B7129" w:rsidRDefault="007B7129" w:rsidP="007B7129">
      <w:pPr>
        <w:tabs>
          <w:tab w:val="left" w:pos="504"/>
        </w:tabs>
        <w:spacing w:after="0"/>
        <w:ind w:left="504" w:hanging="504"/>
      </w:pPr>
      <w:r w:rsidRPr="007B7129">
        <w:t xml:space="preserve">(60) </w:t>
      </w:r>
      <w:r w:rsidRPr="007B7129">
        <w:tab/>
        <w:t xml:space="preserve">Gawande, M. B.; Shelke, S. N.; Zboril, R.; Varma, R. S. Microwave-Assisted Chemistry: Synthetic Applications for Rapid Assembly of Nanomaterials and Organics. </w:t>
      </w:r>
      <w:r w:rsidRPr="007B7129">
        <w:rPr>
          <w:i/>
          <w:iCs/>
        </w:rPr>
        <w:t>Acc. Chem. Res.</w:t>
      </w:r>
      <w:r w:rsidRPr="007B7129">
        <w:t xml:space="preserve"> </w:t>
      </w:r>
      <w:r w:rsidRPr="007B7129">
        <w:rPr>
          <w:b/>
          <w:bCs/>
        </w:rPr>
        <w:t>2014</w:t>
      </w:r>
      <w:r w:rsidRPr="007B7129">
        <w:t xml:space="preserve">, </w:t>
      </w:r>
      <w:r w:rsidRPr="007B7129">
        <w:rPr>
          <w:i/>
          <w:iCs/>
        </w:rPr>
        <w:t>47</w:t>
      </w:r>
      <w:r w:rsidRPr="007B7129">
        <w:t xml:space="preserve"> (4), 1338–1348. https://doi.org/10.1021/ar400309b.</w:t>
      </w:r>
    </w:p>
    <w:p w14:paraId="67020C5A" w14:textId="77777777" w:rsidR="007B7129" w:rsidRPr="007B7129" w:rsidRDefault="007B7129" w:rsidP="007B7129">
      <w:pPr>
        <w:tabs>
          <w:tab w:val="left" w:pos="504"/>
        </w:tabs>
        <w:spacing w:after="0"/>
        <w:ind w:left="504" w:hanging="504"/>
      </w:pPr>
      <w:r w:rsidRPr="007B7129">
        <w:t xml:space="preserve">(61) </w:t>
      </w:r>
      <w:r w:rsidRPr="007B7129">
        <w:tab/>
        <w:t xml:space="preserve">Eagon, S.; Anderson, M. O. Microwave-Assisted Synthesis of Tetrahydro-β-Carbolines and β-Carbolines: Microwave-Assisted Synthesis of β-Carbolines and Congeners. </w:t>
      </w:r>
      <w:r w:rsidRPr="007B7129">
        <w:rPr>
          <w:i/>
          <w:iCs/>
        </w:rPr>
        <w:t>Eur. J. Org. Chem.</w:t>
      </w:r>
      <w:r w:rsidRPr="007B7129">
        <w:t xml:space="preserve"> </w:t>
      </w:r>
      <w:r w:rsidRPr="007B7129">
        <w:rPr>
          <w:b/>
          <w:bCs/>
        </w:rPr>
        <w:t>2014</w:t>
      </w:r>
      <w:r w:rsidRPr="007B7129">
        <w:t xml:space="preserve">, </w:t>
      </w:r>
      <w:r w:rsidRPr="007B7129">
        <w:rPr>
          <w:i/>
          <w:iCs/>
        </w:rPr>
        <w:t>2014</w:t>
      </w:r>
      <w:r w:rsidRPr="007B7129">
        <w:t xml:space="preserve"> (8), 1653–1665. https://doi.org/10.1002/ejoc.201301580.</w:t>
      </w:r>
    </w:p>
    <w:p w14:paraId="54A0C664" w14:textId="77777777" w:rsidR="007B7129" w:rsidRPr="007B7129" w:rsidRDefault="007B7129" w:rsidP="007B7129">
      <w:pPr>
        <w:tabs>
          <w:tab w:val="left" w:pos="504"/>
        </w:tabs>
        <w:spacing w:after="0"/>
        <w:ind w:left="504" w:hanging="504"/>
      </w:pPr>
      <w:r w:rsidRPr="007B7129">
        <w:t xml:space="preserve">(62) </w:t>
      </w:r>
      <w:r w:rsidRPr="007B7129">
        <w:tab/>
        <w:t xml:space="preserve">Van Ornum, S. G.; Champeau, R. M.; Pariza, R. Ozonolysis Applications in Drug Synthesis. </w:t>
      </w:r>
      <w:r w:rsidRPr="007B7129">
        <w:rPr>
          <w:i/>
          <w:iCs/>
        </w:rPr>
        <w:t>Chem. Rev.</w:t>
      </w:r>
      <w:r w:rsidRPr="007B7129">
        <w:t xml:space="preserve"> </w:t>
      </w:r>
      <w:r w:rsidRPr="007B7129">
        <w:rPr>
          <w:b/>
          <w:bCs/>
        </w:rPr>
        <w:t>2006</w:t>
      </w:r>
      <w:r w:rsidRPr="007B7129">
        <w:t xml:space="preserve">, </w:t>
      </w:r>
      <w:r w:rsidRPr="007B7129">
        <w:rPr>
          <w:i/>
          <w:iCs/>
        </w:rPr>
        <w:t>106</w:t>
      </w:r>
      <w:r w:rsidRPr="007B7129">
        <w:t xml:space="preserve"> (7), 2990–3001. https://doi.org/10.1021/cr040682z.</w:t>
      </w:r>
    </w:p>
    <w:p w14:paraId="36E7C12C" w14:textId="77777777" w:rsidR="007B7129" w:rsidRPr="007B7129" w:rsidRDefault="007B7129" w:rsidP="007B7129">
      <w:pPr>
        <w:tabs>
          <w:tab w:val="left" w:pos="504"/>
        </w:tabs>
        <w:spacing w:after="0"/>
        <w:ind w:left="504" w:hanging="504"/>
      </w:pPr>
      <w:r w:rsidRPr="007B7129">
        <w:t xml:space="preserve">(63) </w:t>
      </w:r>
      <w:r w:rsidRPr="007B7129">
        <w:tab/>
        <w:t xml:space="preserve">Mecozzi, F.; Dong, J. J.; Angelone, D.; Browne, W. R.; </w:t>
      </w:r>
      <w:proofErr w:type="spellStart"/>
      <w:r w:rsidRPr="007B7129">
        <w:t>Eisink</w:t>
      </w:r>
      <w:proofErr w:type="spellEnd"/>
      <w:r w:rsidRPr="007B7129">
        <w:t xml:space="preserve">, N. N. H. M. Oxidative Cleavage of Alkene C=C Bonds Using a Manganese Catalyzed Oxidation with H2O2 Combined with Periodate Oxidation. </w:t>
      </w:r>
      <w:r w:rsidRPr="007B7129">
        <w:rPr>
          <w:i/>
          <w:iCs/>
        </w:rPr>
        <w:t>European Journal of Organic Chemistry</w:t>
      </w:r>
      <w:r w:rsidRPr="007B7129">
        <w:t xml:space="preserve"> </w:t>
      </w:r>
      <w:r w:rsidRPr="007B7129">
        <w:rPr>
          <w:b/>
          <w:bCs/>
        </w:rPr>
        <w:t>2019</w:t>
      </w:r>
      <w:r w:rsidRPr="007B7129">
        <w:t xml:space="preserve">, </w:t>
      </w:r>
      <w:r w:rsidRPr="007B7129">
        <w:rPr>
          <w:i/>
          <w:iCs/>
        </w:rPr>
        <w:t>2019</w:t>
      </w:r>
      <w:r w:rsidRPr="007B7129">
        <w:t xml:space="preserve"> (42), 7151–7158. https://doi.org/10.1002/ejoc.201901380.</w:t>
      </w:r>
    </w:p>
    <w:p w14:paraId="73EA7C77" w14:textId="77777777" w:rsidR="007B7129" w:rsidRPr="007B7129" w:rsidRDefault="007B7129" w:rsidP="007B7129">
      <w:pPr>
        <w:tabs>
          <w:tab w:val="left" w:pos="504"/>
        </w:tabs>
        <w:spacing w:after="0"/>
        <w:ind w:left="504" w:hanging="504"/>
      </w:pPr>
      <w:r w:rsidRPr="007B7129">
        <w:lastRenderedPageBreak/>
        <w:t xml:space="preserve">(64) </w:t>
      </w:r>
      <w:r w:rsidRPr="007B7129">
        <w:tab/>
      </w:r>
      <w:proofErr w:type="spellStart"/>
      <w:r w:rsidRPr="007B7129">
        <w:t>Criegee</w:t>
      </w:r>
      <w:proofErr w:type="spellEnd"/>
      <w:r w:rsidRPr="007B7129">
        <w:t xml:space="preserve">, R. Mechanism of Ozonolysis. </w:t>
      </w:r>
      <w:proofErr w:type="spellStart"/>
      <w:r w:rsidRPr="007B7129">
        <w:rPr>
          <w:i/>
          <w:iCs/>
        </w:rPr>
        <w:t>Angewandte</w:t>
      </w:r>
      <w:proofErr w:type="spellEnd"/>
      <w:r w:rsidRPr="007B7129">
        <w:rPr>
          <w:i/>
          <w:iCs/>
        </w:rPr>
        <w:t xml:space="preserve"> </w:t>
      </w:r>
      <w:proofErr w:type="spellStart"/>
      <w:r w:rsidRPr="007B7129">
        <w:rPr>
          <w:i/>
          <w:iCs/>
        </w:rPr>
        <w:t>Chemie</w:t>
      </w:r>
      <w:proofErr w:type="spellEnd"/>
      <w:r w:rsidRPr="007B7129">
        <w:rPr>
          <w:i/>
          <w:iCs/>
        </w:rPr>
        <w:t xml:space="preserve"> International Edition in English</w:t>
      </w:r>
      <w:r w:rsidRPr="007B7129">
        <w:t xml:space="preserve"> </w:t>
      </w:r>
      <w:r w:rsidRPr="007B7129">
        <w:rPr>
          <w:b/>
          <w:bCs/>
        </w:rPr>
        <w:t>1975</w:t>
      </w:r>
      <w:r w:rsidRPr="007B7129">
        <w:t xml:space="preserve">, </w:t>
      </w:r>
      <w:r w:rsidRPr="007B7129">
        <w:rPr>
          <w:i/>
          <w:iCs/>
        </w:rPr>
        <w:t>14</w:t>
      </w:r>
      <w:r w:rsidRPr="007B7129">
        <w:t xml:space="preserve"> (11), 745–752. https://doi.org/10.1002/anie.197507451.</w:t>
      </w:r>
    </w:p>
    <w:p w14:paraId="05B5C603" w14:textId="77777777" w:rsidR="007B7129" w:rsidRPr="007B7129" w:rsidRDefault="007B7129" w:rsidP="007B7129">
      <w:pPr>
        <w:tabs>
          <w:tab w:val="left" w:pos="504"/>
        </w:tabs>
        <w:spacing w:after="0"/>
        <w:ind w:left="504" w:hanging="504"/>
      </w:pPr>
      <w:r w:rsidRPr="007B7129">
        <w:t xml:space="preserve">(65) </w:t>
      </w:r>
      <w:r w:rsidRPr="007B7129">
        <w:tab/>
        <w:t xml:space="preserve">Kuczkowski, R. L. Formation and Structure of </w:t>
      </w:r>
      <w:proofErr w:type="spellStart"/>
      <w:r w:rsidRPr="007B7129">
        <w:t>Ozonides</w:t>
      </w:r>
      <w:proofErr w:type="spellEnd"/>
      <w:r w:rsidRPr="007B7129">
        <w:t xml:space="preserve">. </w:t>
      </w:r>
      <w:r w:rsidRPr="007B7129">
        <w:rPr>
          <w:i/>
          <w:iCs/>
        </w:rPr>
        <w:t>Acc. Chem. Res.</w:t>
      </w:r>
      <w:r w:rsidRPr="007B7129">
        <w:t xml:space="preserve"> </w:t>
      </w:r>
      <w:r w:rsidRPr="007B7129">
        <w:rPr>
          <w:b/>
          <w:bCs/>
        </w:rPr>
        <w:t>1983</w:t>
      </w:r>
      <w:r w:rsidRPr="007B7129">
        <w:t xml:space="preserve">, </w:t>
      </w:r>
      <w:r w:rsidRPr="007B7129">
        <w:rPr>
          <w:i/>
          <w:iCs/>
        </w:rPr>
        <w:t>16</w:t>
      </w:r>
      <w:r w:rsidRPr="007B7129">
        <w:t xml:space="preserve"> (2), 42–47. https://doi.org/10.1021/ar00086a002.</w:t>
      </w:r>
    </w:p>
    <w:p w14:paraId="297A2068" w14:textId="77777777" w:rsidR="007B7129" w:rsidRPr="007B7129" w:rsidRDefault="007B7129" w:rsidP="007B7129">
      <w:pPr>
        <w:tabs>
          <w:tab w:val="left" w:pos="504"/>
        </w:tabs>
        <w:spacing w:after="0"/>
        <w:ind w:left="504" w:hanging="504"/>
      </w:pPr>
      <w:r w:rsidRPr="007B7129">
        <w:t xml:space="preserve">(66) </w:t>
      </w:r>
      <w:r w:rsidRPr="007B7129">
        <w:tab/>
        <w:t xml:space="preserve">Burnett, R. T.; Brook, J. R.; Yung, W. T.; Dales, R. E.; </w:t>
      </w:r>
      <w:proofErr w:type="spellStart"/>
      <w:r w:rsidRPr="007B7129">
        <w:t>Krewski</w:t>
      </w:r>
      <w:proofErr w:type="spellEnd"/>
      <w:r w:rsidRPr="007B7129">
        <w:t xml:space="preserve">, D. Association between Ozone and Hospitalization for Respiratory Diseases in 16 Canadian Cities. </w:t>
      </w:r>
      <w:r w:rsidRPr="007B7129">
        <w:rPr>
          <w:i/>
          <w:iCs/>
        </w:rPr>
        <w:t>Environmental Research</w:t>
      </w:r>
      <w:r w:rsidRPr="007B7129">
        <w:t xml:space="preserve"> </w:t>
      </w:r>
      <w:r w:rsidRPr="007B7129">
        <w:rPr>
          <w:b/>
          <w:bCs/>
        </w:rPr>
        <w:t>1997</w:t>
      </w:r>
      <w:r w:rsidRPr="007B7129">
        <w:t xml:space="preserve">, </w:t>
      </w:r>
      <w:r w:rsidRPr="007B7129">
        <w:rPr>
          <w:i/>
          <w:iCs/>
        </w:rPr>
        <w:t>72</w:t>
      </w:r>
      <w:r w:rsidRPr="007B7129">
        <w:t xml:space="preserve"> (1), 24–31. https://doi.org/10.1006/enrs.1996.3685.</w:t>
      </w:r>
    </w:p>
    <w:p w14:paraId="4D39FBEA" w14:textId="77777777" w:rsidR="007B7129" w:rsidRPr="007B7129" w:rsidRDefault="007B7129" w:rsidP="007B7129">
      <w:pPr>
        <w:tabs>
          <w:tab w:val="left" w:pos="504"/>
        </w:tabs>
        <w:spacing w:after="0"/>
        <w:ind w:left="504" w:hanging="504"/>
      </w:pPr>
      <w:r w:rsidRPr="007B7129">
        <w:t xml:space="preserve">(67) </w:t>
      </w:r>
      <w:r w:rsidRPr="007B7129">
        <w:tab/>
        <w:t xml:space="preserve">Miyamoto, K.; Tada, N.; Ochiai, M. Activated </w:t>
      </w:r>
      <w:proofErr w:type="spellStart"/>
      <w:r w:rsidRPr="007B7129">
        <w:t>Iodosylbenzene</w:t>
      </w:r>
      <w:proofErr w:type="spellEnd"/>
      <w:r w:rsidRPr="007B7129">
        <w:t xml:space="preserve"> Monomer as an Ozone Equivalent:  Oxidative Cleavage of Carbon−Carbon Double Bonds in the Presence of Water. </w:t>
      </w:r>
      <w:r w:rsidRPr="007B7129">
        <w:rPr>
          <w:i/>
          <w:iCs/>
        </w:rPr>
        <w:t>J. Am. Chem. Soc.</w:t>
      </w:r>
      <w:r w:rsidRPr="007B7129">
        <w:t xml:space="preserve"> </w:t>
      </w:r>
      <w:r w:rsidRPr="007B7129">
        <w:rPr>
          <w:b/>
          <w:bCs/>
        </w:rPr>
        <w:t>2007</w:t>
      </w:r>
      <w:r w:rsidRPr="007B7129">
        <w:t xml:space="preserve">, </w:t>
      </w:r>
      <w:r w:rsidRPr="007B7129">
        <w:rPr>
          <w:i/>
          <w:iCs/>
        </w:rPr>
        <w:t>129</w:t>
      </w:r>
      <w:r w:rsidRPr="007B7129">
        <w:t xml:space="preserve"> (10), 2772–2773. https://doi.org/10.1021/ja070179e.</w:t>
      </w:r>
    </w:p>
    <w:p w14:paraId="44821A72" w14:textId="77777777" w:rsidR="007B7129" w:rsidRPr="007B7129" w:rsidRDefault="007B7129" w:rsidP="007B7129">
      <w:pPr>
        <w:tabs>
          <w:tab w:val="left" w:pos="504"/>
        </w:tabs>
        <w:spacing w:after="0"/>
        <w:ind w:left="504" w:hanging="504"/>
      </w:pPr>
      <w:r w:rsidRPr="007B7129">
        <w:t xml:space="preserve">(68) </w:t>
      </w:r>
      <w:r w:rsidRPr="007B7129">
        <w:tab/>
        <w:t xml:space="preserve">Rajagopalan, A.; Lara, M.; Kroutil, W. Oxidative Alkene Cleavage by Chemical and Enzymatic Methods. </w:t>
      </w:r>
      <w:r w:rsidRPr="007B7129">
        <w:rPr>
          <w:i/>
          <w:iCs/>
        </w:rPr>
        <w:t xml:space="preserve">Adv. Synth. </w:t>
      </w:r>
      <w:proofErr w:type="spellStart"/>
      <w:r w:rsidRPr="007B7129">
        <w:rPr>
          <w:i/>
          <w:iCs/>
        </w:rPr>
        <w:t>Catal</w:t>
      </w:r>
      <w:proofErr w:type="spellEnd"/>
      <w:r w:rsidRPr="007B7129">
        <w:rPr>
          <w:i/>
          <w:iCs/>
        </w:rPr>
        <w:t>.</w:t>
      </w:r>
      <w:r w:rsidRPr="007B7129">
        <w:t xml:space="preserve"> </w:t>
      </w:r>
      <w:r w:rsidRPr="007B7129">
        <w:rPr>
          <w:b/>
          <w:bCs/>
        </w:rPr>
        <w:t>2013</w:t>
      </w:r>
      <w:r w:rsidRPr="007B7129">
        <w:t xml:space="preserve">, </w:t>
      </w:r>
      <w:r w:rsidRPr="007B7129">
        <w:rPr>
          <w:i/>
          <w:iCs/>
        </w:rPr>
        <w:t>355</w:t>
      </w:r>
      <w:r w:rsidRPr="007B7129">
        <w:t xml:space="preserve"> (17), 3321–3335. https://doi.org/10.1002/adsc.201300882.</w:t>
      </w:r>
    </w:p>
    <w:p w14:paraId="4E3D6A78" w14:textId="77777777" w:rsidR="007B7129" w:rsidRPr="007B7129" w:rsidRDefault="007B7129" w:rsidP="007B7129">
      <w:pPr>
        <w:tabs>
          <w:tab w:val="left" w:pos="504"/>
        </w:tabs>
        <w:spacing w:after="0"/>
        <w:ind w:left="504" w:hanging="504"/>
      </w:pPr>
      <w:r w:rsidRPr="007B7129">
        <w:t xml:space="preserve">(69) </w:t>
      </w:r>
      <w:r w:rsidRPr="007B7129">
        <w:tab/>
        <w:t xml:space="preserve">Travis, B. R.; Narayan, R. S.; Borhan, B. Osmium Tetroxide-Promoted Catalytic Oxidative Cleavage of Olefins:  An Organometallic Ozonolysis. </w:t>
      </w:r>
      <w:r w:rsidRPr="007B7129">
        <w:rPr>
          <w:i/>
          <w:iCs/>
        </w:rPr>
        <w:t>J. Am. Chem. Soc.</w:t>
      </w:r>
      <w:r w:rsidRPr="007B7129">
        <w:t xml:space="preserve"> </w:t>
      </w:r>
      <w:r w:rsidRPr="007B7129">
        <w:rPr>
          <w:b/>
          <w:bCs/>
        </w:rPr>
        <w:t>2002</w:t>
      </w:r>
      <w:r w:rsidRPr="007B7129">
        <w:t xml:space="preserve">, </w:t>
      </w:r>
      <w:r w:rsidRPr="007B7129">
        <w:rPr>
          <w:i/>
          <w:iCs/>
        </w:rPr>
        <w:t>124</w:t>
      </w:r>
      <w:r w:rsidRPr="007B7129">
        <w:t xml:space="preserve"> (15), 3824–3825. https://doi.org/10.1021/ja017295g.</w:t>
      </w:r>
    </w:p>
    <w:p w14:paraId="252A5C61" w14:textId="77777777" w:rsidR="007B7129" w:rsidRPr="007B7129" w:rsidRDefault="007B7129" w:rsidP="007B7129">
      <w:pPr>
        <w:tabs>
          <w:tab w:val="left" w:pos="504"/>
        </w:tabs>
        <w:spacing w:after="0"/>
        <w:ind w:left="504" w:hanging="504"/>
      </w:pPr>
      <w:r w:rsidRPr="007B7129">
        <w:t xml:space="preserve">(70) </w:t>
      </w:r>
      <w:r w:rsidRPr="007B7129">
        <w:tab/>
        <w:t xml:space="preserve">Kurti, L.; Czako, B. </w:t>
      </w:r>
      <w:r w:rsidRPr="007B7129">
        <w:rPr>
          <w:i/>
          <w:iCs/>
        </w:rPr>
        <w:t>Strategic Applications of Named Reactions in Organic Synthesis: Background and Detailed Mechanisms.</w:t>
      </w:r>
      <w:r w:rsidRPr="007B7129">
        <w:t>; Elsevier Science: Burlington, 2005.</w:t>
      </w:r>
    </w:p>
    <w:p w14:paraId="6526C675" w14:textId="77777777" w:rsidR="007B7129" w:rsidRPr="007B7129" w:rsidRDefault="007B7129" w:rsidP="007B7129">
      <w:pPr>
        <w:tabs>
          <w:tab w:val="left" w:pos="504"/>
        </w:tabs>
        <w:spacing w:after="0"/>
        <w:ind w:left="504" w:hanging="504"/>
      </w:pPr>
      <w:r w:rsidRPr="007B7129">
        <w:t xml:space="preserve">(71) </w:t>
      </w:r>
      <w:r w:rsidRPr="007B7129">
        <w:tab/>
      </w:r>
      <w:proofErr w:type="spellStart"/>
      <w:r w:rsidRPr="007B7129">
        <w:t>Pappo</w:t>
      </w:r>
      <w:proofErr w:type="spellEnd"/>
      <w:r w:rsidRPr="007B7129">
        <w:t xml:space="preserve">, R.; Allen, Jr., D.; Lemieux, R.; Johnson, W. Notes - Osmium Tetroxide-Catalyzed Periodate Oxidation of Olefinic Bonds. </w:t>
      </w:r>
      <w:r w:rsidRPr="007B7129">
        <w:rPr>
          <w:i/>
          <w:iCs/>
        </w:rPr>
        <w:t>J. Org. Chem.</w:t>
      </w:r>
      <w:r w:rsidRPr="007B7129">
        <w:t xml:space="preserve"> </w:t>
      </w:r>
      <w:r w:rsidRPr="007B7129">
        <w:rPr>
          <w:b/>
          <w:bCs/>
        </w:rPr>
        <w:t>1956</w:t>
      </w:r>
      <w:r w:rsidRPr="007B7129">
        <w:t xml:space="preserve">, </w:t>
      </w:r>
      <w:r w:rsidRPr="007B7129">
        <w:rPr>
          <w:i/>
          <w:iCs/>
        </w:rPr>
        <w:t>21</w:t>
      </w:r>
      <w:r w:rsidRPr="007B7129">
        <w:t xml:space="preserve"> (4), 478–479. https://doi.org/10.1021/jo01110a606.</w:t>
      </w:r>
    </w:p>
    <w:p w14:paraId="1B9872D0" w14:textId="77777777" w:rsidR="007B7129" w:rsidRPr="007B7129" w:rsidRDefault="007B7129" w:rsidP="007B7129">
      <w:pPr>
        <w:tabs>
          <w:tab w:val="left" w:pos="504"/>
        </w:tabs>
        <w:spacing w:after="0"/>
        <w:ind w:left="504" w:hanging="504"/>
      </w:pPr>
      <w:r w:rsidRPr="007B7129">
        <w:lastRenderedPageBreak/>
        <w:t xml:space="preserve">(72) </w:t>
      </w:r>
      <w:r w:rsidRPr="007B7129">
        <w:tab/>
        <w:t xml:space="preserve">Kim, C.; Traylor, T. G.; Perrin, C. L. MCPBA Epoxidation of Alkenes:  Reinvestigation of Correlation between Rate and Ionization Potential. </w:t>
      </w:r>
      <w:r w:rsidRPr="007B7129">
        <w:rPr>
          <w:i/>
          <w:iCs/>
        </w:rPr>
        <w:t>J. Am. Chem. Soc.</w:t>
      </w:r>
      <w:r w:rsidRPr="007B7129">
        <w:t xml:space="preserve"> </w:t>
      </w:r>
      <w:r w:rsidRPr="007B7129">
        <w:rPr>
          <w:b/>
          <w:bCs/>
        </w:rPr>
        <w:t>1998</w:t>
      </w:r>
      <w:r w:rsidRPr="007B7129">
        <w:t xml:space="preserve">, </w:t>
      </w:r>
      <w:r w:rsidRPr="007B7129">
        <w:rPr>
          <w:i/>
          <w:iCs/>
        </w:rPr>
        <w:t>120</w:t>
      </w:r>
      <w:r w:rsidRPr="007B7129">
        <w:t xml:space="preserve"> (37), 9513–9516. https://doi.org/10.1021/ja981531e.</w:t>
      </w:r>
    </w:p>
    <w:p w14:paraId="42795627" w14:textId="77777777" w:rsidR="007B7129" w:rsidRPr="007B7129" w:rsidRDefault="007B7129" w:rsidP="007B7129">
      <w:pPr>
        <w:tabs>
          <w:tab w:val="left" w:pos="504"/>
        </w:tabs>
        <w:spacing w:after="0"/>
        <w:ind w:left="504" w:hanging="504"/>
      </w:pPr>
      <w:r w:rsidRPr="007B7129">
        <w:t xml:space="preserve">(73) </w:t>
      </w:r>
      <w:r w:rsidRPr="007B7129">
        <w:tab/>
        <w:t xml:space="preserve">Scott </w:t>
      </w:r>
      <w:proofErr w:type="spellStart"/>
      <w:r w:rsidRPr="007B7129">
        <w:t>Obach</w:t>
      </w:r>
      <w:proofErr w:type="spellEnd"/>
      <w:r w:rsidRPr="007B7129">
        <w:t xml:space="preserve">, R.; </w:t>
      </w:r>
      <w:proofErr w:type="spellStart"/>
      <w:r w:rsidRPr="007B7129">
        <w:t>Kalgutkar</w:t>
      </w:r>
      <w:proofErr w:type="spellEnd"/>
      <w:r w:rsidRPr="007B7129">
        <w:t xml:space="preserve">, A. S. Reactive Electrophiles and Metabolic Activation. In </w:t>
      </w:r>
      <w:r w:rsidRPr="007B7129">
        <w:rPr>
          <w:i/>
          <w:iCs/>
        </w:rPr>
        <w:t>Comprehensive Toxicology (Second Edition)</w:t>
      </w:r>
      <w:r w:rsidRPr="007B7129">
        <w:t>; McQueen, C. A., Ed.; Elsevier: Oxford, 2010; pp 309–347. https://doi.org/10.1016/B978-0-08-046884-6.00115-9.</w:t>
      </w:r>
    </w:p>
    <w:p w14:paraId="43EADFAC" w14:textId="77777777" w:rsidR="007B7129" w:rsidRPr="007B7129" w:rsidRDefault="007B7129" w:rsidP="007B7129">
      <w:pPr>
        <w:tabs>
          <w:tab w:val="left" w:pos="504"/>
        </w:tabs>
        <w:spacing w:after="0"/>
        <w:ind w:left="504" w:hanging="504"/>
      </w:pPr>
      <w:r w:rsidRPr="007B7129">
        <w:t xml:space="preserve">(74) </w:t>
      </w:r>
      <w:r w:rsidRPr="007B7129">
        <w:tab/>
        <w:t xml:space="preserve">Sharma, S. D.; Bhaduri, S.; Kaur, G. Diastereoselective Synthesis of 1,3-Disubstituted 1,2,3,4-Tetrahydro-β-Carbolines Using Pictet-Spengler Reaction in Non-Acidic Aprotic Media. </w:t>
      </w:r>
      <w:r w:rsidRPr="007B7129">
        <w:rPr>
          <w:i/>
          <w:iCs/>
        </w:rPr>
        <w:t>Indian. J. Org. Chem.</w:t>
      </w:r>
      <w:r w:rsidRPr="007B7129">
        <w:t xml:space="preserve"> </w:t>
      </w:r>
      <w:r w:rsidRPr="007B7129">
        <w:rPr>
          <w:b/>
          <w:bCs/>
        </w:rPr>
        <w:t>2007</w:t>
      </w:r>
      <w:r w:rsidRPr="007B7129">
        <w:t xml:space="preserve">, </w:t>
      </w:r>
      <w:r w:rsidRPr="007B7129">
        <w:rPr>
          <w:i/>
          <w:iCs/>
        </w:rPr>
        <w:t>38</w:t>
      </w:r>
      <w:r w:rsidRPr="007B7129">
        <w:t xml:space="preserve"> (14), 2710–2715. https://doi.org/10.1002/chin.200714162.</w:t>
      </w:r>
    </w:p>
    <w:p w14:paraId="2493AA98" w14:textId="77777777" w:rsidR="007B7129" w:rsidRPr="007B7129" w:rsidRDefault="007B7129" w:rsidP="007B7129">
      <w:pPr>
        <w:tabs>
          <w:tab w:val="left" w:pos="504"/>
        </w:tabs>
        <w:spacing w:after="0"/>
        <w:ind w:left="504" w:hanging="504"/>
      </w:pPr>
      <w:r w:rsidRPr="007B7129">
        <w:t xml:space="preserve">(75) </w:t>
      </w:r>
      <w:r w:rsidRPr="007B7129">
        <w:tab/>
        <w:t xml:space="preserve">Whaley, W. M.; </w:t>
      </w:r>
      <w:proofErr w:type="spellStart"/>
      <w:r w:rsidRPr="007B7129">
        <w:t>Govindachari</w:t>
      </w:r>
      <w:proofErr w:type="spellEnd"/>
      <w:r w:rsidRPr="007B7129">
        <w:t xml:space="preserve">, T. R. The Pictet-Spengler Synthesis of </w:t>
      </w:r>
      <w:proofErr w:type="spellStart"/>
      <w:r w:rsidRPr="007B7129">
        <w:t>Tetrahydroisoquinolines</w:t>
      </w:r>
      <w:proofErr w:type="spellEnd"/>
      <w:r w:rsidRPr="007B7129">
        <w:t xml:space="preserve"> and Related Compounds. In </w:t>
      </w:r>
      <w:r w:rsidRPr="007B7129">
        <w:rPr>
          <w:i/>
          <w:iCs/>
        </w:rPr>
        <w:t>Organic Reactions</w:t>
      </w:r>
      <w:r w:rsidRPr="007B7129">
        <w:t>; John Wiley &amp; Sons, Ltd, 2011; pp 151–190. https://doi.org/10.1002/0471264180.or006.03.</w:t>
      </w:r>
    </w:p>
    <w:p w14:paraId="50044C47" w14:textId="77777777" w:rsidR="007B7129" w:rsidRPr="007B7129" w:rsidRDefault="007B7129" w:rsidP="007B7129">
      <w:pPr>
        <w:tabs>
          <w:tab w:val="left" w:pos="504"/>
        </w:tabs>
        <w:spacing w:after="0"/>
        <w:ind w:left="504" w:hanging="504"/>
      </w:pPr>
      <w:r w:rsidRPr="007B7129">
        <w:t xml:space="preserve">(76) </w:t>
      </w:r>
      <w:r w:rsidRPr="007B7129">
        <w:tab/>
      </w:r>
      <w:proofErr w:type="spellStart"/>
      <w:r w:rsidRPr="007B7129">
        <w:t>Micovic</w:t>
      </w:r>
      <w:proofErr w:type="spellEnd"/>
      <w:r w:rsidRPr="007B7129">
        <w:t xml:space="preserve">, V.; Mihailovic, M. The Reduction of Acid Amides with Lithium Aluminum Hydride. </w:t>
      </w:r>
      <w:r w:rsidRPr="007B7129">
        <w:rPr>
          <w:i/>
          <w:iCs/>
        </w:rPr>
        <w:t>J. Org. Chem.</w:t>
      </w:r>
      <w:r w:rsidRPr="007B7129">
        <w:t xml:space="preserve"> </w:t>
      </w:r>
      <w:r w:rsidRPr="007B7129">
        <w:rPr>
          <w:b/>
          <w:bCs/>
        </w:rPr>
        <w:t>1953</w:t>
      </w:r>
      <w:r w:rsidRPr="007B7129">
        <w:t xml:space="preserve">, </w:t>
      </w:r>
      <w:r w:rsidRPr="007B7129">
        <w:rPr>
          <w:i/>
          <w:iCs/>
        </w:rPr>
        <w:t>18</w:t>
      </w:r>
      <w:r w:rsidRPr="007B7129">
        <w:t xml:space="preserve"> (9), 1190–1200. https://doi.org/10.1021/jo50015a017.</w:t>
      </w:r>
    </w:p>
    <w:p w14:paraId="4FEF2F6F" w14:textId="77777777" w:rsidR="007B7129" w:rsidRPr="007B7129" w:rsidRDefault="007B7129" w:rsidP="007B7129">
      <w:pPr>
        <w:tabs>
          <w:tab w:val="left" w:pos="504"/>
        </w:tabs>
        <w:spacing w:after="0"/>
        <w:ind w:left="504" w:hanging="504"/>
      </w:pPr>
      <w:r w:rsidRPr="007B7129">
        <w:t xml:space="preserve">(77) </w:t>
      </w:r>
      <w:r w:rsidRPr="007B7129">
        <w:tab/>
        <w:t xml:space="preserve">R. Juárez, J.; Castro, A.; Romero, O.; L. </w:t>
      </w:r>
      <w:proofErr w:type="spellStart"/>
      <w:r w:rsidRPr="007B7129">
        <w:t>Terán</w:t>
      </w:r>
      <w:proofErr w:type="spellEnd"/>
      <w:r w:rsidRPr="007B7129">
        <w:t>, J.; Gnecco, D.; Orea, L.; Mendoza, A. Oxidation and Aromatization of the Enantiopure Piperidine Derived from (R)-(-)-2-Phenylglycinol to (1’</w:t>
      </w:r>
      <w:proofErr w:type="gramStart"/>
      <w:r w:rsidRPr="007B7129">
        <w:t>R)-(</w:t>
      </w:r>
      <w:proofErr w:type="gramEnd"/>
      <w:r w:rsidRPr="007B7129">
        <w:t xml:space="preserve">-)-1-(2’-Hydroxy-1’-Phenylethyl)-1H-Pyridin-2-One. </w:t>
      </w:r>
      <w:r w:rsidRPr="007B7129">
        <w:rPr>
          <w:i/>
          <w:iCs/>
        </w:rPr>
        <w:t>HETEROCYCLES</w:t>
      </w:r>
      <w:r w:rsidRPr="007B7129">
        <w:t xml:space="preserve"> </w:t>
      </w:r>
      <w:r w:rsidRPr="007B7129">
        <w:rPr>
          <w:b/>
          <w:bCs/>
        </w:rPr>
        <w:t>2014</w:t>
      </w:r>
      <w:r w:rsidRPr="007B7129">
        <w:t xml:space="preserve">, </w:t>
      </w:r>
      <w:r w:rsidRPr="007B7129">
        <w:rPr>
          <w:i/>
          <w:iCs/>
        </w:rPr>
        <w:t>89</w:t>
      </w:r>
      <w:r w:rsidRPr="007B7129">
        <w:t xml:space="preserve"> (3), 725. https://doi.org/10.3987/COM-13-12911.</w:t>
      </w:r>
    </w:p>
    <w:p w14:paraId="25FBA7E4" w14:textId="77777777" w:rsidR="007B7129" w:rsidRPr="007B7129" w:rsidRDefault="007B7129" w:rsidP="007B7129">
      <w:pPr>
        <w:tabs>
          <w:tab w:val="left" w:pos="504"/>
        </w:tabs>
        <w:spacing w:after="0"/>
        <w:ind w:left="504" w:hanging="504"/>
      </w:pPr>
      <w:r w:rsidRPr="007B7129">
        <w:t xml:space="preserve">(78) </w:t>
      </w:r>
      <w:r w:rsidRPr="007B7129">
        <w:tab/>
        <w:t xml:space="preserve">Alsharif, M. A.; Raja, Q. A.; Majeed, N. A.; </w:t>
      </w:r>
      <w:proofErr w:type="spellStart"/>
      <w:r w:rsidRPr="007B7129">
        <w:t>Jassas</w:t>
      </w:r>
      <w:proofErr w:type="spellEnd"/>
      <w:r w:rsidRPr="007B7129">
        <w:t xml:space="preserve">, R. S.; </w:t>
      </w:r>
      <w:proofErr w:type="spellStart"/>
      <w:r w:rsidRPr="007B7129">
        <w:t>Alsimaree</w:t>
      </w:r>
      <w:proofErr w:type="spellEnd"/>
      <w:r w:rsidRPr="007B7129">
        <w:t xml:space="preserve">, A. A.; Sadiq, A.; Naeem, N.; Mughal, E. U.; </w:t>
      </w:r>
      <w:proofErr w:type="spellStart"/>
      <w:r w:rsidRPr="007B7129">
        <w:t>Alsantali</w:t>
      </w:r>
      <w:proofErr w:type="spellEnd"/>
      <w:r w:rsidRPr="007B7129">
        <w:t xml:space="preserve">, R. I.; Moussa, Z.; Ahmed, S. A. DDQ as a Versatile and Easily Recyclable Oxidant: A Systematic Review. </w:t>
      </w:r>
      <w:r w:rsidRPr="007B7129">
        <w:rPr>
          <w:i/>
          <w:iCs/>
        </w:rPr>
        <w:t>RSC Adv.</w:t>
      </w:r>
      <w:r w:rsidRPr="007B7129">
        <w:t xml:space="preserve"> </w:t>
      </w:r>
      <w:r w:rsidRPr="007B7129">
        <w:rPr>
          <w:b/>
          <w:bCs/>
        </w:rPr>
        <w:t>2021</w:t>
      </w:r>
      <w:r w:rsidRPr="007B7129">
        <w:t xml:space="preserve">, </w:t>
      </w:r>
      <w:r w:rsidRPr="007B7129">
        <w:rPr>
          <w:i/>
          <w:iCs/>
        </w:rPr>
        <w:t>11</w:t>
      </w:r>
      <w:r w:rsidRPr="007B7129">
        <w:t xml:space="preserve"> (47), 29826–29858. https://doi.org/10.1039/D1RA04575J.</w:t>
      </w:r>
    </w:p>
    <w:p w14:paraId="4264A541" w14:textId="77777777" w:rsidR="007B7129" w:rsidRPr="007B7129" w:rsidRDefault="007B7129" w:rsidP="007B7129">
      <w:pPr>
        <w:tabs>
          <w:tab w:val="left" w:pos="504"/>
        </w:tabs>
        <w:spacing w:after="0"/>
        <w:ind w:left="504" w:hanging="504"/>
      </w:pPr>
      <w:r w:rsidRPr="007B7129">
        <w:lastRenderedPageBreak/>
        <w:t xml:space="preserve">(79) </w:t>
      </w:r>
      <w:r w:rsidRPr="007B7129">
        <w:tab/>
        <w:t xml:space="preserve">Batista, V. S.; Crabtree, R. H.; </w:t>
      </w:r>
      <w:proofErr w:type="spellStart"/>
      <w:r w:rsidRPr="007B7129">
        <w:t>Konezny</w:t>
      </w:r>
      <w:proofErr w:type="spellEnd"/>
      <w:r w:rsidRPr="007B7129">
        <w:t xml:space="preserve">, S. J.; Luca, O. R.; Praetorius, J. M. Oxidative Functionalization of Benzylic C–H Bonds by DDQ. </w:t>
      </w:r>
      <w:r w:rsidRPr="007B7129">
        <w:rPr>
          <w:i/>
          <w:iCs/>
        </w:rPr>
        <w:t>New J. Chem.</w:t>
      </w:r>
      <w:r w:rsidRPr="007B7129">
        <w:t xml:space="preserve"> </w:t>
      </w:r>
      <w:r w:rsidRPr="007B7129">
        <w:rPr>
          <w:b/>
          <w:bCs/>
        </w:rPr>
        <w:t>2012</w:t>
      </w:r>
      <w:r w:rsidRPr="007B7129">
        <w:t xml:space="preserve">, </w:t>
      </w:r>
      <w:r w:rsidRPr="007B7129">
        <w:rPr>
          <w:i/>
          <w:iCs/>
        </w:rPr>
        <w:t>36</w:t>
      </w:r>
      <w:r w:rsidRPr="007B7129">
        <w:t xml:space="preserve"> (5), 1141–1144. https://doi.org/10.1039/C2NJ40021A.</w:t>
      </w:r>
    </w:p>
    <w:p w14:paraId="2A2476C5" w14:textId="77777777" w:rsidR="007B7129" w:rsidRPr="007B7129" w:rsidRDefault="007B7129" w:rsidP="007B7129">
      <w:pPr>
        <w:tabs>
          <w:tab w:val="left" w:pos="504"/>
        </w:tabs>
        <w:spacing w:after="0"/>
        <w:ind w:left="504" w:hanging="504"/>
      </w:pPr>
      <w:r w:rsidRPr="007B7129">
        <w:t xml:space="preserve">(80) </w:t>
      </w:r>
      <w:r w:rsidRPr="007B7129">
        <w:tab/>
        <w:t xml:space="preserve">Tang, B.-Q.; Wang, W.-J.; Huang, X.-J.; Li, G.-Q.; Wang, L.; Jiang, R.-W.; Yang, T.-T.; Shi, L.; Zhang, X.-Q.; Ye, W.-C. Iboga-Type Alkaloids from </w:t>
      </w:r>
      <w:proofErr w:type="spellStart"/>
      <w:r w:rsidRPr="007B7129">
        <w:t>Ervatamia</w:t>
      </w:r>
      <w:proofErr w:type="spellEnd"/>
      <w:r w:rsidRPr="007B7129">
        <w:t xml:space="preserve"> Officinalis. </w:t>
      </w:r>
      <w:r w:rsidRPr="007B7129">
        <w:rPr>
          <w:i/>
          <w:iCs/>
        </w:rPr>
        <w:t>J. Nat. Prod.</w:t>
      </w:r>
      <w:r w:rsidRPr="007B7129">
        <w:t xml:space="preserve"> </w:t>
      </w:r>
      <w:r w:rsidRPr="007B7129">
        <w:rPr>
          <w:b/>
          <w:bCs/>
        </w:rPr>
        <w:t>2014</w:t>
      </w:r>
      <w:r w:rsidRPr="007B7129">
        <w:t xml:space="preserve">, </w:t>
      </w:r>
      <w:r w:rsidRPr="007B7129">
        <w:rPr>
          <w:i/>
          <w:iCs/>
        </w:rPr>
        <w:t>77</w:t>
      </w:r>
      <w:r w:rsidRPr="007B7129">
        <w:t xml:space="preserve"> (8), 1839–1846. https://doi.org/10.1021/np500240b.</w:t>
      </w:r>
    </w:p>
    <w:p w14:paraId="53ED3A55" w14:textId="77777777" w:rsidR="007B7129" w:rsidRPr="007B7129" w:rsidRDefault="007B7129" w:rsidP="007B7129">
      <w:pPr>
        <w:tabs>
          <w:tab w:val="left" w:pos="504"/>
        </w:tabs>
        <w:spacing w:after="0"/>
        <w:ind w:left="504" w:hanging="504"/>
      </w:pPr>
      <w:r w:rsidRPr="007B7129">
        <w:t xml:space="preserve">(81) </w:t>
      </w:r>
      <w:r w:rsidRPr="007B7129">
        <w:tab/>
        <w:t xml:space="preserve">Watanabe, M.; </w:t>
      </w:r>
      <w:proofErr w:type="spellStart"/>
      <w:r w:rsidRPr="007B7129">
        <w:t>Snieckus</w:t>
      </w:r>
      <w:proofErr w:type="spellEnd"/>
      <w:r w:rsidRPr="007B7129">
        <w:t>, V. Tandem Directed Metalation Reactions. Short Syntheses of Polycyclic Aromatic Hydrocarbons and Ellipticine Alkaloids. 4.</w:t>
      </w:r>
    </w:p>
    <w:p w14:paraId="4EE3B5C1" w14:textId="77777777" w:rsidR="007B7129" w:rsidRPr="007B7129" w:rsidRDefault="007B7129" w:rsidP="007B7129">
      <w:pPr>
        <w:tabs>
          <w:tab w:val="left" w:pos="504"/>
        </w:tabs>
        <w:spacing w:after="0"/>
        <w:ind w:left="504" w:hanging="504"/>
      </w:pPr>
      <w:r w:rsidRPr="007B7129">
        <w:t xml:space="preserve">(82) </w:t>
      </w:r>
      <w:r w:rsidRPr="007B7129">
        <w:tab/>
      </w:r>
      <w:proofErr w:type="spellStart"/>
      <w:r w:rsidRPr="007B7129">
        <w:t>Manolikakes</w:t>
      </w:r>
      <w:proofErr w:type="spellEnd"/>
      <w:r w:rsidRPr="007B7129">
        <w:t xml:space="preserve">, S. M.; Barl, N. M.; </w:t>
      </w:r>
      <w:proofErr w:type="spellStart"/>
      <w:r w:rsidRPr="007B7129">
        <w:t>Sämann</w:t>
      </w:r>
      <w:proofErr w:type="spellEnd"/>
      <w:r w:rsidRPr="007B7129">
        <w:t xml:space="preserve">, C.; Knochel, P. Regioselective Functionalization of Pyridines Using a Directed Metalation or a Halogen/Metal Exchange. </w:t>
      </w:r>
      <w:proofErr w:type="spellStart"/>
      <w:r w:rsidRPr="007B7129">
        <w:rPr>
          <w:i/>
          <w:iCs/>
        </w:rPr>
        <w:t>Zeitschrift</w:t>
      </w:r>
      <w:proofErr w:type="spellEnd"/>
      <w:r w:rsidRPr="007B7129">
        <w:rPr>
          <w:i/>
          <w:iCs/>
        </w:rPr>
        <w:t xml:space="preserve"> für </w:t>
      </w:r>
      <w:proofErr w:type="spellStart"/>
      <w:r w:rsidRPr="007B7129">
        <w:rPr>
          <w:i/>
          <w:iCs/>
        </w:rPr>
        <w:t>Naturforschung</w:t>
      </w:r>
      <w:proofErr w:type="spellEnd"/>
      <w:r w:rsidRPr="007B7129">
        <w:rPr>
          <w:i/>
          <w:iCs/>
        </w:rPr>
        <w:t xml:space="preserve"> B</w:t>
      </w:r>
      <w:r w:rsidRPr="007B7129">
        <w:t xml:space="preserve"> </w:t>
      </w:r>
      <w:r w:rsidRPr="007B7129">
        <w:rPr>
          <w:b/>
          <w:bCs/>
        </w:rPr>
        <w:t>2013</w:t>
      </w:r>
      <w:r w:rsidRPr="007B7129">
        <w:t xml:space="preserve">, </w:t>
      </w:r>
      <w:r w:rsidRPr="007B7129">
        <w:rPr>
          <w:i/>
          <w:iCs/>
        </w:rPr>
        <w:t>68</w:t>
      </w:r>
      <w:r w:rsidRPr="007B7129">
        <w:t xml:space="preserve"> (5–6), 411–422. https://doi.org/10.5560/znb.2013-3061.</w:t>
      </w:r>
    </w:p>
    <w:p w14:paraId="10C09604" w14:textId="77777777" w:rsidR="007B7129" w:rsidRPr="007B7129" w:rsidRDefault="007B7129" w:rsidP="007B7129">
      <w:pPr>
        <w:tabs>
          <w:tab w:val="left" w:pos="504"/>
        </w:tabs>
        <w:spacing w:after="0"/>
        <w:ind w:left="504" w:hanging="504"/>
      </w:pPr>
      <w:r w:rsidRPr="007B7129">
        <w:t xml:space="preserve">(83) </w:t>
      </w:r>
      <w:r w:rsidRPr="007B7129">
        <w:tab/>
        <w:t xml:space="preserve">Lazaar, J.; Rebstock, A.-S.; Mongin, F.; Godard, A.; </w:t>
      </w:r>
      <w:proofErr w:type="spellStart"/>
      <w:r w:rsidRPr="007B7129">
        <w:t>Trécourt</w:t>
      </w:r>
      <w:proofErr w:type="spellEnd"/>
      <w:r w:rsidRPr="007B7129">
        <w:t xml:space="preserve">, F.; </w:t>
      </w:r>
      <w:proofErr w:type="spellStart"/>
      <w:r w:rsidRPr="007B7129">
        <w:t>Marsais</w:t>
      </w:r>
      <w:proofErr w:type="spellEnd"/>
      <w:r w:rsidRPr="007B7129">
        <w:t xml:space="preserve">, F.; </w:t>
      </w:r>
      <w:proofErr w:type="spellStart"/>
      <w:r w:rsidRPr="007B7129">
        <w:t>Quéguiner</w:t>
      </w:r>
      <w:proofErr w:type="spellEnd"/>
      <w:r w:rsidRPr="007B7129">
        <w:t xml:space="preserve">, G. Directed Lithiation of Unprotected </w:t>
      </w:r>
      <w:proofErr w:type="spellStart"/>
      <w:r w:rsidRPr="007B7129">
        <w:t>Pyridinecarboxylic</w:t>
      </w:r>
      <w:proofErr w:type="spellEnd"/>
      <w:r w:rsidRPr="007B7129">
        <w:t xml:space="preserve"> Acids: Syntheses of Halo Derivatives. </w:t>
      </w:r>
      <w:r w:rsidRPr="007B7129">
        <w:rPr>
          <w:i/>
          <w:iCs/>
        </w:rPr>
        <w:t>Tetrahedron</w:t>
      </w:r>
      <w:r w:rsidRPr="007B7129">
        <w:t xml:space="preserve"> </w:t>
      </w:r>
      <w:r w:rsidRPr="007B7129">
        <w:rPr>
          <w:b/>
          <w:bCs/>
        </w:rPr>
        <w:t>2002</w:t>
      </w:r>
      <w:r w:rsidRPr="007B7129">
        <w:t xml:space="preserve">, </w:t>
      </w:r>
      <w:r w:rsidRPr="007B7129">
        <w:rPr>
          <w:i/>
          <w:iCs/>
        </w:rPr>
        <w:t>58</w:t>
      </w:r>
      <w:r w:rsidRPr="007B7129">
        <w:t xml:space="preserve"> (33), 6723–6728. https://doi.org/10.1016/S0040-4020(02)00673-7.</w:t>
      </w:r>
    </w:p>
    <w:p w14:paraId="4747D651" w14:textId="77777777" w:rsidR="007B7129" w:rsidRPr="007B7129" w:rsidRDefault="007B7129" w:rsidP="007B7129">
      <w:pPr>
        <w:tabs>
          <w:tab w:val="left" w:pos="504"/>
        </w:tabs>
        <w:spacing w:after="0"/>
        <w:ind w:left="504" w:hanging="504"/>
      </w:pPr>
      <w:r w:rsidRPr="007B7129">
        <w:t xml:space="preserve">(84) </w:t>
      </w:r>
      <w:r w:rsidRPr="007B7129">
        <w:tab/>
        <w:t xml:space="preserve">Comins, D. L.; Jianhua, G. N- vs. O-Alkylation in the </w:t>
      </w:r>
      <w:proofErr w:type="spellStart"/>
      <w:r w:rsidRPr="007B7129">
        <w:t>Mitsunobu</w:t>
      </w:r>
      <w:proofErr w:type="spellEnd"/>
      <w:r w:rsidRPr="007B7129">
        <w:t xml:space="preserve"> Reaction of 2-Pyridone. </w:t>
      </w:r>
      <w:r w:rsidRPr="007B7129">
        <w:rPr>
          <w:i/>
          <w:iCs/>
        </w:rPr>
        <w:t>Tetrahedron Letters</w:t>
      </w:r>
      <w:r w:rsidRPr="007B7129">
        <w:t xml:space="preserve"> </w:t>
      </w:r>
      <w:r w:rsidRPr="007B7129">
        <w:rPr>
          <w:b/>
          <w:bCs/>
        </w:rPr>
        <w:t>1994</w:t>
      </w:r>
      <w:r w:rsidRPr="007B7129">
        <w:t xml:space="preserve">, </w:t>
      </w:r>
      <w:r w:rsidRPr="007B7129">
        <w:rPr>
          <w:i/>
          <w:iCs/>
        </w:rPr>
        <w:t>35</w:t>
      </w:r>
      <w:r w:rsidRPr="007B7129">
        <w:t xml:space="preserve"> (18), 2819–2822. https://doi.org/10.1016/S0040-4039(00)76633-0.</w:t>
      </w:r>
    </w:p>
    <w:p w14:paraId="29F5CA7A" w14:textId="77777777" w:rsidR="007B7129" w:rsidRPr="007B7129" w:rsidRDefault="007B7129" w:rsidP="007B7129">
      <w:pPr>
        <w:tabs>
          <w:tab w:val="left" w:pos="504"/>
        </w:tabs>
        <w:spacing w:after="0"/>
        <w:ind w:left="504" w:hanging="504"/>
      </w:pPr>
      <w:r w:rsidRPr="007B7129">
        <w:t xml:space="preserve">(85) </w:t>
      </w:r>
      <w:r w:rsidRPr="007B7129">
        <w:tab/>
        <w:t xml:space="preserve">Jaric, M.; Haag, B. A.; </w:t>
      </w:r>
      <w:proofErr w:type="spellStart"/>
      <w:r w:rsidRPr="007B7129">
        <w:t>Manolikakes</w:t>
      </w:r>
      <w:proofErr w:type="spellEnd"/>
      <w:r w:rsidRPr="007B7129">
        <w:t xml:space="preserve">, S. M.; Knochel, P. Selective and Multiple Functionalization of Pyridines and Alkaloids </w:t>
      </w:r>
      <w:r w:rsidRPr="007B7129">
        <w:rPr>
          <w:i/>
          <w:iCs/>
        </w:rPr>
        <w:t>via</w:t>
      </w:r>
      <w:r w:rsidRPr="007B7129">
        <w:t xml:space="preserve"> Mg- and Zn-Organometallic Intermediates. </w:t>
      </w:r>
      <w:r w:rsidRPr="007B7129">
        <w:rPr>
          <w:i/>
          <w:iCs/>
        </w:rPr>
        <w:t>Org. Lett.</w:t>
      </w:r>
      <w:r w:rsidRPr="007B7129">
        <w:t xml:space="preserve"> </w:t>
      </w:r>
      <w:r w:rsidRPr="007B7129">
        <w:rPr>
          <w:b/>
          <w:bCs/>
        </w:rPr>
        <w:t>2011</w:t>
      </w:r>
      <w:r w:rsidRPr="007B7129">
        <w:t xml:space="preserve">, </w:t>
      </w:r>
      <w:r w:rsidRPr="007B7129">
        <w:rPr>
          <w:i/>
          <w:iCs/>
        </w:rPr>
        <w:t>13</w:t>
      </w:r>
      <w:r w:rsidRPr="007B7129">
        <w:t xml:space="preserve"> (9), 2306–2309. https://doi.org/10.1021/ol200563j.</w:t>
      </w:r>
    </w:p>
    <w:p w14:paraId="5565771F" w14:textId="77777777" w:rsidR="007B7129" w:rsidRPr="007B7129" w:rsidRDefault="007B7129" w:rsidP="007B7129">
      <w:pPr>
        <w:tabs>
          <w:tab w:val="left" w:pos="504"/>
        </w:tabs>
        <w:spacing w:after="0"/>
        <w:ind w:left="504" w:hanging="504"/>
      </w:pPr>
      <w:r w:rsidRPr="007B7129">
        <w:t xml:space="preserve">(86) </w:t>
      </w:r>
      <w:r w:rsidRPr="007B7129">
        <w:tab/>
        <w:t xml:space="preserve">Ren, H.; Knochel, P. Regioselective Functionalization of Trisubstituted Pyridines Using a Bromine–Magnesium Exchange. </w:t>
      </w:r>
      <w:r w:rsidRPr="007B7129">
        <w:rPr>
          <w:i/>
          <w:iCs/>
        </w:rPr>
        <w:t xml:space="preserve">Chem. </w:t>
      </w:r>
      <w:proofErr w:type="spellStart"/>
      <w:r w:rsidRPr="007B7129">
        <w:rPr>
          <w:i/>
          <w:iCs/>
        </w:rPr>
        <w:t>Commun</w:t>
      </w:r>
      <w:proofErr w:type="spellEnd"/>
      <w:r w:rsidRPr="007B7129">
        <w:rPr>
          <w:i/>
          <w:iCs/>
        </w:rPr>
        <w:t>.</w:t>
      </w:r>
      <w:r w:rsidRPr="007B7129">
        <w:t xml:space="preserve"> </w:t>
      </w:r>
      <w:r w:rsidRPr="007B7129">
        <w:rPr>
          <w:b/>
          <w:bCs/>
        </w:rPr>
        <w:t>2006</w:t>
      </w:r>
      <w:r w:rsidRPr="007B7129">
        <w:t>, No. 7, 726–728. https://doi.org/10.1039/B515168F.</w:t>
      </w:r>
    </w:p>
    <w:p w14:paraId="3097C112" w14:textId="77777777" w:rsidR="007B7129" w:rsidRPr="007B7129" w:rsidRDefault="007B7129" w:rsidP="007B7129">
      <w:pPr>
        <w:tabs>
          <w:tab w:val="left" w:pos="504"/>
        </w:tabs>
        <w:spacing w:after="0"/>
        <w:ind w:left="504" w:hanging="504"/>
      </w:pPr>
      <w:r w:rsidRPr="007B7129">
        <w:lastRenderedPageBreak/>
        <w:t xml:space="preserve">(87) </w:t>
      </w:r>
      <w:r w:rsidRPr="007B7129">
        <w:tab/>
        <w:t xml:space="preserve">Roszak, R.; Beker, W.; </w:t>
      </w:r>
      <w:proofErr w:type="spellStart"/>
      <w:r w:rsidRPr="007B7129">
        <w:t>Molga</w:t>
      </w:r>
      <w:proofErr w:type="spellEnd"/>
      <w:r w:rsidRPr="007B7129">
        <w:t xml:space="preserve">, K.; Grzybowski, B. A. Rapid and Accurate Prediction of </w:t>
      </w:r>
      <w:proofErr w:type="spellStart"/>
      <w:r w:rsidRPr="007B7129">
        <w:t>PKa</w:t>
      </w:r>
      <w:proofErr w:type="spellEnd"/>
      <w:r w:rsidRPr="007B7129">
        <w:t xml:space="preserve"> Values of C–H Acids Using Graph Convolutional Neural Networks. </w:t>
      </w:r>
      <w:r w:rsidRPr="007B7129">
        <w:rPr>
          <w:i/>
          <w:iCs/>
        </w:rPr>
        <w:t>J. Am. Chem. Soc.</w:t>
      </w:r>
      <w:r w:rsidRPr="007B7129">
        <w:t xml:space="preserve"> </w:t>
      </w:r>
      <w:r w:rsidRPr="007B7129">
        <w:rPr>
          <w:b/>
          <w:bCs/>
        </w:rPr>
        <w:t>2019</w:t>
      </w:r>
      <w:r w:rsidRPr="007B7129">
        <w:t xml:space="preserve">, </w:t>
      </w:r>
      <w:r w:rsidRPr="007B7129">
        <w:rPr>
          <w:i/>
          <w:iCs/>
        </w:rPr>
        <w:t>141</w:t>
      </w:r>
      <w:r w:rsidRPr="007B7129">
        <w:t xml:space="preserve"> (43), 17142–17149. https://doi.org/10.1021/jacs.9b05895.</w:t>
      </w:r>
    </w:p>
    <w:p w14:paraId="48D69D17" w14:textId="77777777" w:rsidR="007B7129" w:rsidRPr="007B7129" w:rsidRDefault="007B7129" w:rsidP="007B7129">
      <w:pPr>
        <w:tabs>
          <w:tab w:val="left" w:pos="504"/>
        </w:tabs>
        <w:spacing w:after="0"/>
        <w:ind w:left="504" w:hanging="504"/>
      </w:pPr>
      <w:r w:rsidRPr="007B7129">
        <w:t xml:space="preserve">(88) </w:t>
      </w:r>
      <w:r w:rsidRPr="007B7129">
        <w:tab/>
        <w:t>Gros, P.; Choppin, S.; Mathieu, J.; Fort, Y. Lithiation of 2-Heterosubstituted Pyridines with BuLi−</w:t>
      </w:r>
      <w:proofErr w:type="spellStart"/>
      <w:r w:rsidRPr="007B7129">
        <w:t>LiDMAE</w:t>
      </w:r>
      <w:proofErr w:type="spellEnd"/>
      <w:r w:rsidRPr="007B7129">
        <w:t xml:space="preserve">:  Evidence for Regiospecificity at C-6. </w:t>
      </w:r>
      <w:r w:rsidRPr="007B7129">
        <w:rPr>
          <w:i/>
          <w:iCs/>
        </w:rPr>
        <w:t>J. Org. Chem.</w:t>
      </w:r>
      <w:r w:rsidRPr="007B7129">
        <w:t xml:space="preserve"> </w:t>
      </w:r>
      <w:r w:rsidRPr="007B7129">
        <w:rPr>
          <w:b/>
          <w:bCs/>
        </w:rPr>
        <w:t>2002</w:t>
      </w:r>
      <w:r w:rsidRPr="007B7129">
        <w:t xml:space="preserve">, </w:t>
      </w:r>
      <w:r w:rsidRPr="007B7129">
        <w:rPr>
          <w:i/>
          <w:iCs/>
        </w:rPr>
        <w:t>67</w:t>
      </w:r>
      <w:r w:rsidRPr="007B7129">
        <w:t xml:space="preserve"> (1), 234–237. https://doi.org/10.1021/jo015855o.</w:t>
      </w:r>
    </w:p>
    <w:p w14:paraId="6C55551E" w14:textId="77777777" w:rsidR="007B7129" w:rsidRPr="007B7129" w:rsidRDefault="007B7129" w:rsidP="007B7129">
      <w:pPr>
        <w:tabs>
          <w:tab w:val="left" w:pos="504"/>
        </w:tabs>
        <w:spacing w:after="0"/>
        <w:ind w:left="504" w:hanging="504"/>
      </w:pPr>
      <w:r w:rsidRPr="007B7129">
        <w:t xml:space="preserve">(89) </w:t>
      </w:r>
      <w:r w:rsidRPr="007B7129">
        <w:tab/>
        <w:t xml:space="preserve">Schlosser, M. </w:t>
      </w:r>
      <w:r w:rsidRPr="007B7129">
        <w:rPr>
          <w:i/>
          <w:iCs/>
        </w:rPr>
        <w:t>Organometallics in Organic Synthesis</w:t>
      </w:r>
      <w:r w:rsidRPr="007B7129">
        <w:t xml:space="preserve">; </w:t>
      </w:r>
      <w:proofErr w:type="spellStart"/>
      <w:r w:rsidRPr="007B7129">
        <w:t>WIley</w:t>
      </w:r>
      <w:proofErr w:type="spellEnd"/>
      <w:r w:rsidRPr="007B7129">
        <w:t>, 1994; Vol. 172.</w:t>
      </w:r>
    </w:p>
    <w:p w14:paraId="20AF50F8" w14:textId="77777777" w:rsidR="007B7129" w:rsidRPr="007B7129" w:rsidRDefault="007B7129" w:rsidP="007B7129">
      <w:pPr>
        <w:tabs>
          <w:tab w:val="left" w:pos="504"/>
        </w:tabs>
        <w:spacing w:after="0"/>
        <w:ind w:left="504" w:hanging="504"/>
      </w:pPr>
      <w:r w:rsidRPr="007B7129">
        <w:t xml:space="preserve">(90) </w:t>
      </w:r>
      <w:r w:rsidRPr="007B7129">
        <w:tab/>
        <w:t xml:space="preserve">Nicolaou, K. C.; Chen, J. S. The Art of Total Synthesis Through Cascade Reactions. </w:t>
      </w:r>
      <w:r w:rsidRPr="007B7129">
        <w:rPr>
          <w:i/>
          <w:iCs/>
        </w:rPr>
        <w:t>Chem Soc Rev</w:t>
      </w:r>
      <w:r w:rsidRPr="007B7129">
        <w:t xml:space="preserve"> </w:t>
      </w:r>
      <w:r w:rsidRPr="007B7129">
        <w:rPr>
          <w:b/>
          <w:bCs/>
        </w:rPr>
        <w:t>2009</w:t>
      </w:r>
      <w:r w:rsidRPr="007B7129">
        <w:t xml:space="preserve">, </w:t>
      </w:r>
      <w:r w:rsidRPr="007B7129">
        <w:rPr>
          <w:i/>
          <w:iCs/>
        </w:rPr>
        <w:t>38</w:t>
      </w:r>
      <w:r w:rsidRPr="007B7129">
        <w:t xml:space="preserve"> (11), 2993–3009. https://doi.org/10.1039/b903290h.</w:t>
      </w:r>
    </w:p>
    <w:p w14:paraId="00C1F152" w14:textId="77777777" w:rsidR="007B7129" w:rsidRPr="007B7129" w:rsidRDefault="007B7129" w:rsidP="007B7129">
      <w:pPr>
        <w:tabs>
          <w:tab w:val="left" w:pos="504"/>
        </w:tabs>
        <w:spacing w:after="0"/>
        <w:ind w:left="504" w:hanging="504"/>
      </w:pPr>
      <w:r w:rsidRPr="007B7129">
        <w:t xml:space="preserve">(91) </w:t>
      </w:r>
      <w:r w:rsidRPr="007B7129">
        <w:tab/>
      </w:r>
      <w:proofErr w:type="spellStart"/>
      <w:r w:rsidRPr="007B7129">
        <w:t>Chbani</w:t>
      </w:r>
      <w:proofErr w:type="spellEnd"/>
      <w:r w:rsidRPr="007B7129">
        <w:t xml:space="preserve">, M.; </w:t>
      </w:r>
      <w:proofErr w:type="spellStart"/>
      <w:r w:rsidRPr="007B7129">
        <w:t>Païs</w:t>
      </w:r>
      <w:proofErr w:type="spellEnd"/>
      <w:r w:rsidRPr="007B7129">
        <w:t xml:space="preserve">, M.; </w:t>
      </w:r>
      <w:proofErr w:type="spellStart"/>
      <w:r w:rsidRPr="007B7129">
        <w:t>Delauneux</w:t>
      </w:r>
      <w:proofErr w:type="spellEnd"/>
      <w:r w:rsidRPr="007B7129">
        <w:t xml:space="preserve">, J.-M.; </w:t>
      </w:r>
      <w:proofErr w:type="spellStart"/>
      <w:r w:rsidRPr="007B7129">
        <w:t>Debitus</w:t>
      </w:r>
      <w:proofErr w:type="spellEnd"/>
      <w:r w:rsidRPr="007B7129">
        <w:t xml:space="preserve">, C. Brominated Indole Alkaloids from the Marine Tunicate </w:t>
      </w:r>
      <w:proofErr w:type="spellStart"/>
      <w:r w:rsidRPr="007B7129">
        <w:t>Pseudodistoma</w:t>
      </w:r>
      <w:proofErr w:type="spellEnd"/>
      <w:r w:rsidRPr="007B7129">
        <w:t xml:space="preserve"> </w:t>
      </w:r>
      <w:proofErr w:type="spellStart"/>
      <w:r w:rsidRPr="007B7129">
        <w:t>Arborescens</w:t>
      </w:r>
      <w:proofErr w:type="spellEnd"/>
      <w:r w:rsidRPr="007B7129">
        <w:t xml:space="preserve">. </w:t>
      </w:r>
      <w:r w:rsidRPr="007B7129">
        <w:rPr>
          <w:i/>
          <w:iCs/>
        </w:rPr>
        <w:t>J. Nat. Prod.</w:t>
      </w:r>
      <w:r w:rsidRPr="007B7129">
        <w:t xml:space="preserve"> </w:t>
      </w:r>
      <w:r w:rsidRPr="007B7129">
        <w:rPr>
          <w:b/>
          <w:bCs/>
        </w:rPr>
        <w:t>1993</w:t>
      </w:r>
      <w:r w:rsidRPr="007B7129">
        <w:t xml:space="preserve">, </w:t>
      </w:r>
      <w:r w:rsidRPr="007B7129">
        <w:rPr>
          <w:i/>
          <w:iCs/>
        </w:rPr>
        <w:t>56</w:t>
      </w:r>
      <w:r w:rsidRPr="007B7129">
        <w:t xml:space="preserve"> (1), 99–104. https://doi.org/10.1021/np50091a014.</w:t>
      </w:r>
    </w:p>
    <w:p w14:paraId="2B53853F" w14:textId="77777777" w:rsidR="007B7129" w:rsidRPr="007B7129" w:rsidRDefault="007B7129" w:rsidP="007B7129">
      <w:pPr>
        <w:tabs>
          <w:tab w:val="left" w:pos="504"/>
        </w:tabs>
        <w:spacing w:after="0"/>
        <w:ind w:left="504" w:hanging="504"/>
      </w:pPr>
      <w:r w:rsidRPr="007B7129">
        <w:t xml:space="preserve">(92) </w:t>
      </w:r>
      <w:r w:rsidRPr="007B7129">
        <w:tab/>
        <w:t xml:space="preserve">Guillaume, D.; </w:t>
      </w:r>
      <w:proofErr w:type="spellStart"/>
      <w:r w:rsidRPr="007B7129">
        <w:t>Morfaux</w:t>
      </w:r>
      <w:proofErr w:type="spellEnd"/>
      <w:r w:rsidRPr="007B7129">
        <w:t xml:space="preserve">, A. M.; Richard, B.; </w:t>
      </w:r>
      <w:proofErr w:type="spellStart"/>
      <w:r w:rsidRPr="007B7129">
        <w:t>Massiot</w:t>
      </w:r>
      <w:proofErr w:type="spellEnd"/>
      <w:r w:rsidRPr="007B7129">
        <w:t xml:space="preserve">, G.; Le Men-Olivier, L.; </w:t>
      </w:r>
      <w:proofErr w:type="spellStart"/>
      <w:r w:rsidRPr="007B7129">
        <w:t>Pusset</w:t>
      </w:r>
      <w:proofErr w:type="spellEnd"/>
      <w:r w:rsidRPr="007B7129">
        <w:t xml:space="preserve">, J.; </w:t>
      </w:r>
      <w:proofErr w:type="spellStart"/>
      <w:r w:rsidRPr="007B7129">
        <w:t>Sévenet</w:t>
      </w:r>
      <w:proofErr w:type="spellEnd"/>
      <w:r w:rsidRPr="007B7129">
        <w:t xml:space="preserve">, T. Some Alkaloids of </w:t>
      </w:r>
      <w:proofErr w:type="spellStart"/>
      <w:r w:rsidRPr="007B7129">
        <w:t>Alstonia</w:t>
      </w:r>
      <w:proofErr w:type="spellEnd"/>
      <w:r w:rsidRPr="007B7129">
        <w:t xml:space="preserve"> Undulata. </w:t>
      </w:r>
      <w:r w:rsidRPr="007B7129">
        <w:rPr>
          <w:i/>
          <w:iCs/>
        </w:rPr>
        <w:t>Phytochemistry</w:t>
      </w:r>
      <w:r w:rsidRPr="007B7129">
        <w:t xml:space="preserve"> </w:t>
      </w:r>
      <w:r w:rsidRPr="007B7129">
        <w:rPr>
          <w:b/>
          <w:bCs/>
        </w:rPr>
        <w:t>1984</w:t>
      </w:r>
      <w:r w:rsidRPr="007B7129">
        <w:t xml:space="preserve">, </w:t>
      </w:r>
      <w:r w:rsidRPr="007B7129">
        <w:rPr>
          <w:i/>
          <w:iCs/>
        </w:rPr>
        <w:t>23</w:t>
      </w:r>
      <w:r w:rsidRPr="007B7129">
        <w:t xml:space="preserve"> (10), 2407–2408. https://doi.org/10.1016/S0031-9422(00)80574-9.</w:t>
      </w:r>
    </w:p>
    <w:p w14:paraId="3E2B8D0B" w14:textId="77777777" w:rsidR="007B7129" w:rsidRPr="007B7129" w:rsidRDefault="007B7129" w:rsidP="007B7129">
      <w:pPr>
        <w:tabs>
          <w:tab w:val="left" w:pos="504"/>
        </w:tabs>
        <w:spacing w:after="0"/>
        <w:ind w:left="504" w:hanging="504"/>
      </w:pPr>
      <w:r w:rsidRPr="007B7129">
        <w:t xml:space="preserve">(93) </w:t>
      </w:r>
      <w:r w:rsidRPr="007B7129">
        <w:tab/>
        <w:t xml:space="preserve">Kao, H.-K.; Lin, X.-J.; Hong, B.-C.; Yang, V.-W.; Lee, G.-H. Enantioselective Synthesis of Yohimbine Analogues by an Organocatalytic and Pot-Economic Strategy. </w:t>
      </w:r>
      <w:r w:rsidRPr="007B7129">
        <w:rPr>
          <w:i/>
          <w:iCs/>
        </w:rPr>
        <w:t>J. Org. Chem.</w:t>
      </w:r>
      <w:r w:rsidRPr="007B7129">
        <w:t xml:space="preserve"> </w:t>
      </w:r>
      <w:r w:rsidRPr="007B7129">
        <w:rPr>
          <w:b/>
          <w:bCs/>
        </w:rPr>
        <w:t>2019</w:t>
      </w:r>
      <w:r w:rsidRPr="007B7129">
        <w:t xml:space="preserve">, </w:t>
      </w:r>
      <w:r w:rsidRPr="007B7129">
        <w:rPr>
          <w:i/>
          <w:iCs/>
        </w:rPr>
        <w:t>84</w:t>
      </w:r>
      <w:r w:rsidRPr="007B7129">
        <w:t xml:space="preserve"> (18), 12138–12147. https://doi.org/10.1021/acs.joc.9b01193.</w:t>
      </w:r>
    </w:p>
    <w:p w14:paraId="27CEA518" w14:textId="77777777" w:rsidR="007B7129" w:rsidRPr="007B7129" w:rsidRDefault="007B7129" w:rsidP="007B7129">
      <w:pPr>
        <w:tabs>
          <w:tab w:val="left" w:pos="504"/>
        </w:tabs>
        <w:spacing w:after="0"/>
        <w:ind w:left="504" w:hanging="504"/>
      </w:pPr>
      <w:r w:rsidRPr="007B7129">
        <w:t xml:space="preserve">(94) </w:t>
      </w:r>
      <w:r w:rsidRPr="007B7129">
        <w:tab/>
      </w:r>
      <w:proofErr w:type="spellStart"/>
      <w:r w:rsidRPr="007B7129">
        <w:t>Wenkert</w:t>
      </w:r>
      <w:proofErr w:type="spellEnd"/>
      <w:r w:rsidRPr="007B7129">
        <w:t xml:space="preserve">, E.; Dave, K. G.; </w:t>
      </w:r>
      <w:proofErr w:type="spellStart"/>
      <w:r w:rsidRPr="007B7129">
        <w:t>Haglid</w:t>
      </w:r>
      <w:proofErr w:type="spellEnd"/>
      <w:r w:rsidRPr="007B7129">
        <w:t xml:space="preserve">, F. General Methods of Synthesis of Indole Alkaloids. V. Syntheses of </w:t>
      </w:r>
      <w:proofErr w:type="spellStart"/>
      <w:proofErr w:type="gramStart"/>
      <w:r w:rsidRPr="007B7129">
        <w:t>d,l</w:t>
      </w:r>
      <w:proofErr w:type="gramEnd"/>
      <w:r w:rsidRPr="007B7129">
        <w:t>-Corynantheidol</w:t>
      </w:r>
      <w:proofErr w:type="spellEnd"/>
      <w:r w:rsidRPr="007B7129">
        <w:t xml:space="preserve"> and d,l-Epialloyohimbane1,2. </w:t>
      </w:r>
      <w:r w:rsidRPr="007B7129">
        <w:rPr>
          <w:i/>
          <w:iCs/>
        </w:rPr>
        <w:t>J. Am. Chem. Soc.</w:t>
      </w:r>
      <w:r w:rsidRPr="007B7129">
        <w:t xml:space="preserve"> </w:t>
      </w:r>
      <w:r w:rsidRPr="007B7129">
        <w:rPr>
          <w:b/>
          <w:bCs/>
        </w:rPr>
        <w:t>1965</w:t>
      </w:r>
      <w:r w:rsidRPr="007B7129">
        <w:t xml:space="preserve">, </w:t>
      </w:r>
      <w:r w:rsidRPr="007B7129">
        <w:rPr>
          <w:i/>
          <w:iCs/>
        </w:rPr>
        <w:t>87</w:t>
      </w:r>
      <w:r w:rsidRPr="007B7129">
        <w:t xml:space="preserve"> (23), 5461–5467. https://doi.org/10.1021/ja00951a037.</w:t>
      </w:r>
    </w:p>
    <w:p w14:paraId="3DA04D74" w14:textId="77777777" w:rsidR="007B7129" w:rsidRPr="007B7129" w:rsidRDefault="007B7129" w:rsidP="007B7129">
      <w:pPr>
        <w:tabs>
          <w:tab w:val="left" w:pos="504"/>
        </w:tabs>
        <w:spacing w:after="0"/>
        <w:ind w:left="504" w:hanging="504"/>
      </w:pPr>
      <w:r w:rsidRPr="007B7129">
        <w:lastRenderedPageBreak/>
        <w:t xml:space="preserve">(95) </w:t>
      </w:r>
      <w:r w:rsidRPr="007B7129">
        <w:tab/>
        <w:t xml:space="preserve">Liu, X.; Wang, T.; Xu, Q.; Ma, C.; Cook, J. M. Enantiospecific Total Synthesis of the Enantiomer of the Indole Alkaloid </w:t>
      </w:r>
      <w:proofErr w:type="spellStart"/>
      <w:r w:rsidRPr="007B7129">
        <w:t>Affinisine</w:t>
      </w:r>
      <w:proofErr w:type="spellEnd"/>
      <w:r w:rsidRPr="007B7129">
        <w:t xml:space="preserve">. </w:t>
      </w:r>
      <w:r w:rsidRPr="007B7129">
        <w:rPr>
          <w:i/>
          <w:iCs/>
        </w:rPr>
        <w:t>Tetrahedron Letters</w:t>
      </w:r>
      <w:r w:rsidRPr="007B7129">
        <w:t xml:space="preserve"> </w:t>
      </w:r>
      <w:r w:rsidRPr="007B7129">
        <w:rPr>
          <w:b/>
          <w:bCs/>
        </w:rPr>
        <w:t>2000</w:t>
      </w:r>
      <w:r w:rsidRPr="007B7129">
        <w:t xml:space="preserve">, </w:t>
      </w:r>
      <w:r w:rsidRPr="007B7129">
        <w:rPr>
          <w:i/>
          <w:iCs/>
        </w:rPr>
        <w:t>41</w:t>
      </w:r>
      <w:r w:rsidRPr="007B7129">
        <w:t xml:space="preserve"> (33), 6299–6303. https://doi.org/10.1016/S0040-4039(00)01061-3.</w:t>
      </w:r>
    </w:p>
    <w:p w14:paraId="49C83CC6" w14:textId="77777777" w:rsidR="007B7129" w:rsidRPr="007B7129" w:rsidRDefault="007B7129" w:rsidP="007B7129">
      <w:pPr>
        <w:tabs>
          <w:tab w:val="left" w:pos="504"/>
        </w:tabs>
        <w:spacing w:after="0"/>
        <w:ind w:left="504" w:hanging="504"/>
      </w:pPr>
      <w:r w:rsidRPr="007B7129">
        <w:t xml:space="preserve">(96) </w:t>
      </w:r>
      <w:r w:rsidRPr="007B7129">
        <w:tab/>
      </w:r>
      <w:proofErr w:type="spellStart"/>
      <w:r w:rsidRPr="007B7129">
        <w:t>Sydorenko</w:t>
      </w:r>
      <w:proofErr w:type="spellEnd"/>
      <w:r w:rsidRPr="007B7129">
        <w:t xml:space="preserve">, N.; </w:t>
      </w:r>
      <w:proofErr w:type="spellStart"/>
      <w:r w:rsidRPr="007B7129">
        <w:t>Zificsak</w:t>
      </w:r>
      <w:proofErr w:type="spellEnd"/>
      <w:r w:rsidRPr="007B7129">
        <w:t xml:space="preserve">, C. A.; </w:t>
      </w:r>
      <w:proofErr w:type="spellStart"/>
      <w:r w:rsidRPr="007B7129">
        <w:t>Gerasyuto</w:t>
      </w:r>
      <w:proofErr w:type="spellEnd"/>
      <w:r w:rsidRPr="007B7129">
        <w:t xml:space="preserve">, A. I.; </w:t>
      </w:r>
      <w:proofErr w:type="spellStart"/>
      <w:r w:rsidRPr="007B7129">
        <w:t>Hsung</w:t>
      </w:r>
      <w:proofErr w:type="spellEnd"/>
      <w:r w:rsidRPr="007B7129">
        <w:t>, R. P. Total Syntheses of Enantiomerically Enriched R</w:t>
      </w:r>
      <w:proofErr w:type="gramStart"/>
      <w:r w:rsidRPr="007B7129">
        <w:t>-(</w:t>
      </w:r>
      <w:proofErr w:type="gramEnd"/>
      <w:r w:rsidRPr="007B7129">
        <w:t>+)- and S-(−)-</w:t>
      </w:r>
      <w:proofErr w:type="spellStart"/>
      <w:r w:rsidRPr="007B7129">
        <w:t>Deplancheine</w:t>
      </w:r>
      <w:proofErr w:type="spellEnd"/>
      <w:r w:rsidRPr="007B7129">
        <w:t xml:space="preserve">. </w:t>
      </w:r>
      <w:r w:rsidRPr="007B7129">
        <w:rPr>
          <w:i/>
          <w:iCs/>
        </w:rPr>
        <w:t xml:space="preserve">Org. </w:t>
      </w:r>
      <w:proofErr w:type="spellStart"/>
      <w:r w:rsidRPr="007B7129">
        <w:rPr>
          <w:i/>
          <w:iCs/>
        </w:rPr>
        <w:t>Biomol</w:t>
      </w:r>
      <w:proofErr w:type="spellEnd"/>
      <w:r w:rsidRPr="007B7129">
        <w:rPr>
          <w:i/>
          <w:iCs/>
        </w:rPr>
        <w:t>. Chem.</w:t>
      </w:r>
      <w:r w:rsidRPr="007B7129">
        <w:t xml:space="preserve"> </w:t>
      </w:r>
      <w:r w:rsidRPr="007B7129">
        <w:rPr>
          <w:b/>
          <w:bCs/>
        </w:rPr>
        <w:t>2005</w:t>
      </w:r>
      <w:r w:rsidRPr="007B7129">
        <w:t xml:space="preserve">, </w:t>
      </w:r>
      <w:r w:rsidRPr="007B7129">
        <w:rPr>
          <w:i/>
          <w:iCs/>
        </w:rPr>
        <w:t>3</w:t>
      </w:r>
      <w:r w:rsidRPr="007B7129">
        <w:t xml:space="preserve"> (11), 2140–2144. https://doi.org/10.1039/B503862F.</w:t>
      </w:r>
    </w:p>
    <w:p w14:paraId="21D04568" w14:textId="77777777" w:rsidR="007B7129" w:rsidRPr="007B7129" w:rsidRDefault="007B7129" w:rsidP="007B7129">
      <w:pPr>
        <w:tabs>
          <w:tab w:val="left" w:pos="504"/>
        </w:tabs>
        <w:spacing w:after="0"/>
        <w:ind w:left="504" w:hanging="504"/>
      </w:pPr>
      <w:r w:rsidRPr="007B7129">
        <w:t xml:space="preserve">(97) </w:t>
      </w:r>
      <w:r w:rsidRPr="007B7129">
        <w:tab/>
        <w:t xml:space="preserve">Park, E.; Cheon, C.-H. A General Strategy for the Synthesis of </w:t>
      </w:r>
      <w:proofErr w:type="spellStart"/>
      <w:r w:rsidRPr="007B7129">
        <w:t>Indoloquinolizine</w:t>
      </w:r>
      <w:proofErr w:type="spellEnd"/>
      <w:r w:rsidRPr="007B7129">
        <w:t xml:space="preserve"> Alkaloids via a Cyanide-Catalyzed </w:t>
      </w:r>
      <w:proofErr w:type="spellStart"/>
      <w:r w:rsidRPr="007B7129">
        <w:t>Imino</w:t>
      </w:r>
      <w:proofErr w:type="spellEnd"/>
      <w:r w:rsidRPr="007B7129">
        <w:t xml:space="preserve">-Stetter Reaction. </w:t>
      </w:r>
      <w:r w:rsidRPr="007B7129">
        <w:rPr>
          <w:i/>
          <w:iCs/>
        </w:rPr>
        <w:t>Organic &amp; Biomolecular Chemistry</w:t>
      </w:r>
      <w:r w:rsidRPr="007B7129">
        <w:t xml:space="preserve"> </w:t>
      </w:r>
      <w:r w:rsidRPr="007B7129">
        <w:rPr>
          <w:b/>
          <w:bCs/>
        </w:rPr>
        <w:t>2017</w:t>
      </w:r>
      <w:r w:rsidRPr="007B7129">
        <w:t xml:space="preserve">, </w:t>
      </w:r>
      <w:r w:rsidRPr="007B7129">
        <w:rPr>
          <w:i/>
          <w:iCs/>
        </w:rPr>
        <w:t>15</w:t>
      </w:r>
      <w:r w:rsidRPr="007B7129">
        <w:t xml:space="preserve"> (48), 10265–10275. https://doi.org/10.1039/C7OB02691A.</w:t>
      </w:r>
    </w:p>
    <w:p w14:paraId="4E037994" w14:textId="77777777" w:rsidR="007B7129" w:rsidRPr="007B7129" w:rsidRDefault="007B7129" w:rsidP="007B7129">
      <w:pPr>
        <w:tabs>
          <w:tab w:val="left" w:pos="504"/>
        </w:tabs>
        <w:spacing w:after="0"/>
        <w:ind w:left="504" w:hanging="504"/>
      </w:pPr>
      <w:r w:rsidRPr="007B7129">
        <w:t xml:space="preserve">(98) </w:t>
      </w:r>
      <w:r w:rsidRPr="007B7129">
        <w:tab/>
        <w:t xml:space="preserve">Fujii, T.; </w:t>
      </w:r>
      <w:proofErr w:type="spellStart"/>
      <w:r w:rsidRPr="007B7129">
        <w:t>Yoshifuji</w:t>
      </w:r>
      <w:proofErr w:type="spellEnd"/>
      <w:r w:rsidRPr="007B7129">
        <w:t>, S.; Ito, H. Quinolizidines. XXV. An Extension of the “</w:t>
      </w:r>
      <w:proofErr w:type="spellStart"/>
      <w:r w:rsidRPr="007B7129">
        <w:t>Lactim</w:t>
      </w:r>
      <w:proofErr w:type="spellEnd"/>
      <w:r w:rsidRPr="007B7129">
        <w:t xml:space="preserve"> Ether Route” to the Racemic Syntheses of Several </w:t>
      </w:r>
      <w:proofErr w:type="spellStart"/>
      <w:r w:rsidRPr="007B7129">
        <w:t>Indolo</w:t>
      </w:r>
      <w:proofErr w:type="spellEnd"/>
      <w:r w:rsidRPr="007B7129">
        <w:t>[2,3-</w:t>
      </w:r>
      <w:proofErr w:type="gramStart"/>
      <w:r w:rsidRPr="007B7129">
        <w:t>a]Quinolizidine</w:t>
      </w:r>
      <w:proofErr w:type="gramEnd"/>
      <w:r w:rsidRPr="007B7129">
        <w:t xml:space="preserve"> Alkaloids. </w:t>
      </w:r>
      <w:r w:rsidRPr="007B7129">
        <w:rPr>
          <w:i/>
          <w:iCs/>
        </w:rPr>
        <w:t>Chem. Pharm. Bull.</w:t>
      </w:r>
      <w:r w:rsidRPr="007B7129">
        <w:t xml:space="preserve"> </w:t>
      </w:r>
      <w:r w:rsidRPr="007B7129">
        <w:rPr>
          <w:b/>
          <w:bCs/>
        </w:rPr>
        <w:t>1988</w:t>
      </w:r>
      <w:r w:rsidRPr="007B7129">
        <w:t xml:space="preserve">, </w:t>
      </w:r>
      <w:r w:rsidRPr="007B7129">
        <w:rPr>
          <w:i/>
          <w:iCs/>
        </w:rPr>
        <w:t>36</w:t>
      </w:r>
      <w:r w:rsidRPr="007B7129">
        <w:t xml:space="preserve"> (9), 3348–3353. https://doi.org/10.1248/cpb.36.3348.</w:t>
      </w:r>
    </w:p>
    <w:p w14:paraId="765BF196" w14:textId="77777777" w:rsidR="007B7129" w:rsidRPr="007B7129" w:rsidRDefault="007B7129" w:rsidP="007B7129">
      <w:pPr>
        <w:tabs>
          <w:tab w:val="left" w:pos="504"/>
        </w:tabs>
        <w:spacing w:after="0"/>
        <w:ind w:left="504" w:hanging="504"/>
      </w:pPr>
      <w:r w:rsidRPr="007B7129">
        <w:t xml:space="preserve">(99) </w:t>
      </w:r>
      <w:r w:rsidRPr="007B7129">
        <w:tab/>
        <w:t>Wang, Y.; Zhang, P.; Di, X.; Dai, Q.; Zhang, Z.-M.; Zhang, J. Gold-Catalyzed Asymmetric Intramolecular Cyclization of N-</w:t>
      </w:r>
      <w:proofErr w:type="spellStart"/>
      <w:r w:rsidRPr="007B7129">
        <w:t>Allenamides</w:t>
      </w:r>
      <w:proofErr w:type="spellEnd"/>
      <w:r w:rsidRPr="007B7129">
        <w:t xml:space="preserve"> for the Synthesis of Chiral </w:t>
      </w:r>
      <w:proofErr w:type="spellStart"/>
      <w:r w:rsidRPr="007B7129">
        <w:t>Tetrahydrocarbolines</w:t>
      </w:r>
      <w:proofErr w:type="spellEnd"/>
      <w:r w:rsidRPr="007B7129">
        <w:t xml:space="preserve">. </w:t>
      </w:r>
      <w:proofErr w:type="spellStart"/>
      <w:r w:rsidRPr="007B7129">
        <w:rPr>
          <w:i/>
          <w:iCs/>
        </w:rPr>
        <w:t>Angewandte</w:t>
      </w:r>
      <w:proofErr w:type="spellEnd"/>
      <w:r w:rsidRPr="007B7129">
        <w:rPr>
          <w:i/>
          <w:iCs/>
        </w:rPr>
        <w:t xml:space="preserve"> </w:t>
      </w:r>
      <w:proofErr w:type="spellStart"/>
      <w:r w:rsidRPr="007B7129">
        <w:rPr>
          <w:i/>
          <w:iCs/>
        </w:rPr>
        <w:t>Chemie</w:t>
      </w:r>
      <w:proofErr w:type="spellEnd"/>
      <w:r w:rsidRPr="007B7129">
        <w:rPr>
          <w:i/>
          <w:iCs/>
        </w:rPr>
        <w:t xml:space="preserve"> International Edition</w:t>
      </w:r>
      <w:r w:rsidRPr="007B7129">
        <w:t xml:space="preserve"> </w:t>
      </w:r>
      <w:r w:rsidRPr="007B7129">
        <w:rPr>
          <w:b/>
          <w:bCs/>
        </w:rPr>
        <w:t>2017</w:t>
      </w:r>
      <w:r w:rsidRPr="007B7129">
        <w:t xml:space="preserve">, </w:t>
      </w:r>
      <w:r w:rsidRPr="007B7129">
        <w:rPr>
          <w:i/>
          <w:iCs/>
        </w:rPr>
        <w:t>56</w:t>
      </w:r>
      <w:r w:rsidRPr="007B7129">
        <w:t xml:space="preserve"> (50), 15905–15909. https://doi.org/10.1002/anie.201709595.</w:t>
      </w:r>
    </w:p>
    <w:p w14:paraId="40500AFE" w14:textId="77777777" w:rsidR="007B7129" w:rsidRPr="007B7129" w:rsidRDefault="007B7129" w:rsidP="007B7129">
      <w:pPr>
        <w:tabs>
          <w:tab w:val="left" w:pos="504"/>
        </w:tabs>
        <w:spacing w:after="0"/>
        <w:ind w:left="504" w:hanging="504"/>
      </w:pPr>
      <w:r w:rsidRPr="007B7129">
        <w:t xml:space="preserve">(100) </w:t>
      </w:r>
      <w:r w:rsidRPr="007B7129">
        <w:tab/>
        <w:t xml:space="preserve">Lavaud, C.; </w:t>
      </w:r>
      <w:proofErr w:type="spellStart"/>
      <w:r w:rsidRPr="007B7129">
        <w:t>Massiot</w:t>
      </w:r>
      <w:proofErr w:type="spellEnd"/>
      <w:r w:rsidRPr="007B7129">
        <w:t xml:space="preserve">, G. The Iboga Alkaloids. </w:t>
      </w:r>
      <w:r w:rsidRPr="007B7129">
        <w:rPr>
          <w:i/>
          <w:iCs/>
        </w:rPr>
        <w:t>Prog Chem Org Nat Prod</w:t>
      </w:r>
      <w:r w:rsidRPr="007B7129">
        <w:t xml:space="preserve"> </w:t>
      </w:r>
      <w:r w:rsidRPr="007B7129">
        <w:rPr>
          <w:b/>
          <w:bCs/>
        </w:rPr>
        <w:t>2017</w:t>
      </w:r>
      <w:r w:rsidRPr="007B7129">
        <w:t xml:space="preserve">, </w:t>
      </w:r>
      <w:r w:rsidRPr="007B7129">
        <w:rPr>
          <w:i/>
          <w:iCs/>
        </w:rPr>
        <w:t>105</w:t>
      </w:r>
      <w:r w:rsidRPr="007B7129">
        <w:t>, 89–136. https://doi.org/10.1007/978-3-319-49712-9_2.</w:t>
      </w:r>
    </w:p>
    <w:p w14:paraId="59C283B8" w14:textId="77777777" w:rsidR="007B7129" w:rsidRPr="007B7129" w:rsidRDefault="007B7129" w:rsidP="007B7129">
      <w:pPr>
        <w:tabs>
          <w:tab w:val="left" w:pos="504"/>
        </w:tabs>
        <w:spacing w:after="0"/>
        <w:ind w:left="504" w:hanging="504"/>
      </w:pPr>
      <w:r w:rsidRPr="007B7129">
        <w:t xml:space="preserve">(101) </w:t>
      </w:r>
      <w:r w:rsidRPr="007B7129">
        <w:tab/>
        <w:t xml:space="preserve">Lin, G.; Wang, Y.; Zhou, Q.; Tang, W.; Wang, J.; Lu, T. A Facile Synthesis of 1-Substituted β-Carboline Derivatives via </w:t>
      </w:r>
      <w:proofErr w:type="spellStart"/>
      <w:r w:rsidRPr="007B7129">
        <w:t>Minisci</w:t>
      </w:r>
      <w:proofErr w:type="spellEnd"/>
      <w:r w:rsidRPr="007B7129">
        <w:t xml:space="preserve">-Reaction. </w:t>
      </w:r>
      <w:r w:rsidRPr="007B7129">
        <w:rPr>
          <w:i/>
          <w:iCs/>
        </w:rPr>
        <w:t>Synthetic Communications</w:t>
      </w:r>
      <w:r w:rsidRPr="007B7129">
        <w:t xml:space="preserve"> </w:t>
      </w:r>
      <w:r w:rsidRPr="007B7129">
        <w:rPr>
          <w:b/>
          <w:bCs/>
        </w:rPr>
        <w:t>2011</w:t>
      </w:r>
      <w:r w:rsidRPr="007B7129">
        <w:t xml:space="preserve">, </w:t>
      </w:r>
      <w:r w:rsidRPr="007B7129">
        <w:rPr>
          <w:i/>
          <w:iCs/>
        </w:rPr>
        <w:t>41</w:t>
      </w:r>
      <w:r w:rsidRPr="007B7129">
        <w:t xml:space="preserve"> (23), 3541–3550. https://doi.org/10.1080/00397911.2010.519092.</w:t>
      </w:r>
    </w:p>
    <w:p w14:paraId="164414B2" w14:textId="77777777" w:rsidR="007B7129" w:rsidRPr="007B7129" w:rsidRDefault="007B7129" w:rsidP="007B7129">
      <w:pPr>
        <w:tabs>
          <w:tab w:val="left" w:pos="504"/>
        </w:tabs>
        <w:spacing w:after="0"/>
        <w:ind w:left="504" w:hanging="504"/>
      </w:pPr>
      <w:r w:rsidRPr="007B7129">
        <w:t xml:space="preserve">(102) </w:t>
      </w:r>
      <w:r w:rsidRPr="007B7129">
        <w:tab/>
        <w:t xml:space="preserve">Schneider, C.; </w:t>
      </w:r>
      <w:proofErr w:type="spellStart"/>
      <w:r w:rsidRPr="007B7129">
        <w:t>Goyard</w:t>
      </w:r>
      <w:proofErr w:type="spellEnd"/>
      <w:r w:rsidRPr="007B7129">
        <w:t xml:space="preserve">, D.; </w:t>
      </w:r>
      <w:proofErr w:type="spellStart"/>
      <w:r w:rsidRPr="007B7129">
        <w:t>Gueyrard</w:t>
      </w:r>
      <w:proofErr w:type="spellEnd"/>
      <w:r w:rsidRPr="007B7129">
        <w:t xml:space="preserve">, D.; Joseph, B.; </w:t>
      </w:r>
      <w:proofErr w:type="spellStart"/>
      <w:r w:rsidRPr="007B7129">
        <w:t>Goekjian</w:t>
      </w:r>
      <w:proofErr w:type="spellEnd"/>
      <w:r w:rsidRPr="007B7129">
        <w:t>, P. G. Synthesis of 2-, 3-, and 4-Substituted Pyrido[2,3-</w:t>
      </w:r>
      <w:proofErr w:type="gramStart"/>
      <w:r w:rsidRPr="007B7129">
        <w:t>b]Indoles</w:t>
      </w:r>
      <w:proofErr w:type="gramEnd"/>
      <w:r w:rsidRPr="007B7129">
        <w:t xml:space="preserve"> by C–N, C–O, and C–C(</w:t>
      </w:r>
      <w:proofErr w:type="spellStart"/>
      <w:r w:rsidRPr="007B7129">
        <w:t>Sp</w:t>
      </w:r>
      <w:proofErr w:type="spellEnd"/>
      <w:r w:rsidRPr="007B7129">
        <w:t xml:space="preserve">) Bond Formation. </w:t>
      </w:r>
      <w:r w:rsidRPr="007B7129">
        <w:rPr>
          <w:i/>
          <w:iCs/>
        </w:rPr>
        <w:lastRenderedPageBreak/>
        <w:t>European Journal of Organic Chemistry</w:t>
      </w:r>
      <w:r w:rsidRPr="007B7129">
        <w:t xml:space="preserve"> </w:t>
      </w:r>
      <w:r w:rsidRPr="007B7129">
        <w:rPr>
          <w:b/>
          <w:bCs/>
        </w:rPr>
        <w:t>2010</w:t>
      </w:r>
      <w:r w:rsidRPr="007B7129">
        <w:t xml:space="preserve">, </w:t>
      </w:r>
      <w:r w:rsidRPr="007B7129">
        <w:rPr>
          <w:i/>
          <w:iCs/>
        </w:rPr>
        <w:t>2010</w:t>
      </w:r>
      <w:r w:rsidRPr="007B7129">
        <w:t xml:space="preserve"> (34), 6665–6677. https://doi.org/10.1002/ejoc.201000795.</w:t>
      </w:r>
    </w:p>
    <w:p w14:paraId="4CDAA4E3" w14:textId="77777777" w:rsidR="007B7129" w:rsidRPr="007B7129" w:rsidRDefault="007B7129" w:rsidP="007B7129">
      <w:pPr>
        <w:tabs>
          <w:tab w:val="left" w:pos="504"/>
        </w:tabs>
        <w:spacing w:after="0"/>
        <w:ind w:left="504" w:hanging="504"/>
      </w:pPr>
      <w:r w:rsidRPr="007B7129">
        <w:t xml:space="preserve">(103) </w:t>
      </w:r>
      <w:r w:rsidRPr="007B7129">
        <w:tab/>
        <w:t xml:space="preserve">Meyers, M. J.; </w:t>
      </w:r>
      <w:proofErr w:type="spellStart"/>
      <w:r w:rsidRPr="007B7129">
        <w:t>Arhancet</w:t>
      </w:r>
      <w:proofErr w:type="spellEnd"/>
      <w:r w:rsidRPr="007B7129">
        <w:t xml:space="preserve">, G. B.; </w:t>
      </w:r>
      <w:proofErr w:type="spellStart"/>
      <w:r w:rsidRPr="007B7129">
        <w:t>Hockerman</w:t>
      </w:r>
      <w:proofErr w:type="spellEnd"/>
      <w:r w:rsidRPr="007B7129">
        <w:t xml:space="preserve">, S. L.; Chen, X.; Long, S. A.; Mahoney, M. W.; Rico, J. R.; Garland, D. J.; Blinn, James. R.; Collins, J. T.; Yang, S.; Huang, H.-C.; McGee, K. F.; Wendling, J. M.; Dietz, J. D.; Payne, M. A.; Homer, B. L.; Heron, M. I.; Reitz, D. B.; Hu, X. Discovery of (3S,3aR)-2-(3-Chloro-4-Cyanophenyl)-3-Cyclopentyl-3,3a,4,5-Tetrahydro-2H-Benzo[g]Indazole-7-Carboxylic Acid (PF-3882845), an Orally Efficacious Mineralocorticoid Receptor (MR) Antagonist for Hypertension and Nephropathy. </w:t>
      </w:r>
      <w:r w:rsidRPr="007B7129">
        <w:rPr>
          <w:i/>
          <w:iCs/>
        </w:rPr>
        <w:t>J. Med. Chem.</w:t>
      </w:r>
      <w:r w:rsidRPr="007B7129">
        <w:t xml:space="preserve"> </w:t>
      </w:r>
      <w:r w:rsidRPr="007B7129">
        <w:rPr>
          <w:b/>
          <w:bCs/>
        </w:rPr>
        <w:t>2010</w:t>
      </w:r>
      <w:r w:rsidRPr="007B7129">
        <w:t xml:space="preserve">, </w:t>
      </w:r>
      <w:r w:rsidRPr="007B7129">
        <w:rPr>
          <w:i/>
          <w:iCs/>
        </w:rPr>
        <w:t>53</w:t>
      </w:r>
      <w:r w:rsidRPr="007B7129">
        <w:t xml:space="preserve"> (16), 5979–6002. https://doi.org/10.1021/jm100505n.</w:t>
      </w:r>
    </w:p>
    <w:p w14:paraId="7AF48974" w14:textId="77777777" w:rsidR="007B7129" w:rsidRPr="007B7129" w:rsidRDefault="007B7129" w:rsidP="007B7129">
      <w:pPr>
        <w:tabs>
          <w:tab w:val="left" w:pos="504"/>
        </w:tabs>
        <w:spacing w:after="0"/>
        <w:ind w:left="504" w:hanging="504"/>
      </w:pPr>
      <w:r w:rsidRPr="007B7129">
        <w:t xml:space="preserve">(104) </w:t>
      </w:r>
      <w:r w:rsidRPr="007B7129">
        <w:tab/>
        <w:t xml:space="preserve">Li, X.; Liu, C.; Guo, S.; Wang, W.; Zhang, Y. PIFA-Mediated Cross-Dehydrogenative Coupling of N-Heteroarenes with Cyclic Ethers: Ethanol as an Efficient Promoter. </w:t>
      </w:r>
      <w:r w:rsidRPr="007B7129">
        <w:rPr>
          <w:i/>
          <w:iCs/>
        </w:rPr>
        <w:t>European Journal of Organic Chemistry</w:t>
      </w:r>
      <w:r w:rsidRPr="007B7129">
        <w:t xml:space="preserve"> </w:t>
      </w:r>
      <w:r w:rsidRPr="007B7129">
        <w:rPr>
          <w:b/>
          <w:bCs/>
        </w:rPr>
        <w:t>2021</w:t>
      </w:r>
      <w:r w:rsidRPr="007B7129">
        <w:t xml:space="preserve">, </w:t>
      </w:r>
      <w:r w:rsidRPr="007B7129">
        <w:rPr>
          <w:i/>
          <w:iCs/>
        </w:rPr>
        <w:t>2021</w:t>
      </w:r>
      <w:r w:rsidRPr="007B7129">
        <w:t xml:space="preserve"> (3), 411–421. https://doi.org/10.1002/ejoc.202001354.</w:t>
      </w:r>
    </w:p>
    <w:p w14:paraId="124A240D" w14:textId="77777777" w:rsidR="007B7129" w:rsidRPr="007B7129" w:rsidRDefault="007B7129" w:rsidP="007B7129">
      <w:pPr>
        <w:tabs>
          <w:tab w:val="left" w:pos="504"/>
        </w:tabs>
        <w:spacing w:after="0"/>
        <w:ind w:left="504" w:hanging="504"/>
      </w:pPr>
      <w:r w:rsidRPr="007B7129">
        <w:t xml:space="preserve">(105) </w:t>
      </w:r>
      <w:r w:rsidRPr="007B7129">
        <w:tab/>
        <w:t xml:space="preserve">Dhiman, S.; Mishra, U. K.; </w:t>
      </w:r>
      <w:proofErr w:type="spellStart"/>
      <w:r w:rsidRPr="007B7129">
        <w:t>Ramasastry</w:t>
      </w:r>
      <w:proofErr w:type="spellEnd"/>
      <w:r w:rsidRPr="007B7129">
        <w:t xml:space="preserve">, S. S. V. One-Pot Trimetallic Relay Catalysis: A Unified Approach for the Synthesis of β-Carbolines and Other [c]-Fused Pyridines. </w:t>
      </w:r>
      <w:proofErr w:type="spellStart"/>
      <w:r w:rsidRPr="007B7129">
        <w:rPr>
          <w:i/>
          <w:iCs/>
        </w:rPr>
        <w:t>Angewandte</w:t>
      </w:r>
      <w:proofErr w:type="spellEnd"/>
      <w:r w:rsidRPr="007B7129">
        <w:rPr>
          <w:i/>
          <w:iCs/>
        </w:rPr>
        <w:t xml:space="preserve"> </w:t>
      </w:r>
      <w:proofErr w:type="spellStart"/>
      <w:r w:rsidRPr="007B7129">
        <w:rPr>
          <w:i/>
          <w:iCs/>
        </w:rPr>
        <w:t>Chemie</w:t>
      </w:r>
      <w:proofErr w:type="spellEnd"/>
      <w:r w:rsidRPr="007B7129">
        <w:rPr>
          <w:i/>
          <w:iCs/>
        </w:rPr>
        <w:t xml:space="preserve"> International Edition</w:t>
      </w:r>
      <w:r w:rsidRPr="007B7129">
        <w:t xml:space="preserve"> </w:t>
      </w:r>
      <w:r w:rsidRPr="007B7129">
        <w:rPr>
          <w:b/>
          <w:bCs/>
        </w:rPr>
        <w:t>2016</w:t>
      </w:r>
      <w:r w:rsidRPr="007B7129">
        <w:t xml:space="preserve">, </w:t>
      </w:r>
      <w:r w:rsidRPr="007B7129">
        <w:rPr>
          <w:i/>
          <w:iCs/>
        </w:rPr>
        <w:t>55</w:t>
      </w:r>
      <w:r w:rsidRPr="007B7129">
        <w:t xml:space="preserve"> (27), 7737–7741. https://doi.org/10.1002/anie.201600840.</w:t>
      </w:r>
    </w:p>
    <w:p w14:paraId="4155B268" w14:textId="77777777" w:rsidR="007B7129" w:rsidRPr="007B7129" w:rsidRDefault="007B7129" w:rsidP="007B7129">
      <w:pPr>
        <w:rPr>
          <w:rFonts w:cs="Times New Roman"/>
        </w:rPr>
      </w:pPr>
      <w:r w:rsidRPr="007B7129">
        <w:rPr>
          <w:rFonts w:cs="Times New Roman"/>
        </w:rPr>
        <w:fldChar w:fldCharType="end"/>
      </w:r>
    </w:p>
    <w:p w14:paraId="0FAA15A7" w14:textId="77777777" w:rsidR="007B7129" w:rsidRPr="007B7129" w:rsidRDefault="007B7129" w:rsidP="007B7129">
      <w:pPr>
        <w:spacing w:line="259" w:lineRule="auto"/>
        <w:jc w:val="left"/>
        <w:rPr>
          <w:rFonts w:cs="Times New Roman"/>
        </w:rPr>
      </w:pPr>
    </w:p>
    <w:p w14:paraId="0B0D614B" w14:textId="77777777" w:rsidR="007B7129" w:rsidRPr="007B7129" w:rsidRDefault="007B7129" w:rsidP="007B7129">
      <w:pPr>
        <w:spacing w:after="0"/>
        <w:rPr>
          <w:rFonts w:eastAsia="Times New Roman" w:cs="Times New Roman"/>
          <w:b/>
          <w:sz w:val="28"/>
          <w:szCs w:val="28"/>
        </w:rPr>
      </w:pPr>
    </w:p>
    <w:p w14:paraId="1B5A2183" w14:textId="77777777" w:rsidR="007B7129" w:rsidRPr="007B7129" w:rsidRDefault="007B7129" w:rsidP="007B7129">
      <w:pPr>
        <w:spacing w:after="0"/>
        <w:rPr>
          <w:rFonts w:eastAsia="Times New Roman" w:cs="Times New Roman"/>
          <w:b/>
          <w:sz w:val="28"/>
          <w:szCs w:val="28"/>
        </w:rPr>
      </w:pPr>
    </w:p>
    <w:p w14:paraId="6BC458F5" w14:textId="77777777" w:rsidR="007B7129" w:rsidRPr="007B7129" w:rsidRDefault="007B7129" w:rsidP="007B7129">
      <w:pPr>
        <w:spacing w:line="259" w:lineRule="auto"/>
        <w:jc w:val="left"/>
        <w:rPr>
          <w:rFonts w:eastAsia="Times New Roman" w:cs="Times New Roman"/>
          <w:b/>
          <w:sz w:val="28"/>
          <w:szCs w:val="28"/>
        </w:rPr>
      </w:pPr>
      <w:r w:rsidRPr="007B7129">
        <w:br w:type="page"/>
      </w:r>
    </w:p>
    <w:p w14:paraId="66959BF3" w14:textId="77777777" w:rsidR="007B7129" w:rsidRPr="007B7129" w:rsidRDefault="007B7129" w:rsidP="007B7129">
      <w:pPr>
        <w:spacing w:after="0"/>
        <w:rPr>
          <w:rFonts w:eastAsia="Times New Roman" w:cs="Times New Roman"/>
          <w:b/>
          <w:sz w:val="28"/>
          <w:szCs w:val="28"/>
        </w:rPr>
      </w:pPr>
    </w:p>
    <w:p w14:paraId="148C9751" w14:textId="77777777" w:rsidR="007B7129" w:rsidRPr="007B7129" w:rsidRDefault="007B7129" w:rsidP="007B7129">
      <w:pPr>
        <w:spacing w:after="0"/>
        <w:rPr>
          <w:rFonts w:eastAsia="Times New Roman" w:cs="Times New Roman"/>
          <w:b/>
          <w:sz w:val="28"/>
          <w:szCs w:val="28"/>
        </w:rPr>
      </w:pPr>
    </w:p>
    <w:p w14:paraId="7095B053" w14:textId="77777777" w:rsidR="007B7129" w:rsidRPr="007B7129" w:rsidRDefault="007B7129" w:rsidP="007B7129">
      <w:pPr>
        <w:spacing w:after="0"/>
        <w:rPr>
          <w:rFonts w:eastAsia="Times New Roman" w:cs="Times New Roman"/>
          <w:b/>
          <w:sz w:val="28"/>
          <w:szCs w:val="28"/>
        </w:rPr>
      </w:pPr>
    </w:p>
    <w:p w14:paraId="399A5F4E" w14:textId="77777777" w:rsidR="007B7129" w:rsidRPr="007B7129" w:rsidRDefault="007B7129" w:rsidP="00595321">
      <w:pPr>
        <w:pStyle w:val="ChapterTitles"/>
      </w:pPr>
      <w:bookmarkStart w:id="459" w:name="_Toc97337873"/>
      <w:bookmarkStart w:id="460" w:name="_Toc100241928"/>
      <w:bookmarkStart w:id="461" w:name="_Toc102586292"/>
      <w:r w:rsidRPr="007B7129">
        <w:t>Appendix II. Spectra Relevant to Chapter 3</w:t>
      </w:r>
      <w:bookmarkEnd w:id="459"/>
      <w:bookmarkEnd w:id="460"/>
      <w:bookmarkEnd w:id="461"/>
    </w:p>
    <w:p w14:paraId="7247169D" w14:textId="77777777" w:rsidR="007B7129" w:rsidRPr="007B7129" w:rsidRDefault="007B7129" w:rsidP="007B7129">
      <w:pPr>
        <w:spacing w:line="259" w:lineRule="auto"/>
        <w:jc w:val="left"/>
        <w:rPr>
          <w:rFonts w:eastAsia="Times New Roman" w:cs="Times New Roman"/>
          <w:b/>
          <w:sz w:val="28"/>
          <w:szCs w:val="28"/>
        </w:rPr>
      </w:pPr>
      <w:r w:rsidRPr="007B7129">
        <w:br w:type="page"/>
      </w:r>
    </w:p>
    <w:p w14:paraId="2C3B78BA" w14:textId="77777777" w:rsidR="007B7129" w:rsidRPr="007B7129" w:rsidRDefault="007B7129" w:rsidP="007B7129">
      <w:r w:rsidRPr="007B7129">
        <w:rPr>
          <w:noProof/>
        </w:rPr>
        <w:lastRenderedPageBreak/>
        <w:drawing>
          <wp:inline distT="0" distB="0" distL="0" distR="0" wp14:anchorId="1DD2457C" wp14:editId="2BAB7972">
            <wp:extent cx="5581816" cy="3894152"/>
            <wp:effectExtent l="0" t="0" r="0" b="0"/>
            <wp:docPr id="253" name="Picture 253" descr="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NMR"/>
                    <pic:cNvPicPr/>
                  </pic:nvPicPr>
                  <pic:blipFill>
                    <a:blip r:embed="rId369">
                      <a:extLst>
                        <a:ext uri="{28A0092B-C50C-407E-A947-70E740481C1C}">
                          <a14:useLocalDpi xmlns:a14="http://schemas.microsoft.com/office/drawing/2010/main" val="0"/>
                        </a:ext>
                      </a:extLst>
                    </a:blip>
                    <a:stretch>
                      <a:fillRect/>
                    </a:stretch>
                  </pic:blipFill>
                  <pic:spPr>
                    <a:xfrm>
                      <a:off x="0" y="0"/>
                      <a:ext cx="5585457" cy="3896692"/>
                    </a:xfrm>
                    <a:prstGeom prst="rect">
                      <a:avLst/>
                    </a:prstGeom>
                  </pic:spPr>
                </pic:pic>
              </a:graphicData>
            </a:graphic>
          </wp:inline>
        </w:drawing>
      </w:r>
      <w:r w:rsidRPr="007B7129">
        <w:rPr>
          <w:noProof/>
        </w:rPr>
        <w:drawing>
          <wp:inline distT="0" distB="0" distL="0" distR="0" wp14:anchorId="404D8C47" wp14:editId="6B719D86">
            <wp:extent cx="5502303" cy="3838679"/>
            <wp:effectExtent l="0" t="0" r="3175" b="9525"/>
            <wp:docPr id="254" name="Picture 2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Chart&#10;&#10;Description automatically generated"/>
                    <pic:cNvPicPr/>
                  </pic:nvPicPr>
                  <pic:blipFill>
                    <a:blip r:embed="rId370">
                      <a:extLst>
                        <a:ext uri="{28A0092B-C50C-407E-A947-70E740481C1C}">
                          <a14:useLocalDpi xmlns:a14="http://schemas.microsoft.com/office/drawing/2010/main" val="0"/>
                        </a:ext>
                      </a:extLst>
                    </a:blip>
                    <a:stretch>
                      <a:fillRect/>
                    </a:stretch>
                  </pic:blipFill>
                  <pic:spPr>
                    <a:xfrm>
                      <a:off x="0" y="0"/>
                      <a:ext cx="5505451" cy="3840875"/>
                    </a:xfrm>
                    <a:prstGeom prst="rect">
                      <a:avLst/>
                    </a:prstGeom>
                  </pic:spPr>
                </pic:pic>
              </a:graphicData>
            </a:graphic>
          </wp:inline>
        </w:drawing>
      </w:r>
    </w:p>
    <w:p w14:paraId="00933C6F" w14:textId="77777777" w:rsidR="007B7129" w:rsidRPr="007B7129" w:rsidRDefault="007B7129" w:rsidP="007B7129">
      <w:r w:rsidRPr="007B7129">
        <w:rPr>
          <w:noProof/>
        </w:rPr>
        <w:lastRenderedPageBreak/>
        <mc:AlternateContent>
          <mc:Choice Requires="wpg">
            <w:drawing>
              <wp:anchor distT="0" distB="0" distL="114300" distR="114300" simplePos="0" relativeHeight="251674624" behindDoc="0" locked="0" layoutInCell="1" allowOverlap="1" wp14:anchorId="1FD3B507" wp14:editId="5F10F961">
                <wp:simplePos x="0" y="0"/>
                <wp:positionH relativeFrom="column">
                  <wp:posOffset>47708</wp:posOffset>
                </wp:positionH>
                <wp:positionV relativeFrom="paragraph">
                  <wp:posOffset>612250</wp:posOffset>
                </wp:positionV>
                <wp:extent cx="1779270" cy="1224280"/>
                <wp:effectExtent l="0" t="0" r="0" b="0"/>
                <wp:wrapNone/>
                <wp:docPr id="246" name="Group 2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79270" cy="1224280"/>
                          <a:chOff x="0" y="0"/>
                          <a:chExt cx="1779270" cy="1224280"/>
                        </a:xfrm>
                      </wpg:grpSpPr>
                      <pic:pic xmlns:pic="http://schemas.openxmlformats.org/drawingml/2006/picture">
                        <pic:nvPicPr>
                          <pic:cNvPr id="247" name="Picture 247" descr="A picture containing clock&#10;&#10;Description automatically generated"/>
                          <pic:cNvPicPr>
                            <a:picLocks noChangeAspect="1"/>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1779270" cy="1224280"/>
                          </a:xfrm>
                          <a:prstGeom prst="rect">
                            <a:avLst/>
                          </a:prstGeom>
                        </pic:spPr>
                      </pic:pic>
                      <wps:wsp>
                        <wps:cNvPr id="248" name="Text Box 2"/>
                        <wps:cNvSpPr txBox="1">
                          <a:spLocks noChangeArrowheads="1"/>
                        </wps:cNvSpPr>
                        <wps:spPr bwMode="auto">
                          <a:xfrm>
                            <a:off x="437322" y="858741"/>
                            <a:ext cx="492980" cy="294198"/>
                          </a:xfrm>
                          <a:prstGeom prst="rect">
                            <a:avLst/>
                          </a:prstGeom>
                          <a:solidFill>
                            <a:srgbClr val="FFFFFF"/>
                          </a:solidFill>
                          <a:ln w="9525">
                            <a:noFill/>
                            <a:miter lim="800000"/>
                            <a:headEnd/>
                            <a:tailEnd/>
                          </a:ln>
                        </wps:spPr>
                        <wps:txbx>
                          <w:txbxContent>
                            <w:p w14:paraId="70D5F6DE" w14:textId="77777777" w:rsidR="007B7129" w:rsidRPr="00697094" w:rsidRDefault="007B7129" w:rsidP="007B7129">
                              <w:pPr>
                                <w:rPr>
                                  <w:b/>
                                  <w:bCs/>
                                </w:rPr>
                              </w:pPr>
                              <w:r>
                                <w:rPr>
                                  <w:b/>
                                  <w:bCs/>
                                </w:rPr>
                                <w:t>3.34</w:t>
                              </w:r>
                            </w:p>
                          </w:txbxContent>
                        </wps:txbx>
                        <wps:bodyPr rot="0" vert="horz" wrap="square" lIns="91440" tIns="45720" rIns="91440" bIns="45720" anchor="t" anchorCtr="0">
                          <a:noAutofit/>
                        </wps:bodyPr>
                      </wps:wsp>
                    </wpg:wgp>
                  </a:graphicData>
                </a:graphic>
              </wp:anchor>
            </w:drawing>
          </mc:Choice>
          <mc:Fallback>
            <w:pict>
              <v:group w14:anchorId="1FD3B507" id="Group 246" o:spid="_x0000_s1118" alt="&quot;&quot;" style="position:absolute;left:0;text-align:left;margin-left:3.75pt;margin-top:48.2pt;width:140.1pt;height:96.4pt;z-index:251674624;mso-position-horizontal-relative:text;mso-position-vertical-relative:text" coordsize="17792,122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">
                <v:shape id="Picture 247" o:spid="_x0000_s1119" type="#_x0000_t75" alt="A picture containing clock&#10;&#10;Description automatically generated" style="position:absolute;width:17792;height:12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">
                  <v:imagedata r:id="rId372" o:title="A picture containing clock&#10;&#10;Description automatically generated"/>
                </v:shape>
                <v:shape id="_x0000_s1120" type="#_x0000_t202" style="position:absolute;left:4373;top:8587;width:4930;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" stroked="f">
                  <v:textbox>
                    <w:txbxContent>
                      <w:p w14:paraId="70D5F6DE" w14:textId="77777777" w:rsidR="007B7129" w:rsidRPr="00697094" w:rsidRDefault="007B7129" w:rsidP="007B7129">
                        <w:pPr>
                          <w:rPr>
                            <w:b/>
                            <w:bCs/>
                          </w:rPr>
                        </w:pPr>
                        <w:r>
                          <w:rPr>
                            <w:b/>
                            <w:bCs/>
                          </w:rPr>
                          <w:t>3.34</w:t>
                        </w:r>
                      </w:p>
                    </w:txbxContent>
                  </v:textbox>
                </v:shape>
              </v:group>
            </w:pict>
          </mc:Fallback>
        </mc:AlternateContent>
      </w:r>
      <w:r w:rsidRPr="007B7129">
        <w:rPr>
          <w:noProof/>
        </w:rPr>
        <w:drawing>
          <wp:inline distT="0" distB="0" distL="0" distR="0" wp14:anchorId="4FA86001" wp14:editId="0977DE8F">
            <wp:extent cx="5266944" cy="4078224"/>
            <wp:effectExtent l="0" t="0" r="0" b="0"/>
            <wp:docPr id="255" name="Picture 25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chart&#10;&#10;Description automatically generated"/>
                    <pic:cNvPicPr/>
                  </pic:nvPicPr>
                  <pic:blipFill>
                    <a:blip r:embed="rId373">
                      <a:extLst>
                        <a:ext uri="{28A0092B-C50C-407E-A947-70E740481C1C}">
                          <a14:useLocalDpi xmlns:a14="http://schemas.microsoft.com/office/drawing/2010/main" val="0"/>
                        </a:ext>
                      </a:extLst>
                    </a:blip>
                    <a:stretch>
                      <a:fillRect/>
                    </a:stretch>
                  </pic:blipFill>
                  <pic:spPr>
                    <a:xfrm>
                      <a:off x="0" y="0"/>
                      <a:ext cx="5266944" cy="4078224"/>
                    </a:xfrm>
                    <a:prstGeom prst="rect">
                      <a:avLst/>
                    </a:prstGeom>
                  </pic:spPr>
                </pic:pic>
              </a:graphicData>
            </a:graphic>
          </wp:inline>
        </w:drawing>
      </w:r>
      <w:r w:rsidRPr="007B7129">
        <w:rPr>
          <w:noProof/>
        </w:rPr>
        <w:drawing>
          <wp:inline distT="0" distB="0" distL="0" distR="0" wp14:anchorId="56A1BF68" wp14:editId="1638E01C">
            <wp:extent cx="5424745" cy="3824577"/>
            <wp:effectExtent l="0" t="0" r="5080" b="5080"/>
            <wp:docPr id="256" name="Picture 256" descr="A picture containing text, sky,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sky, antenna&#10;&#10;Description automatically generated"/>
                    <pic:cNvPicPr/>
                  </pic:nvPicPr>
                  <pic:blipFill>
                    <a:blip r:embed="rId374" cstate="print">
                      <a:extLst>
                        <a:ext uri="{28A0092B-C50C-407E-A947-70E740481C1C}">
                          <a14:useLocalDpi xmlns:a14="http://schemas.microsoft.com/office/drawing/2010/main" val="0"/>
                        </a:ext>
                      </a:extLst>
                    </a:blip>
                    <a:stretch>
                      <a:fillRect/>
                    </a:stretch>
                  </pic:blipFill>
                  <pic:spPr>
                    <a:xfrm>
                      <a:off x="0" y="0"/>
                      <a:ext cx="5428438" cy="3827180"/>
                    </a:xfrm>
                    <a:prstGeom prst="rect">
                      <a:avLst/>
                    </a:prstGeom>
                  </pic:spPr>
                </pic:pic>
              </a:graphicData>
            </a:graphic>
          </wp:inline>
        </w:drawing>
      </w:r>
      <w:r w:rsidRPr="007B7129">
        <w:rPr>
          <w:noProof/>
        </w:rPr>
        <w:lastRenderedPageBreak/>
        <w:drawing>
          <wp:inline distT="0" distB="0" distL="0" distR="0" wp14:anchorId="1EFA5828" wp14:editId="0514C309">
            <wp:extent cx="5176299" cy="3611796"/>
            <wp:effectExtent l="0" t="0" r="5715" b="8255"/>
            <wp:docPr id="257" name="Picture 2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375" cstate="print">
                      <a:extLst>
                        <a:ext uri="{28A0092B-C50C-407E-A947-70E740481C1C}">
                          <a14:useLocalDpi xmlns:a14="http://schemas.microsoft.com/office/drawing/2010/main" val="0"/>
                        </a:ext>
                      </a:extLst>
                    </a:blip>
                    <a:stretch>
                      <a:fillRect/>
                    </a:stretch>
                  </pic:blipFill>
                  <pic:spPr>
                    <a:xfrm>
                      <a:off x="0" y="0"/>
                      <a:ext cx="5182933" cy="3616425"/>
                    </a:xfrm>
                    <a:prstGeom prst="rect">
                      <a:avLst/>
                    </a:prstGeom>
                  </pic:spPr>
                </pic:pic>
              </a:graphicData>
            </a:graphic>
          </wp:inline>
        </w:drawing>
      </w:r>
      <w:r w:rsidRPr="007B7129">
        <w:rPr>
          <w:noProof/>
        </w:rPr>
        <w:drawing>
          <wp:inline distT="0" distB="0" distL="0" distR="0" wp14:anchorId="088AF535" wp14:editId="55EDA9ED">
            <wp:extent cx="5212080" cy="3639312"/>
            <wp:effectExtent l="0" t="0" r="7620" b="0"/>
            <wp:docPr id="258" name="Picture 25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a:blip r:embed="rId376" cstate="print">
                      <a:extLst>
                        <a:ext uri="{28A0092B-C50C-407E-A947-70E740481C1C}">
                          <a14:useLocalDpi xmlns:a14="http://schemas.microsoft.com/office/drawing/2010/main" val="0"/>
                        </a:ext>
                      </a:extLst>
                    </a:blip>
                    <a:stretch>
                      <a:fillRect/>
                    </a:stretch>
                  </pic:blipFill>
                  <pic:spPr>
                    <a:xfrm>
                      <a:off x="0" y="0"/>
                      <a:ext cx="5212080" cy="3639312"/>
                    </a:xfrm>
                    <a:prstGeom prst="rect">
                      <a:avLst/>
                    </a:prstGeom>
                  </pic:spPr>
                </pic:pic>
              </a:graphicData>
            </a:graphic>
          </wp:inline>
        </w:drawing>
      </w:r>
    </w:p>
    <w:p w14:paraId="2B821F07" w14:textId="77777777" w:rsidR="007B7129" w:rsidRPr="007B7129" w:rsidRDefault="007B7129" w:rsidP="007B7129">
      <w:pPr>
        <w:rPr>
          <w:rFonts w:eastAsia="Times New Roman" w:cs="Times New Roman"/>
          <w:b/>
          <w:sz w:val="28"/>
          <w:szCs w:val="28"/>
        </w:rPr>
      </w:pPr>
      <w:r w:rsidRPr="007B7129">
        <w:br w:type="page"/>
      </w:r>
    </w:p>
    <w:p w14:paraId="39ED2BEE" w14:textId="77777777" w:rsidR="007B7129" w:rsidRPr="007B7129" w:rsidRDefault="007B7129" w:rsidP="007B7129">
      <w:r w:rsidRPr="007B7129">
        <w:rPr>
          <w:noProof/>
        </w:rPr>
        <w:lastRenderedPageBreak/>
        <mc:AlternateContent>
          <mc:Choice Requires="wps">
            <w:drawing>
              <wp:anchor distT="45720" distB="45720" distL="114300" distR="114300" simplePos="0" relativeHeight="251678720" behindDoc="0" locked="0" layoutInCell="1" allowOverlap="1" wp14:anchorId="199CC15E" wp14:editId="1455259B">
                <wp:simplePos x="0" y="0"/>
                <wp:positionH relativeFrom="column">
                  <wp:posOffset>508000</wp:posOffset>
                </wp:positionH>
                <wp:positionV relativeFrom="paragraph">
                  <wp:posOffset>1573199</wp:posOffset>
                </wp:positionV>
                <wp:extent cx="508470" cy="270344"/>
                <wp:effectExtent l="0" t="0" r="6350" b="0"/>
                <wp:wrapNone/>
                <wp:docPr id="24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70" cy="270344"/>
                        </a:xfrm>
                        <a:prstGeom prst="rect">
                          <a:avLst/>
                        </a:prstGeom>
                        <a:solidFill>
                          <a:srgbClr val="FFFFFF"/>
                        </a:solidFill>
                        <a:ln w="9525">
                          <a:noFill/>
                          <a:miter lim="800000"/>
                          <a:headEnd/>
                          <a:tailEnd/>
                        </a:ln>
                      </wps:spPr>
                      <wps:txbx>
                        <w:txbxContent>
                          <w:p w14:paraId="6EE77703" w14:textId="77777777" w:rsidR="007B7129" w:rsidRPr="002E662C" w:rsidRDefault="007B7129" w:rsidP="007B7129">
                            <w:pPr>
                              <w:rPr>
                                <w:b/>
                                <w:bCs/>
                              </w:rPr>
                            </w:pPr>
                            <w:r w:rsidRPr="002E662C">
                              <w:rPr>
                                <w:b/>
                                <w:bCs/>
                              </w:rPr>
                              <w:t>3</w:t>
                            </w:r>
                            <w:r>
                              <w:rPr>
                                <w:b/>
                                <w:bCs/>
                              </w:rPr>
                              <w:t>.36</w:t>
                            </w:r>
                          </w:p>
                          <w:p w14:paraId="40CDA706" w14:textId="77777777" w:rsidR="007B7129" w:rsidRDefault="007B7129" w:rsidP="007B7129">
                            <w:pPr>
                              <w:pStyle w:val="Bibliography"/>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9CC15E" id="_x0000_s1121" type="#_x0000_t202" alt="&quot;&quot;" style="position:absolute;left:0;text-align:left;margin-left:40pt;margin-top:123.85pt;width:40.05pt;height:21.3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" stroked="f">
                <v:textbox>
                  <w:txbxContent>
                    <w:p w14:paraId="6EE77703" w14:textId="77777777" w:rsidR="007B7129" w:rsidRPr="002E662C" w:rsidRDefault="007B7129" w:rsidP="007B7129">
                      <w:pPr>
                        <w:rPr>
                          <w:b/>
                          <w:bCs/>
                        </w:rPr>
                      </w:pPr>
                      <w:r w:rsidRPr="002E662C">
                        <w:rPr>
                          <w:b/>
                          <w:bCs/>
                        </w:rPr>
                        <w:t>3</w:t>
                      </w:r>
                      <w:r>
                        <w:rPr>
                          <w:b/>
                          <w:bCs/>
                        </w:rPr>
                        <w:t>.36</w:t>
                      </w:r>
                    </w:p>
                    <w:p w14:paraId="40CDA706" w14:textId="77777777" w:rsidR="007B7129" w:rsidRDefault="007B7129" w:rsidP="007B7129">
                      <w:pPr>
                        <w:pStyle w:val="Bibliography"/>
                      </w:pPr>
                    </w:p>
                  </w:txbxContent>
                </v:textbox>
              </v:shape>
            </w:pict>
          </mc:Fallback>
        </mc:AlternateContent>
      </w:r>
      <w:r w:rsidRPr="007B7129">
        <w:rPr>
          <w:noProof/>
        </w:rPr>
        <w:drawing>
          <wp:anchor distT="0" distB="0" distL="114300" distR="114300" simplePos="0" relativeHeight="251675648" behindDoc="0" locked="0" layoutInCell="1" allowOverlap="1" wp14:anchorId="431E1B9C" wp14:editId="268DF525">
            <wp:simplePos x="0" y="0"/>
            <wp:positionH relativeFrom="column">
              <wp:posOffset>159026</wp:posOffset>
            </wp:positionH>
            <wp:positionV relativeFrom="paragraph">
              <wp:posOffset>675861</wp:posOffset>
            </wp:positionV>
            <wp:extent cx="1701579" cy="1170047"/>
            <wp:effectExtent l="0" t="0" r="0" b="0"/>
            <wp:wrapNone/>
            <wp:docPr id="259" name="Picture 2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a:extLst>
                        <a:ext uri="{C183D7F6-B498-43B3-948B-1728B52AA6E4}">
                          <adec:decorative xmlns:adec="http://schemas.microsoft.com/office/drawing/2017/decorative" val="1"/>
                        </a:ext>
                      </a:extLst>
                    </pic:cNvPr>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1701579" cy="1170047"/>
                    </a:xfrm>
                    <a:prstGeom prst="rect">
                      <a:avLst/>
                    </a:prstGeom>
                  </pic:spPr>
                </pic:pic>
              </a:graphicData>
            </a:graphic>
            <wp14:sizeRelH relativeFrom="margin">
              <wp14:pctWidth>0</wp14:pctWidth>
            </wp14:sizeRelH>
            <wp14:sizeRelV relativeFrom="margin">
              <wp14:pctHeight>0</wp14:pctHeight>
            </wp14:sizeRelV>
          </wp:anchor>
        </w:drawing>
      </w:r>
      <w:r w:rsidRPr="007B7129">
        <w:rPr>
          <w:noProof/>
        </w:rPr>
        <w:drawing>
          <wp:inline distT="0" distB="0" distL="0" distR="0" wp14:anchorId="668C59E2" wp14:editId="3161304F">
            <wp:extent cx="5470497" cy="3817074"/>
            <wp:effectExtent l="0" t="0" r="0" b="0"/>
            <wp:docPr id="260" name="Picture 26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histogram&#10;&#10;Description automatically generated"/>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5474459" cy="3819839"/>
                    </a:xfrm>
                    <a:prstGeom prst="rect">
                      <a:avLst/>
                    </a:prstGeom>
                  </pic:spPr>
                </pic:pic>
              </a:graphicData>
            </a:graphic>
          </wp:inline>
        </w:drawing>
      </w:r>
      <w:r w:rsidRPr="007B7129">
        <w:rPr>
          <w:noProof/>
        </w:rPr>
        <w:drawing>
          <wp:inline distT="0" distB="0" distL="0" distR="0" wp14:anchorId="78870E2D" wp14:editId="7037DF7D">
            <wp:extent cx="5732890" cy="4000161"/>
            <wp:effectExtent l="0" t="0" r="1270" b="635"/>
            <wp:docPr id="261" name="Picture 261"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diagram&#10;&#10;Description automatically generated with medium confidence"/>
                    <pic:cNvPicPr/>
                  </pic:nvPicPr>
                  <pic:blipFill>
                    <a:blip r:embed="rId379">
                      <a:extLst>
                        <a:ext uri="{28A0092B-C50C-407E-A947-70E740481C1C}">
                          <a14:useLocalDpi xmlns:a14="http://schemas.microsoft.com/office/drawing/2010/main" val="0"/>
                        </a:ext>
                      </a:extLst>
                    </a:blip>
                    <a:stretch>
                      <a:fillRect/>
                    </a:stretch>
                  </pic:blipFill>
                  <pic:spPr>
                    <a:xfrm>
                      <a:off x="0" y="0"/>
                      <a:ext cx="5735090" cy="4001696"/>
                    </a:xfrm>
                    <a:prstGeom prst="rect">
                      <a:avLst/>
                    </a:prstGeom>
                  </pic:spPr>
                </pic:pic>
              </a:graphicData>
            </a:graphic>
          </wp:inline>
        </w:drawing>
      </w:r>
    </w:p>
    <w:p w14:paraId="5ABB2D60" w14:textId="77777777" w:rsidR="007B7129" w:rsidRPr="007B7129" w:rsidRDefault="007B7129" w:rsidP="007B7129">
      <w:r w:rsidRPr="007B7129">
        <w:rPr>
          <w:noProof/>
        </w:rPr>
        <w:lastRenderedPageBreak/>
        <mc:AlternateContent>
          <mc:Choice Requires="wps">
            <w:drawing>
              <wp:anchor distT="45720" distB="45720" distL="114300" distR="114300" simplePos="0" relativeHeight="251676672" behindDoc="0" locked="0" layoutInCell="1" allowOverlap="1" wp14:anchorId="2A85A417" wp14:editId="2F025FFD">
                <wp:simplePos x="0" y="0"/>
                <wp:positionH relativeFrom="column">
                  <wp:posOffset>683813</wp:posOffset>
                </wp:positionH>
                <wp:positionV relativeFrom="paragraph">
                  <wp:posOffset>1264257</wp:posOffset>
                </wp:positionV>
                <wp:extent cx="508470" cy="270344"/>
                <wp:effectExtent l="0" t="0" r="6350" b="0"/>
                <wp:wrapNone/>
                <wp:docPr id="25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70" cy="270344"/>
                        </a:xfrm>
                        <a:prstGeom prst="rect">
                          <a:avLst/>
                        </a:prstGeom>
                        <a:solidFill>
                          <a:srgbClr val="FFFFFF"/>
                        </a:solidFill>
                        <a:ln w="9525">
                          <a:noFill/>
                          <a:miter lim="800000"/>
                          <a:headEnd/>
                          <a:tailEnd/>
                        </a:ln>
                      </wps:spPr>
                      <wps:txbx>
                        <w:txbxContent>
                          <w:p w14:paraId="494C651B" w14:textId="77777777" w:rsidR="007B7129" w:rsidRPr="002E662C" w:rsidRDefault="007B7129" w:rsidP="007B7129">
                            <w:pPr>
                              <w:rPr>
                                <w:b/>
                                <w:bCs/>
                              </w:rPr>
                            </w:pPr>
                            <w:r w:rsidRPr="002E662C">
                              <w:rPr>
                                <w:b/>
                                <w:bCs/>
                              </w:rPr>
                              <w:t>3</w:t>
                            </w:r>
                            <w:r>
                              <w:rPr>
                                <w:b/>
                                <w:bCs/>
                              </w:rPr>
                              <w:t>.38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5A417" id="_x0000_s1122" type="#_x0000_t202" alt="&quot;&quot;" style="position:absolute;left:0;text-align:left;margin-left:53.85pt;margin-top:99.55pt;width:40.05pt;height:21.3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" stroked="f">
                <v:textbox>
                  <w:txbxContent>
                    <w:p w14:paraId="494C651B" w14:textId="77777777" w:rsidR="007B7129" w:rsidRPr="002E662C" w:rsidRDefault="007B7129" w:rsidP="007B7129">
                      <w:pPr>
                        <w:rPr>
                          <w:b/>
                          <w:bCs/>
                        </w:rPr>
                      </w:pPr>
                      <w:r w:rsidRPr="002E662C">
                        <w:rPr>
                          <w:b/>
                          <w:bCs/>
                        </w:rPr>
                        <w:t>3</w:t>
                      </w:r>
                      <w:r>
                        <w:rPr>
                          <w:b/>
                          <w:bCs/>
                        </w:rPr>
                        <w:t>.38</w:t>
                      </w:r>
                    </w:p>
                  </w:txbxContent>
                </v:textbox>
              </v:shape>
            </w:pict>
          </mc:Fallback>
        </mc:AlternateContent>
      </w:r>
      <w:r w:rsidRPr="007B7129">
        <w:rPr>
          <w:noProof/>
        </w:rPr>
        <w:drawing>
          <wp:inline distT="0" distB="0" distL="0" distR="0" wp14:anchorId="415891B8" wp14:editId="7DDB1EC6">
            <wp:extent cx="5152445" cy="3595153"/>
            <wp:effectExtent l="0" t="0" r="0" b="5715"/>
            <wp:docPr id="262" name="Picture 2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380" cstate="print">
                      <a:extLst>
                        <a:ext uri="{28A0092B-C50C-407E-A947-70E740481C1C}">
                          <a14:useLocalDpi xmlns:a14="http://schemas.microsoft.com/office/drawing/2010/main" val="0"/>
                        </a:ext>
                      </a:extLst>
                    </a:blip>
                    <a:stretch>
                      <a:fillRect/>
                    </a:stretch>
                  </pic:blipFill>
                  <pic:spPr>
                    <a:xfrm>
                      <a:off x="0" y="0"/>
                      <a:ext cx="5159822" cy="3600301"/>
                    </a:xfrm>
                    <a:prstGeom prst="rect">
                      <a:avLst/>
                    </a:prstGeom>
                  </pic:spPr>
                </pic:pic>
              </a:graphicData>
            </a:graphic>
          </wp:inline>
        </w:drawing>
      </w:r>
      <w:r w:rsidRPr="007B7129">
        <w:rPr>
          <w:noProof/>
        </w:rPr>
        <w:drawing>
          <wp:inline distT="0" distB="0" distL="0" distR="0" wp14:anchorId="5A389773" wp14:editId="48170AFE">
            <wp:extent cx="5526157" cy="3855911"/>
            <wp:effectExtent l="0" t="0" r="0" b="0"/>
            <wp:docPr id="263" name="Picture 263"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with low confidence"/>
                    <pic:cNvPicPr/>
                  </pic:nvPicPr>
                  <pic:blipFill>
                    <a:blip r:embed="rId381" cstate="print">
                      <a:extLst>
                        <a:ext uri="{28A0092B-C50C-407E-A947-70E740481C1C}">
                          <a14:useLocalDpi xmlns:a14="http://schemas.microsoft.com/office/drawing/2010/main" val="0"/>
                        </a:ext>
                      </a:extLst>
                    </a:blip>
                    <a:stretch>
                      <a:fillRect/>
                    </a:stretch>
                  </pic:blipFill>
                  <pic:spPr>
                    <a:xfrm>
                      <a:off x="0" y="0"/>
                      <a:ext cx="5530875" cy="3859203"/>
                    </a:xfrm>
                    <a:prstGeom prst="rect">
                      <a:avLst/>
                    </a:prstGeom>
                  </pic:spPr>
                </pic:pic>
              </a:graphicData>
            </a:graphic>
          </wp:inline>
        </w:drawing>
      </w:r>
      <w:r w:rsidRPr="007B7129">
        <w:rPr>
          <w:noProof/>
        </w:rPr>
        <w:lastRenderedPageBreak/>
        <w:drawing>
          <wp:inline distT="0" distB="0" distL="0" distR="0" wp14:anchorId="370D818C" wp14:editId="1C2FB872">
            <wp:extent cx="5572415" cy="3888188"/>
            <wp:effectExtent l="0" t="0" r="9525" b="0"/>
            <wp:docPr id="264" name="Picture 26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 schematic&#10;&#10;Description automatically generated"/>
                    <pic:cNvPicPr/>
                  </pic:nvPicPr>
                  <pic:blipFill>
                    <a:blip r:embed="rId382" cstate="print">
                      <a:extLst>
                        <a:ext uri="{28A0092B-C50C-407E-A947-70E740481C1C}">
                          <a14:useLocalDpi xmlns:a14="http://schemas.microsoft.com/office/drawing/2010/main" val="0"/>
                        </a:ext>
                      </a:extLst>
                    </a:blip>
                    <a:stretch>
                      <a:fillRect/>
                    </a:stretch>
                  </pic:blipFill>
                  <pic:spPr>
                    <a:xfrm>
                      <a:off x="0" y="0"/>
                      <a:ext cx="5576501" cy="3891039"/>
                    </a:xfrm>
                    <a:prstGeom prst="rect">
                      <a:avLst/>
                    </a:prstGeom>
                  </pic:spPr>
                </pic:pic>
              </a:graphicData>
            </a:graphic>
          </wp:inline>
        </w:drawing>
      </w:r>
      <w:r w:rsidRPr="007B7129">
        <w:rPr>
          <w:noProof/>
        </w:rPr>
        <w:drawing>
          <wp:inline distT="0" distB="0" distL="0" distR="0" wp14:anchorId="6DC3A60F" wp14:editId="05C67395">
            <wp:extent cx="5231958" cy="3650632"/>
            <wp:effectExtent l="0" t="0" r="6985" b="6985"/>
            <wp:docPr id="265" name="Picture 26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with low confidence"/>
                    <pic:cNvPicPr/>
                  </pic:nvPicPr>
                  <pic:blipFill>
                    <a:blip r:embed="rId383" cstate="print">
                      <a:extLst>
                        <a:ext uri="{28A0092B-C50C-407E-A947-70E740481C1C}">
                          <a14:useLocalDpi xmlns:a14="http://schemas.microsoft.com/office/drawing/2010/main" val="0"/>
                        </a:ext>
                      </a:extLst>
                    </a:blip>
                    <a:stretch>
                      <a:fillRect/>
                    </a:stretch>
                  </pic:blipFill>
                  <pic:spPr>
                    <a:xfrm>
                      <a:off x="0" y="0"/>
                      <a:ext cx="5234174" cy="3652178"/>
                    </a:xfrm>
                    <a:prstGeom prst="rect">
                      <a:avLst/>
                    </a:prstGeom>
                  </pic:spPr>
                </pic:pic>
              </a:graphicData>
            </a:graphic>
          </wp:inline>
        </w:drawing>
      </w:r>
    </w:p>
    <w:p w14:paraId="59C8B136" w14:textId="77777777" w:rsidR="007B7129" w:rsidRPr="007B7129" w:rsidRDefault="007B7129" w:rsidP="007B7129">
      <w:r w:rsidRPr="007B7129">
        <w:rPr>
          <w:noProof/>
        </w:rPr>
        <w:lastRenderedPageBreak/>
        <mc:AlternateContent>
          <mc:Choice Requires="wps">
            <w:drawing>
              <wp:anchor distT="45720" distB="45720" distL="114300" distR="114300" simplePos="0" relativeHeight="251679744" behindDoc="0" locked="0" layoutInCell="1" allowOverlap="1" wp14:anchorId="294CBE6C" wp14:editId="092934B2">
                <wp:simplePos x="0" y="0"/>
                <wp:positionH relativeFrom="column">
                  <wp:posOffset>612250</wp:posOffset>
                </wp:positionH>
                <wp:positionV relativeFrom="paragraph">
                  <wp:posOffset>1158902</wp:posOffset>
                </wp:positionV>
                <wp:extent cx="508470" cy="270344"/>
                <wp:effectExtent l="0" t="0" r="6350" b="0"/>
                <wp:wrapNone/>
                <wp:docPr id="25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70" cy="270344"/>
                        </a:xfrm>
                        <a:prstGeom prst="rect">
                          <a:avLst/>
                        </a:prstGeom>
                        <a:solidFill>
                          <a:srgbClr val="FFFFFF"/>
                        </a:solidFill>
                        <a:ln w="9525">
                          <a:noFill/>
                          <a:miter lim="800000"/>
                          <a:headEnd/>
                          <a:tailEnd/>
                        </a:ln>
                      </wps:spPr>
                      <wps:txbx>
                        <w:txbxContent>
                          <w:p w14:paraId="43E6CC8B" w14:textId="77777777" w:rsidR="007B7129" w:rsidRPr="002E662C" w:rsidRDefault="007B7129" w:rsidP="007B7129">
                            <w:pPr>
                              <w:rPr>
                                <w:b/>
                                <w:bCs/>
                              </w:rPr>
                            </w:pPr>
                            <w:r w:rsidRPr="002E662C">
                              <w:rPr>
                                <w:b/>
                                <w:bCs/>
                              </w:rPr>
                              <w:t>3</w:t>
                            </w:r>
                            <w:r>
                              <w:rPr>
                                <w:b/>
                                <w:bCs/>
                              </w:rPr>
                              <w:t>.42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CBE6C" id="_x0000_s1123" type="#_x0000_t202" alt="&quot;&quot;" style="position:absolute;left:0;text-align:left;margin-left:48.2pt;margin-top:91.25pt;width:40.05pt;height:21.3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" stroked="f">
                <v:textbox>
                  <w:txbxContent>
                    <w:p w14:paraId="43E6CC8B" w14:textId="77777777" w:rsidR="007B7129" w:rsidRPr="002E662C" w:rsidRDefault="007B7129" w:rsidP="007B7129">
                      <w:pPr>
                        <w:rPr>
                          <w:b/>
                          <w:bCs/>
                        </w:rPr>
                      </w:pPr>
                      <w:r w:rsidRPr="002E662C">
                        <w:rPr>
                          <w:b/>
                          <w:bCs/>
                        </w:rPr>
                        <w:t>3</w:t>
                      </w:r>
                      <w:r>
                        <w:rPr>
                          <w:b/>
                          <w:bCs/>
                        </w:rPr>
                        <w:t>.42</w:t>
                      </w:r>
                    </w:p>
                  </w:txbxContent>
                </v:textbox>
              </v:shape>
            </w:pict>
          </mc:Fallback>
        </mc:AlternateContent>
      </w:r>
      <w:r w:rsidRPr="007B7129">
        <w:rPr>
          <w:noProof/>
        </w:rPr>
        <w:drawing>
          <wp:inline distT="0" distB="0" distL="0" distR="0" wp14:anchorId="18E6DB31" wp14:editId="6B73B0D4">
            <wp:extent cx="5279666" cy="3683357"/>
            <wp:effectExtent l="0" t="0" r="0" b="0"/>
            <wp:docPr id="266" name="Picture 2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384">
                      <a:extLst>
                        <a:ext uri="{28A0092B-C50C-407E-A947-70E740481C1C}">
                          <a14:useLocalDpi xmlns:a14="http://schemas.microsoft.com/office/drawing/2010/main" val="0"/>
                        </a:ext>
                      </a:extLst>
                    </a:blip>
                    <a:stretch>
                      <a:fillRect/>
                    </a:stretch>
                  </pic:blipFill>
                  <pic:spPr>
                    <a:xfrm>
                      <a:off x="0" y="0"/>
                      <a:ext cx="5286070" cy="3687824"/>
                    </a:xfrm>
                    <a:prstGeom prst="rect">
                      <a:avLst/>
                    </a:prstGeom>
                  </pic:spPr>
                </pic:pic>
              </a:graphicData>
            </a:graphic>
          </wp:inline>
        </w:drawing>
      </w:r>
      <w:r w:rsidRPr="007B7129">
        <w:rPr>
          <w:noProof/>
        </w:rPr>
        <w:drawing>
          <wp:inline distT="0" distB="0" distL="0" distR="0" wp14:anchorId="5053AEE8" wp14:editId="3569C9EE">
            <wp:extent cx="5661329" cy="3949624"/>
            <wp:effectExtent l="0" t="0" r="0" b="0"/>
            <wp:docPr id="267" name="Picture 26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 schematic&#10;&#10;Description automatically generated"/>
                    <pic:cNvPicPr/>
                  </pic:nvPicPr>
                  <pic:blipFill>
                    <a:blip r:embed="rId385">
                      <a:extLst>
                        <a:ext uri="{28A0092B-C50C-407E-A947-70E740481C1C}">
                          <a14:useLocalDpi xmlns:a14="http://schemas.microsoft.com/office/drawing/2010/main" val="0"/>
                        </a:ext>
                      </a:extLst>
                    </a:blip>
                    <a:stretch>
                      <a:fillRect/>
                    </a:stretch>
                  </pic:blipFill>
                  <pic:spPr>
                    <a:xfrm>
                      <a:off x="0" y="0"/>
                      <a:ext cx="5663990" cy="3951480"/>
                    </a:xfrm>
                    <a:prstGeom prst="rect">
                      <a:avLst/>
                    </a:prstGeom>
                  </pic:spPr>
                </pic:pic>
              </a:graphicData>
            </a:graphic>
          </wp:inline>
        </w:drawing>
      </w:r>
      <w:r w:rsidRPr="007B7129">
        <w:rPr>
          <w:noProof/>
        </w:rPr>
        <w:lastRenderedPageBreak/>
        <w:drawing>
          <wp:inline distT="0" distB="0" distL="0" distR="0" wp14:anchorId="36748C86" wp14:editId="303FBB16">
            <wp:extent cx="5216056" cy="3638979"/>
            <wp:effectExtent l="0" t="0" r="3810" b="0"/>
            <wp:docPr id="268" name="Picture 2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pic:nvPicPr>
                  <pic:blipFill>
                    <a:blip r:embed="rId386">
                      <a:extLst>
                        <a:ext uri="{28A0092B-C50C-407E-A947-70E740481C1C}">
                          <a14:useLocalDpi xmlns:a14="http://schemas.microsoft.com/office/drawing/2010/main" val="0"/>
                        </a:ext>
                      </a:extLst>
                    </a:blip>
                    <a:stretch>
                      <a:fillRect/>
                    </a:stretch>
                  </pic:blipFill>
                  <pic:spPr>
                    <a:xfrm>
                      <a:off x="0" y="0"/>
                      <a:ext cx="5221152" cy="3642534"/>
                    </a:xfrm>
                    <a:prstGeom prst="rect">
                      <a:avLst/>
                    </a:prstGeom>
                  </pic:spPr>
                </pic:pic>
              </a:graphicData>
            </a:graphic>
          </wp:inline>
        </w:drawing>
      </w:r>
      <w:r w:rsidRPr="007B7129">
        <w:rPr>
          <w:noProof/>
        </w:rPr>
        <w:drawing>
          <wp:inline distT="0" distB="0" distL="0" distR="0" wp14:anchorId="17F8FCA2" wp14:editId="46008AD3">
            <wp:extent cx="5454595" cy="3805396"/>
            <wp:effectExtent l="0" t="0" r="0" b="5080"/>
            <wp:docPr id="269" name="Picture 26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 schematic&#10;&#10;Description automatically generated"/>
                    <pic:cNvPicPr/>
                  </pic:nvPicPr>
                  <pic:blipFill>
                    <a:blip r:embed="rId387">
                      <a:extLst>
                        <a:ext uri="{28A0092B-C50C-407E-A947-70E740481C1C}">
                          <a14:useLocalDpi xmlns:a14="http://schemas.microsoft.com/office/drawing/2010/main" val="0"/>
                        </a:ext>
                      </a:extLst>
                    </a:blip>
                    <a:stretch>
                      <a:fillRect/>
                    </a:stretch>
                  </pic:blipFill>
                  <pic:spPr>
                    <a:xfrm>
                      <a:off x="0" y="0"/>
                      <a:ext cx="5458425" cy="3808068"/>
                    </a:xfrm>
                    <a:prstGeom prst="rect">
                      <a:avLst/>
                    </a:prstGeom>
                  </pic:spPr>
                </pic:pic>
              </a:graphicData>
            </a:graphic>
          </wp:inline>
        </w:drawing>
      </w:r>
      <w:r w:rsidRPr="007B7129">
        <w:rPr>
          <w:noProof/>
        </w:rPr>
        <w:lastRenderedPageBreak/>
        <mc:AlternateContent>
          <mc:Choice Requires="wps">
            <w:drawing>
              <wp:anchor distT="45720" distB="45720" distL="114300" distR="114300" simplePos="0" relativeHeight="251680768" behindDoc="0" locked="0" layoutInCell="1" allowOverlap="1" wp14:anchorId="1DDA8E6E" wp14:editId="21906B99">
                <wp:simplePos x="0" y="0"/>
                <wp:positionH relativeFrom="column">
                  <wp:posOffset>355794</wp:posOffset>
                </wp:positionH>
                <wp:positionV relativeFrom="paragraph">
                  <wp:posOffset>1045431</wp:posOffset>
                </wp:positionV>
                <wp:extent cx="508470" cy="270344"/>
                <wp:effectExtent l="0" t="0" r="6350" b="635"/>
                <wp:wrapNone/>
                <wp:docPr id="25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70" cy="270344"/>
                        </a:xfrm>
                        <a:prstGeom prst="rect">
                          <a:avLst/>
                        </a:prstGeom>
                        <a:solidFill>
                          <a:srgbClr val="FFFFFF"/>
                        </a:solidFill>
                        <a:ln w="9525">
                          <a:noFill/>
                          <a:miter lim="800000"/>
                          <a:headEnd/>
                          <a:tailEnd/>
                        </a:ln>
                      </wps:spPr>
                      <wps:txbx>
                        <w:txbxContent>
                          <w:p w14:paraId="5C6CB466" w14:textId="77777777" w:rsidR="007B7129" w:rsidRPr="002E662C" w:rsidRDefault="007B7129" w:rsidP="007B7129">
                            <w:pPr>
                              <w:rPr>
                                <w:b/>
                                <w:bCs/>
                              </w:rPr>
                            </w:pPr>
                            <w:r w:rsidRPr="002E662C">
                              <w:rPr>
                                <w:b/>
                                <w:bCs/>
                              </w:rPr>
                              <w:t>3</w:t>
                            </w:r>
                            <w:r>
                              <w:rPr>
                                <w:b/>
                                <w:bCs/>
                              </w:rPr>
                              <w:t>.41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A8E6E" id="_x0000_s1124" type="#_x0000_t202" alt="&quot;&quot;" style="position:absolute;left:0;text-align:left;margin-left:28pt;margin-top:82.3pt;width:40.05pt;height:21.3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" stroked="f">
                <v:textbox>
                  <w:txbxContent>
                    <w:p w14:paraId="5C6CB466" w14:textId="77777777" w:rsidR="007B7129" w:rsidRPr="002E662C" w:rsidRDefault="007B7129" w:rsidP="007B7129">
                      <w:pPr>
                        <w:rPr>
                          <w:b/>
                          <w:bCs/>
                        </w:rPr>
                      </w:pPr>
                      <w:r w:rsidRPr="002E662C">
                        <w:rPr>
                          <w:b/>
                          <w:bCs/>
                        </w:rPr>
                        <w:t>3</w:t>
                      </w:r>
                      <w:r>
                        <w:rPr>
                          <w:b/>
                          <w:bCs/>
                        </w:rPr>
                        <w:t>.41</w:t>
                      </w:r>
                    </w:p>
                  </w:txbxContent>
                </v:textbox>
              </v:shape>
            </w:pict>
          </mc:Fallback>
        </mc:AlternateContent>
      </w:r>
      <w:r w:rsidRPr="007B7129">
        <w:rPr>
          <w:noProof/>
        </w:rPr>
        <w:drawing>
          <wp:inline distT="0" distB="0" distL="0" distR="0" wp14:anchorId="0A404769" wp14:editId="5F003F6A">
            <wp:extent cx="5041127" cy="3516940"/>
            <wp:effectExtent l="0" t="0" r="7620" b="7620"/>
            <wp:docPr id="270" name="Picture 2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pic:nvPicPr>
                  <pic:blipFill>
                    <a:blip r:embed="rId388">
                      <a:extLst>
                        <a:ext uri="{28A0092B-C50C-407E-A947-70E740481C1C}">
                          <a14:useLocalDpi xmlns:a14="http://schemas.microsoft.com/office/drawing/2010/main" val="0"/>
                        </a:ext>
                      </a:extLst>
                    </a:blip>
                    <a:stretch>
                      <a:fillRect/>
                    </a:stretch>
                  </pic:blipFill>
                  <pic:spPr>
                    <a:xfrm>
                      <a:off x="0" y="0"/>
                      <a:ext cx="5046713" cy="3520837"/>
                    </a:xfrm>
                    <a:prstGeom prst="rect">
                      <a:avLst/>
                    </a:prstGeom>
                  </pic:spPr>
                </pic:pic>
              </a:graphicData>
            </a:graphic>
          </wp:inline>
        </w:drawing>
      </w:r>
      <w:r w:rsidRPr="007B7129">
        <w:rPr>
          <w:noProof/>
        </w:rPr>
        <w:drawing>
          <wp:inline distT="0" distB="0" distL="0" distR="0" wp14:anchorId="278DAF29" wp14:editId="01856FB8">
            <wp:extent cx="5557962" cy="3877510"/>
            <wp:effectExtent l="0" t="0" r="5080" b="8890"/>
            <wp:docPr id="271" name="Picture 27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pic:cNvPicPr/>
                  </pic:nvPicPr>
                  <pic:blipFill>
                    <a:blip r:embed="rId389">
                      <a:extLst>
                        <a:ext uri="{28A0092B-C50C-407E-A947-70E740481C1C}">
                          <a14:useLocalDpi xmlns:a14="http://schemas.microsoft.com/office/drawing/2010/main" val="0"/>
                        </a:ext>
                      </a:extLst>
                    </a:blip>
                    <a:stretch>
                      <a:fillRect/>
                    </a:stretch>
                  </pic:blipFill>
                  <pic:spPr>
                    <a:xfrm>
                      <a:off x="0" y="0"/>
                      <a:ext cx="5563583" cy="3881432"/>
                    </a:xfrm>
                    <a:prstGeom prst="rect">
                      <a:avLst/>
                    </a:prstGeom>
                  </pic:spPr>
                </pic:pic>
              </a:graphicData>
            </a:graphic>
          </wp:inline>
        </w:drawing>
      </w:r>
      <w:r w:rsidRPr="007B7129">
        <w:rPr>
          <w:noProof/>
        </w:rPr>
        <w:lastRenderedPageBreak/>
        <w:drawing>
          <wp:inline distT="0" distB="0" distL="0" distR="0" wp14:anchorId="771BA5AE" wp14:editId="7AAFFB1F">
            <wp:extent cx="5446643" cy="3799848"/>
            <wp:effectExtent l="0" t="0" r="1905" b="0"/>
            <wp:docPr id="272" name="Picture 2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Diagram&#10;&#10;Description automatically generated"/>
                    <pic:cNvPicPr/>
                  </pic:nvPicPr>
                  <pic:blipFill>
                    <a:blip r:embed="rId390">
                      <a:extLst>
                        <a:ext uri="{28A0092B-C50C-407E-A947-70E740481C1C}">
                          <a14:useLocalDpi xmlns:a14="http://schemas.microsoft.com/office/drawing/2010/main" val="0"/>
                        </a:ext>
                      </a:extLst>
                    </a:blip>
                    <a:stretch>
                      <a:fillRect/>
                    </a:stretch>
                  </pic:blipFill>
                  <pic:spPr>
                    <a:xfrm>
                      <a:off x="0" y="0"/>
                      <a:ext cx="5450762" cy="3802722"/>
                    </a:xfrm>
                    <a:prstGeom prst="rect">
                      <a:avLst/>
                    </a:prstGeom>
                  </pic:spPr>
                </pic:pic>
              </a:graphicData>
            </a:graphic>
          </wp:inline>
        </w:drawing>
      </w:r>
      <w:r w:rsidRPr="007B7129">
        <w:rPr>
          <w:noProof/>
        </w:rPr>
        <w:drawing>
          <wp:inline distT="0" distB="0" distL="0" distR="0" wp14:anchorId="4C41C3D4" wp14:editId="120287B1">
            <wp:extent cx="5836257" cy="4071662"/>
            <wp:effectExtent l="0" t="0" r="0" b="5080"/>
            <wp:docPr id="273" name="Picture 2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pic:cNvPicPr/>
                  </pic:nvPicPr>
                  <pic:blipFill>
                    <a:blip r:embed="rId391">
                      <a:extLst>
                        <a:ext uri="{28A0092B-C50C-407E-A947-70E740481C1C}">
                          <a14:useLocalDpi xmlns:a14="http://schemas.microsoft.com/office/drawing/2010/main" val="0"/>
                        </a:ext>
                      </a:extLst>
                    </a:blip>
                    <a:stretch>
                      <a:fillRect/>
                    </a:stretch>
                  </pic:blipFill>
                  <pic:spPr>
                    <a:xfrm>
                      <a:off x="0" y="0"/>
                      <a:ext cx="5838111" cy="4072956"/>
                    </a:xfrm>
                    <a:prstGeom prst="rect">
                      <a:avLst/>
                    </a:prstGeom>
                  </pic:spPr>
                </pic:pic>
              </a:graphicData>
            </a:graphic>
          </wp:inline>
        </w:drawing>
      </w:r>
    </w:p>
    <w:p w14:paraId="03434FB2" w14:textId="77777777" w:rsidR="007B7129" w:rsidRPr="007B7129" w:rsidRDefault="007B7129" w:rsidP="007B7129">
      <w:r w:rsidRPr="007B7129">
        <w:rPr>
          <w:noProof/>
        </w:rPr>
        <w:lastRenderedPageBreak/>
        <mc:AlternateContent>
          <mc:Choice Requires="wps">
            <w:drawing>
              <wp:anchor distT="45720" distB="45720" distL="114300" distR="114300" simplePos="0" relativeHeight="251681792" behindDoc="0" locked="0" layoutInCell="1" allowOverlap="1" wp14:anchorId="061C4574" wp14:editId="3C7CA094">
                <wp:simplePos x="0" y="0"/>
                <wp:positionH relativeFrom="column">
                  <wp:posOffset>333541</wp:posOffset>
                </wp:positionH>
                <wp:positionV relativeFrom="paragraph">
                  <wp:posOffset>975553</wp:posOffset>
                </wp:positionV>
                <wp:extent cx="508470" cy="270344"/>
                <wp:effectExtent l="0" t="0" r="6350" b="635"/>
                <wp:wrapNone/>
                <wp:docPr id="27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70" cy="270344"/>
                        </a:xfrm>
                        <a:prstGeom prst="rect">
                          <a:avLst/>
                        </a:prstGeom>
                        <a:solidFill>
                          <a:srgbClr val="FFFFFF"/>
                        </a:solidFill>
                        <a:ln w="9525">
                          <a:noFill/>
                          <a:miter lim="800000"/>
                          <a:headEnd/>
                          <a:tailEnd/>
                        </a:ln>
                      </wps:spPr>
                      <wps:txbx>
                        <w:txbxContent>
                          <w:p w14:paraId="4273F10D" w14:textId="77777777" w:rsidR="007B7129" w:rsidRPr="002E662C" w:rsidRDefault="007B7129" w:rsidP="007B7129">
                            <w:pPr>
                              <w:rPr>
                                <w:b/>
                                <w:bCs/>
                              </w:rPr>
                            </w:pPr>
                            <w:r w:rsidRPr="002E662C">
                              <w:rPr>
                                <w:b/>
                                <w:bCs/>
                              </w:rPr>
                              <w:t>3</w:t>
                            </w:r>
                            <w:r>
                              <w:rPr>
                                <w:b/>
                                <w:bCs/>
                              </w:rPr>
                              <w:t>.44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C4574" id="_x0000_s1125" type="#_x0000_t202" alt="&quot;&quot;" style="position:absolute;left:0;text-align:left;margin-left:26.25pt;margin-top:76.8pt;width:40.05pt;height:21.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" stroked="f">
                <v:textbox>
                  <w:txbxContent>
                    <w:p w14:paraId="4273F10D" w14:textId="77777777" w:rsidR="007B7129" w:rsidRPr="002E662C" w:rsidRDefault="007B7129" w:rsidP="007B7129">
                      <w:pPr>
                        <w:rPr>
                          <w:b/>
                          <w:bCs/>
                        </w:rPr>
                      </w:pPr>
                      <w:r w:rsidRPr="002E662C">
                        <w:rPr>
                          <w:b/>
                          <w:bCs/>
                        </w:rPr>
                        <w:t>3</w:t>
                      </w:r>
                      <w:r>
                        <w:rPr>
                          <w:b/>
                          <w:bCs/>
                        </w:rPr>
                        <w:t>.44</w:t>
                      </w:r>
                    </w:p>
                  </w:txbxContent>
                </v:textbox>
              </v:shape>
            </w:pict>
          </mc:Fallback>
        </mc:AlternateContent>
      </w:r>
      <w:r w:rsidRPr="007B7129">
        <w:rPr>
          <w:noProof/>
        </w:rPr>
        <w:drawing>
          <wp:inline distT="0" distB="0" distL="0" distR="0" wp14:anchorId="14C03124" wp14:editId="2C29DD50">
            <wp:extent cx="5534108" cy="3861459"/>
            <wp:effectExtent l="0" t="0" r="9525" b="5715"/>
            <wp:docPr id="283" name="Picture 28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descr="Diagram&#10;&#10;Description automatically generated"/>
                    <pic:cNvPicPr/>
                  </pic:nvPicPr>
                  <pic:blipFill>
                    <a:blip r:embed="rId392" cstate="print">
                      <a:extLst>
                        <a:ext uri="{28A0092B-C50C-407E-A947-70E740481C1C}">
                          <a14:useLocalDpi xmlns:a14="http://schemas.microsoft.com/office/drawing/2010/main" val="0"/>
                        </a:ext>
                      </a:extLst>
                    </a:blip>
                    <a:stretch>
                      <a:fillRect/>
                    </a:stretch>
                  </pic:blipFill>
                  <pic:spPr>
                    <a:xfrm>
                      <a:off x="0" y="0"/>
                      <a:ext cx="5538510" cy="3864531"/>
                    </a:xfrm>
                    <a:prstGeom prst="rect">
                      <a:avLst/>
                    </a:prstGeom>
                  </pic:spPr>
                </pic:pic>
              </a:graphicData>
            </a:graphic>
          </wp:inline>
        </w:drawing>
      </w:r>
      <w:r w:rsidRPr="007B7129">
        <w:rPr>
          <w:noProof/>
        </w:rPr>
        <w:drawing>
          <wp:inline distT="0" distB="0" distL="0" distR="0" wp14:anchorId="5D1C187B" wp14:editId="19E41F65">
            <wp:extent cx="5943600" cy="4147185"/>
            <wp:effectExtent l="0" t="0" r="0" b="5715"/>
            <wp:docPr id="275" name="Picture 275" descr="A picture containing tex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descr="A picture containing text, outdoor&#10;&#10;Description automatically generated"/>
                    <pic:cNvPicPr/>
                  </pic:nvPicPr>
                  <pic:blipFill>
                    <a:blip r:embed="rId393">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4855026E" w14:textId="77777777" w:rsidR="007B7129" w:rsidRPr="007B7129" w:rsidRDefault="007B7129" w:rsidP="007B7129">
      <w:r w:rsidRPr="007B7129">
        <w:rPr>
          <w:noProof/>
        </w:rPr>
        <w:lastRenderedPageBreak/>
        <w:drawing>
          <wp:inline distT="0" distB="0" distL="0" distR="0" wp14:anchorId="5F953111" wp14:editId="79884F09">
            <wp:extent cx="5518205" cy="3850363"/>
            <wp:effectExtent l="0" t="0" r="6350" b="0"/>
            <wp:docPr id="276" name="Picture 2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descr="Diagram&#10;&#10;Description automatically generated"/>
                    <pic:cNvPicPr/>
                  </pic:nvPicPr>
                  <pic:blipFill>
                    <a:blip r:embed="rId394" cstate="print">
                      <a:extLst>
                        <a:ext uri="{28A0092B-C50C-407E-A947-70E740481C1C}">
                          <a14:useLocalDpi xmlns:a14="http://schemas.microsoft.com/office/drawing/2010/main" val="0"/>
                        </a:ext>
                      </a:extLst>
                    </a:blip>
                    <a:stretch>
                      <a:fillRect/>
                    </a:stretch>
                  </pic:blipFill>
                  <pic:spPr>
                    <a:xfrm>
                      <a:off x="0" y="0"/>
                      <a:ext cx="5523548" cy="3854091"/>
                    </a:xfrm>
                    <a:prstGeom prst="rect">
                      <a:avLst/>
                    </a:prstGeom>
                  </pic:spPr>
                </pic:pic>
              </a:graphicData>
            </a:graphic>
          </wp:inline>
        </w:drawing>
      </w:r>
    </w:p>
    <w:p w14:paraId="004B1A99" w14:textId="77777777" w:rsidR="007B7129" w:rsidRPr="007B7129" w:rsidRDefault="007B7129" w:rsidP="007B7129">
      <w:r w:rsidRPr="007B7129">
        <w:rPr>
          <w:noProof/>
        </w:rPr>
        <w:drawing>
          <wp:inline distT="0" distB="0" distL="0" distR="0" wp14:anchorId="7D4D01C1" wp14:editId="0E494220">
            <wp:extent cx="5462546" cy="3811526"/>
            <wp:effectExtent l="0" t="0" r="5080" b="0"/>
            <wp:docPr id="277" name="Picture 27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descr="Diagram&#10;&#10;Description automatically generated with medium confidence"/>
                    <pic:cNvPicPr/>
                  </pic:nvPicPr>
                  <pic:blipFill>
                    <a:blip r:embed="rId395" cstate="print">
                      <a:extLst>
                        <a:ext uri="{28A0092B-C50C-407E-A947-70E740481C1C}">
                          <a14:useLocalDpi xmlns:a14="http://schemas.microsoft.com/office/drawing/2010/main" val="0"/>
                        </a:ext>
                      </a:extLst>
                    </a:blip>
                    <a:stretch>
                      <a:fillRect/>
                    </a:stretch>
                  </pic:blipFill>
                  <pic:spPr>
                    <a:xfrm>
                      <a:off x="0" y="0"/>
                      <a:ext cx="5468179" cy="3815456"/>
                    </a:xfrm>
                    <a:prstGeom prst="rect">
                      <a:avLst/>
                    </a:prstGeom>
                  </pic:spPr>
                </pic:pic>
              </a:graphicData>
            </a:graphic>
          </wp:inline>
        </w:drawing>
      </w:r>
    </w:p>
    <w:p w14:paraId="5C480186" w14:textId="77777777" w:rsidR="007B7129" w:rsidRPr="007B7129" w:rsidRDefault="007B7129" w:rsidP="007B7129">
      <w:r w:rsidRPr="007B7129">
        <w:rPr>
          <w:noProof/>
        </w:rPr>
        <w:lastRenderedPageBreak/>
        <w:drawing>
          <wp:inline distT="0" distB="0" distL="0" distR="0" wp14:anchorId="2B7A8697" wp14:editId="168A14D7">
            <wp:extent cx="5581816" cy="3894748"/>
            <wp:effectExtent l="0" t="0" r="0" b="0"/>
            <wp:docPr id="278" name="Picture 27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descr="Diagram, schematic&#10;&#10;Description automatically generated"/>
                    <pic:cNvPicPr/>
                  </pic:nvPicPr>
                  <pic:blipFill>
                    <a:blip r:embed="rId396" cstate="print">
                      <a:extLst>
                        <a:ext uri="{28A0092B-C50C-407E-A947-70E740481C1C}">
                          <a14:useLocalDpi xmlns:a14="http://schemas.microsoft.com/office/drawing/2010/main" val="0"/>
                        </a:ext>
                      </a:extLst>
                    </a:blip>
                    <a:stretch>
                      <a:fillRect/>
                    </a:stretch>
                  </pic:blipFill>
                  <pic:spPr>
                    <a:xfrm>
                      <a:off x="0" y="0"/>
                      <a:ext cx="5590701" cy="3900947"/>
                    </a:xfrm>
                    <a:prstGeom prst="rect">
                      <a:avLst/>
                    </a:prstGeom>
                  </pic:spPr>
                </pic:pic>
              </a:graphicData>
            </a:graphic>
          </wp:inline>
        </w:drawing>
      </w:r>
    </w:p>
    <w:p w14:paraId="516F5662" w14:textId="77777777" w:rsidR="007B7129" w:rsidRPr="007B7129" w:rsidRDefault="007B7129" w:rsidP="007B7129">
      <w:r w:rsidRPr="007B7129">
        <w:rPr>
          <w:noProof/>
        </w:rPr>
        <w:drawing>
          <wp:inline distT="0" distB="0" distL="0" distR="0" wp14:anchorId="4A4E489B" wp14:editId="38444D9B">
            <wp:extent cx="5550010" cy="3872555"/>
            <wp:effectExtent l="0" t="0" r="0" b="0"/>
            <wp:docPr id="279" name="Picture 27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descr="Diagram, schematic&#10;&#10;Description automatically generated"/>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5555104" cy="3876109"/>
                    </a:xfrm>
                    <a:prstGeom prst="rect">
                      <a:avLst/>
                    </a:prstGeom>
                  </pic:spPr>
                </pic:pic>
              </a:graphicData>
            </a:graphic>
          </wp:inline>
        </w:drawing>
      </w:r>
    </w:p>
    <w:p w14:paraId="3751DAA0" w14:textId="77777777" w:rsidR="007B7129" w:rsidRPr="007B7129" w:rsidRDefault="007B7129" w:rsidP="007B7129">
      <w:r w:rsidRPr="007B7129">
        <w:rPr>
          <w:noProof/>
        </w:rPr>
        <w:lastRenderedPageBreak/>
        <w:drawing>
          <wp:inline distT="0" distB="0" distL="0" distR="0" wp14:anchorId="2F621158" wp14:editId="6040353C">
            <wp:extent cx="5943600" cy="4147185"/>
            <wp:effectExtent l="0" t="0" r="0" b="5715"/>
            <wp:docPr id="280" name="Picture 28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descr="Diagram, schematic&#10;&#10;Description automatically generated"/>
                    <pic:cNvPicPr/>
                  </pic:nvPicPr>
                  <pic:blipFill>
                    <a:blip r:embed="rId398">
                      <a:extLst>
                        <a:ext uri="{28A0092B-C50C-407E-A947-70E740481C1C}">
                          <a14:useLocalDpi xmlns:a14="http://schemas.microsoft.com/office/drawing/2010/main" val="0"/>
                        </a:ext>
                      </a:extLst>
                    </a:blip>
                    <a:stretch>
                      <a:fillRect/>
                    </a:stretch>
                  </pic:blipFill>
                  <pic:spPr>
                    <a:xfrm>
                      <a:off x="0" y="0"/>
                      <a:ext cx="5943600" cy="4147185"/>
                    </a:xfrm>
                    <a:prstGeom prst="rect">
                      <a:avLst/>
                    </a:prstGeom>
                  </pic:spPr>
                </pic:pic>
              </a:graphicData>
            </a:graphic>
          </wp:inline>
        </w:drawing>
      </w:r>
    </w:p>
    <w:p w14:paraId="5A3CEA9D" w14:textId="77777777" w:rsidR="007B7129" w:rsidRPr="007B7129" w:rsidRDefault="007B7129" w:rsidP="007B7129">
      <w:pPr>
        <w:spacing w:line="259" w:lineRule="auto"/>
        <w:jc w:val="left"/>
        <w:rPr>
          <w:rFonts w:eastAsia="Times New Roman" w:cs="Times New Roman"/>
          <w:b/>
          <w:sz w:val="28"/>
          <w:szCs w:val="28"/>
        </w:rPr>
      </w:pPr>
    </w:p>
    <w:p w14:paraId="3E663531" w14:textId="36312215" w:rsidR="004D4C9F" w:rsidRDefault="004D4C9F">
      <w:pPr>
        <w:spacing w:line="259" w:lineRule="auto"/>
        <w:jc w:val="left"/>
        <w:rPr>
          <w:rFonts w:cs="Times New Roman"/>
          <w:szCs w:val="24"/>
        </w:rPr>
      </w:pPr>
      <w:r>
        <w:rPr>
          <w:rFonts w:cs="Times New Roman"/>
          <w:szCs w:val="24"/>
        </w:rPr>
        <w:br w:type="page"/>
      </w:r>
    </w:p>
    <w:p w14:paraId="238FD993" w14:textId="77777777" w:rsidR="0044257B" w:rsidRPr="0044257B" w:rsidRDefault="0044257B" w:rsidP="00BE0F89">
      <w:pPr>
        <w:pStyle w:val="ChapterTitles"/>
      </w:pPr>
      <w:bookmarkStart w:id="462" w:name="_Toc100241929"/>
      <w:bookmarkStart w:id="463" w:name="_Toc102586293"/>
      <w:bookmarkStart w:id="464" w:name="_Toc78382844"/>
      <w:r w:rsidRPr="0044257B">
        <w:lastRenderedPageBreak/>
        <w:t>Chapter 4: SARS-CoV-2 protease inhibitors</w:t>
      </w:r>
      <w:bookmarkEnd w:id="462"/>
      <w:bookmarkEnd w:id="463"/>
    </w:p>
    <w:p w14:paraId="27461D1D" w14:textId="298DFD1D" w:rsidR="0044257B" w:rsidRPr="00B366E8" w:rsidRDefault="0044257B" w:rsidP="00B366E8">
      <w:pPr>
        <w:spacing w:after="0"/>
        <w:ind w:firstLine="720"/>
        <w:rPr>
          <w:b/>
          <w:bCs/>
        </w:rPr>
      </w:pPr>
      <w:r w:rsidRPr="0044257B">
        <w:rPr>
          <w:b/>
          <w:bCs/>
        </w:rPr>
        <w:t>Abstract</w:t>
      </w:r>
      <w:r w:rsidR="00B366E8">
        <w:rPr>
          <w:b/>
          <w:bCs/>
        </w:rPr>
        <w:t xml:space="preserve">. </w:t>
      </w:r>
      <w:r w:rsidRPr="0044257B">
        <w:rPr>
          <w:rFonts w:eastAsia="Times New Roman" w:cs="Times New Roman"/>
          <w:color w:val="000000"/>
          <w:szCs w:val="24"/>
        </w:rPr>
        <w:t xml:space="preserve">The novel severe acute respiratory syndrome coronavirus 2 (SARS-CoV-2), initially detected in Wuhan City, Hubei province, China on December 31, 2019, quickly took the world by storm. The global death toll from COVID-19 surpassed 200,000 by April 2020, estimating an approximately 5.9% case fatality rate. With the world in turmoil, scientists everywhere fully focused their research efforts to fight this global pandemic, because the need for effective treatment was obvious and immediate. </w:t>
      </w:r>
      <w:r w:rsidRPr="0044257B">
        <w:t>Since our lab had already built a ~300 compound small molecule library</w:t>
      </w:r>
      <w:r w:rsidR="003E1330">
        <w:t xml:space="preserve"> with an emphasis on </w:t>
      </w:r>
      <w:r w:rsidR="00D07FFE">
        <w:t>putative protease modulators</w:t>
      </w:r>
      <w:r w:rsidRPr="0044257B">
        <w:t xml:space="preserve">, and there were significant structural similarities between the compounds in our library and compounds with reported antiviral activity against coronaviruses, we were curious to see if any of our existing compounds were active against SARS-CoV-2. This, along with </w:t>
      </w:r>
      <w:r w:rsidRPr="0044257B">
        <w:rPr>
          <w:i/>
          <w:iCs/>
        </w:rPr>
        <w:t>in silico</w:t>
      </w:r>
      <w:r w:rsidRPr="0044257B">
        <w:t xml:space="preserve"> modelling of SARS-</w:t>
      </w:r>
      <w:proofErr w:type="spellStart"/>
      <w:r w:rsidRPr="0044257B">
        <w:t>CoV</w:t>
      </w:r>
      <w:proofErr w:type="spellEnd"/>
      <w:r w:rsidRPr="0044257B">
        <w:t xml:space="preserve"> </w:t>
      </w:r>
      <w:proofErr w:type="spellStart"/>
      <w:r w:rsidR="00D07FFE">
        <w:t>M</w:t>
      </w:r>
      <w:r w:rsidR="00D07FFE" w:rsidRPr="00D07FFE">
        <w:rPr>
          <w:vertAlign w:val="superscript"/>
        </w:rPr>
        <w:t>pro</w:t>
      </w:r>
      <w:proofErr w:type="spellEnd"/>
      <w:r w:rsidR="00D07FFE">
        <w:t xml:space="preserve"> </w:t>
      </w:r>
      <w:r w:rsidRPr="0044257B">
        <w:t xml:space="preserve">homologues, inspired our two </w:t>
      </w:r>
      <w:r w:rsidR="00D07FFE">
        <w:t>objectives</w:t>
      </w:r>
      <w:r w:rsidRPr="0044257B">
        <w:t xml:space="preserve"> for this exploratory project aiming to expand the chemical space of anti-coronavirus compounds: (1) screen our existing small molecule library via </w:t>
      </w:r>
      <w:r w:rsidR="00D07FFE">
        <w:t xml:space="preserve">a </w:t>
      </w:r>
      <w:r w:rsidRPr="0044257B">
        <w:t xml:space="preserve">phenotypic viral replication inhibition assay, and (2) design and synthesize new SARS-CoV-2 protease inhibitors </w:t>
      </w:r>
      <w:r w:rsidR="00D07FFE">
        <w:t>based on recently published results from fragment-based screens.</w:t>
      </w:r>
    </w:p>
    <w:p w14:paraId="3A30A411" w14:textId="39FD30F9" w:rsidR="0044257B" w:rsidRPr="00B366E8" w:rsidRDefault="0044257B" w:rsidP="00B366E8">
      <w:pPr>
        <w:spacing w:after="0"/>
        <w:ind w:firstLine="720"/>
        <w:rPr>
          <w:b/>
          <w:bCs/>
        </w:rPr>
      </w:pPr>
      <w:r w:rsidRPr="0044257B">
        <w:rPr>
          <w:b/>
          <w:bCs/>
        </w:rPr>
        <w:t>Allocation of Contribution</w:t>
      </w:r>
      <w:r w:rsidR="00B366E8">
        <w:rPr>
          <w:b/>
          <w:bCs/>
        </w:rPr>
        <w:t xml:space="preserve">. </w:t>
      </w:r>
      <w:r w:rsidRPr="0044257B">
        <w:t xml:space="preserve">I produced the results presented in this chapter with the following exceptions. Existing compounds </w:t>
      </w:r>
      <w:r w:rsidRPr="0044257B">
        <w:rPr>
          <w:b/>
          <w:bCs/>
        </w:rPr>
        <w:t>4.20</w:t>
      </w:r>
      <w:r w:rsidRPr="0044257B">
        <w:t xml:space="preserve"> – </w:t>
      </w:r>
      <w:r w:rsidRPr="0044257B">
        <w:rPr>
          <w:b/>
          <w:bCs/>
        </w:rPr>
        <w:t>4.33</w:t>
      </w:r>
      <w:r w:rsidRPr="0044257B">
        <w:t xml:space="preserve">, </w:t>
      </w:r>
      <w:r w:rsidRPr="0044257B">
        <w:rPr>
          <w:b/>
          <w:bCs/>
        </w:rPr>
        <w:t>4.36</w:t>
      </w:r>
      <w:r w:rsidRPr="0044257B">
        <w:t xml:space="preserve">, and </w:t>
      </w:r>
      <w:r w:rsidRPr="0044257B">
        <w:rPr>
          <w:b/>
          <w:bCs/>
        </w:rPr>
        <w:t>4.42</w:t>
      </w:r>
      <w:r w:rsidRPr="0044257B">
        <w:t xml:space="preserve"> – </w:t>
      </w:r>
      <w:r w:rsidRPr="0044257B">
        <w:rPr>
          <w:b/>
          <w:bCs/>
        </w:rPr>
        <w:t>4.44</w:t>
      </w:r>
      <w:r w:rsidRPr="0044257B">
        <w:t xml:space="preserve"> from the Duerfeldt lab small molecule library were synthesized by Dr. Ziwei Hu, Mr. Quentin Gibaut, and Mr. Quentin Avila. Compounds </w:t>
      </w:r>
      <w:r w:rsidRPr="0044257B">
        <w:rPr>
          <w:b/>
          <w:bCs/>
        </w:rPr>
        <w:t>4.20</w:t>
      </w:r>
      <w:r w:rsidRPr="0044257B">
        <w:t xml:space="preserve"> – </w:t>
      </w:r>
      <w:r w:rsidRPr="0044257B">
        <w:rPr>
          <w:b/>
          <w:bCs/>
        </w:rPr>
        <w:t>4.44</w:t>
      </w:r>
      <w:r w:rsidRPr="0044257B">
        <w:t xml:space="preserve"> were sent to Dr. John </w:t>
      </w:r>
      <w:proofErr w:type="spellStart"/>
      <w:r w:rsidRPr="0044257B">
        <w:t>Teijaro</w:t>
      </w:r>
      <w:proofErr w:type="spellEnd"/>
      <w:r w:rsidRPr="0044257B">
        <w:t xml:space="preserve"> at the Scripps Research Institute (TSRI) for evaluation in their cellular SARS-CoV-2 infection inhibition assay. Mr. Avila and Ms. Katelyn Stevens participated in writing the grant proposal that funded this project and </w:t>
      </w:r>
      <w:r w:rsidR="00D07FFE">
        <w:t>investigated</w:t>
      </w:r>
      <w:r w:rsidRPr="0044257B">
        <w:t xml:space="preserve"> the piperazine and urea scaffolds, respectively. Docking studies in section 4.2.2 were </w:t>
      </w:r>
      <w:r w:rsidR="00D07FFE">
        <w:t>completed</w:t>
      </w:r>
      <w:r w:rsidRPr="0044257B">
        <w:t xml:space="preserve"> by Mr. Avila. </w:t>
      </w:r>
    </w:p>
    <w:p w14:paraId="7712E3AF" w14:textId="77777777" w:rsidR="0044257B" w:rsidRPr="0044257B" w:rsidRDefault="0044257B" w:rsidP="00595321">
      <w:pPr>
        <w:pStyle w:val="Section"/>
      </w:pPr>
      <w:bookmarkStart w:id="465" w:name="_Toc100241930"/>
      <w:bookmarkStart w:id="466" w:name="_Toc102586294"/>
      <w:r w:rsidRPr="0044257B">
        <w:lastRenderedPageBreak/>
        <w:t>4.1 Introduction</w:t>
      </w:r>
      <w:bookmarkEnd w:id="465"/>
      <w:bookmarkEnd w:id="466"/>
      <w:r w:rsidRPr="0044257B">
        <w:t xml:space="preserve"> </w:t>
      </w:r>
    </w:p>
    <w:p w14:paraId="2AB5A3AA" w14:textId="77777777" w:rsidR="0044257B" w:rsidRPr="0044257B" w:rsidRDefault="0044257B" w:rsidP="00595321">
      <w:pPr>
        <w:pStyle w:val="Subsection"/>
      </w:pPr>
      <w:bookmarkStart w:id="467" w:name="_Toc100241931"/>
      <w:bookmarkStart w:id="468" w:name="_Toc102586295"/>
      <w:r w:rsidRPr="0044257B">
        <w:t>4.1.1 SARS-CoV-2 and the COVID-19 global pandemic.</w:t>
      </w:r>
      <w:bookmarkEnd w:id="467"/>
      <w:bookmarkEnd w:id="468"/>
      <w:r w:rsidRPr="0044257B">
        <w:t xml:space="preserve"> </w:t>
      </w:r>
    </w:p>
    <w:p w14:paraId="15548A9A" w14:textId="4DEB94E6" w:rsidR="0044257B" w:rsidRPr="0044257B" w:rsidRDefault="0044257B" w:rsidP="0044257B">
      <w:pPr>
        <w:spacing w:after="0"/>
        <w:ind w:firstLine="720"/>
        <w:rPr>
          <w:rFonts w:eastAsia="Times New Roman" w:cs="Times New Roman"/>
          <w:color w:val="000000"/>
          <w:szCs w:val="24"/>
        </w:rPr>
      </w:pPr>
      <w:r w:rsidRPr="0044257B">
        <w:rPr>
          <w:rFonts w:eastAsia="Times New Roman" w:cs="Times New Roman"/>
          <w:color w:val="000000"/>
          <w:szCs w:val="24"/>
        </w:rPr>
        <w:t>On March 11, 2020, the World Health Organization (WHO) released a monumental announcement declaring a global pandemic due to the outbreak of the novel severe acute respiratory syndrome coronavirus 2 (SARS-CoV-2). Widespread panic and general unrest immediately ensued as the coronavirus disease 2019 (COVID-19) rapidly spread at alarming rates and reached over 100 countries in less than three months.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{"citationID":"38p8U1n6","properties":{"formattedCitation":"\\super 1,2\\nosupersub{}","plainCitation":"1,2","noteIndex":0},"citationItems":[{"id":706,"uris":["http://zotero.org/users/6503767/items/PDJ2RPIS"],"itemData":{"id":706,"type":"webpage","abstract":"The Weekly Epidemiological Update provides an overview of the global, regional and country-level COVID-19 cases and deaths, highlighting key data and trends; as well as other pertinent epidemiological information concerning the COVID-19 pandemic.","language":"en","title":"Coronavirus Disease (COVID-19) Situation Reports","URL":"https://www.who.int/emergencies/diseases/novel-coronavirus-2019/situation-reports"}},{"id":711,"uris":["http://zotero.org/users/6503767/items/PYCZLLFR"],"itemData":{"id":711,"type":"webpage","abstract":"Devex tracks all the developments related to the coronavirus pandemic in 2020.","container-title":"Devex","title":"COVID-19 in 2020 — a timeline of the coronavirus outbreak","URL":"https://www.devex.com/news/sponsored/covid-19-in-2020-a-timeline-of-the-coronavirus-outbreak-99634","author":[{"family":"Ravelo","given":"Jenny Lei"},{"family":"Jerving","given":"Sara"}]}}],"schema":"https://github.com/citation-style-language/schema/raw/master/csl-citation.json"}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1,2</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The global death toll from coronavirus disease 2019 (COVID-19) surpassed 200,000 by April 2020, estimating a ~5.9% case fatality rate at the time.</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{"citationID":"SvMVhVaH","properties":{"formattedCitation":"\\super 3\\nosupersub{}","plainCitation":"3","noteIndex":0},"citationItems":[{"id":24,"uris":["http://zotero.org/users/6503767/items/Y7K44RN3"],"itemData":{"id":24,"type":"article-journal","abstract":"The COVID-19 pandemic caused by SARS-CoV-2 is a global health emergency. An attractive drug target among coronaviruses is the main protease (M\n              pro\n              , 3CL\n              pro\n              ), due to its essential role in processing the polyproteins that are translated from the viral RNA. We report the X-ray structures of the unliganded SARS-CoV-2 M\n              pro\n              and its complex with an α-ketoamide inhibitor. This was derived from a previously designed inhibitor but with the P3-P2 amide bond incorporated into a pyridone ring to enhance the half-life of the compound in plasma. Based on the structure, we developed the lead compound into a potent inhibitor of the SARS-CoV-2 M\n              pro\n              . The pharmacokinetic characterization of the optimized inhibitor reveals a pronounced lung tropism and suitability for administration by the inhalative route.","container-title":"Science","DOI":"10.1126/science.abb3405","ISSN":"0036-8075, 1095-9203","journalAbbreviation":"Science","language":"en","page":"eabb3405","source":"DOI.org (Crossref)","title":"Crystal structure of SARS-CoV-2 main protease provides a basis for design of improved α-ketoamide inhibitors","author":[{"family":"Zhang","given":"Linlin"},{"family":"Lin","given":"Daizong"},{"family":"Sun","given":"Xinyuanyuan"},{"family":"Curth","given":"Ute"},{"family":"Drosten","given":"Christian"},{"family":"Sauerhering","given":"Lucie"},{"family":"Becker","given":"Stephan"},{"family":"Rox","given":"Katharina"},{"family":"Hilgenfeld","given":"Rolf"}],"issued":{"date-parts":[["2020",3,20]]}}}],"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As of March 2022, we have been living through this pandemic for over two years, and ~490 million infections have been reported, resulting in over six million deaths.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{"citationID":"yLrN9YGH","properties":{"formattedCitation":"\\super 4\\nosupersub{}","plainCitation":"4","noteIndex":0},"citationItems":[{"id":699,"uris":["http://zotero.org/users/6503767/items/7VY6TGWK"],"itemData":{"id":699,"type":"article-journal","abstract":"Cross-border healthcare is an international agreement for the provision of out of country healthcare for citizens of partnered countries. The European Union (EU) has established itself as a world leader in cross-border healthcare. During the Coronavirus disease of 2019 (COVID-19) pandemic, the EU used this system to maximize utilization of resources. Countries with capacity accepted critically ill patients from overwhelmed nations, borders remained open to healthcare workers and those seeking medical care in an effort to share the burden of this pandemic. Significant research into the challenges and successes of cross-border healthcare was completed prior to COVID-19, which demonstrated significant benefit for patients.\nIn North America, the response to the COVID-19 crisis has been more isolationist. The Canada-United States border has been closed and bans placed on healthcare workers crossing the border for work. Prior to COVID-19, cross-border healthcare was rare in North America despite its need. We reviewed the literature surrounding cross-border healthcare in the EU, as well as the need for a similar system in North America. We found the EU cross-border healthcare agreements are generally mutually beneficial for participating countries. The North American literature suggested a cross-border healthcare system is feasible. A number of challenges could be identified based on the EU experience. A prior agreement may have been beneficial during the COVID-19 crisis as many Canadian healthcare institutions-maintained capacity to accept critically ill patients.\nIn addition to the tremendous loss of life due to coronavirus disease 2019 (COVID-19), the pandemic created challenges for the energy system, as strict confinement measures such as lockdown and social distancing compelled by governments worldwide resulted in a significant reduction in energy demand. In this study, a novel, quantitative and uncomplex method for estimating the energy consumption loss due to the pandemic, which was derived from epidemiological data in the beginning stages, is provided; the method bonds a data-driven prediction (LSTM network) of energy consumption due to COVID-19 to an econometric model (ARDL) so that the long- and short-term impact can be synthesized with adequate statistical validation. The results show that energy loss is statistically correlated with the time-changing effective reproductive number (Rt) of the disease, which can be viewed as quantifying confinement intensity and the severity of the earlier stages of the pandemic. We detected a 1.62% decrease in electricity consumption loss caused by each percent decrease in Rt on average. We verify our method by applying it to Germany and 5 U.S. states with various social features and discuss implications and universality. Our results bridge the knowledge gap between key energy and epidemiological parameters and provide policymakers with a more precise estimate of the pandemic’s impact on electricity demand so that strategies can be formulated to minimize losses caused by similar crises.","container-title":"The Lancet Infectious Diseases","DOI":"10.1016/S1473-3099(20)30120-1","ISSN":"1473-3099","issue":"5","journalAbbreviation":"The Lancet Infectious Diseases","language":"en","page":"533-534","source":"ScienceDirect","title":"An interactive web-based dashboard to track COVID-19 in real time","volume":"20","author":[{"family":"Dong","given":"Ensheng"},{"family":"Du","given":"Hongru"},{"family":"Gardner","given":"Lauren"}],"issued":{"date-parts":[["2020",5,1]]}}}],"schema":"https://github.com/citation-style-language/schema/raw/master/csl-citation.json"}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4</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In addition to pervasive infections, economies have been devastated,</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{"citationID":"C4c8np76","properties":{"formattedCitation":"\\super 5\\nosupersub{}","plainCitation":"5","noteIndex":0},"citationItems":[{"id":713,"uris":["http://zotero.org/users/6503767/items/QTHXUDK6"],"itemData":{"id":713,"type":"post-weblog","abstract":"The COVID-19 has exacted a significant toll on the global economy. This new analysis looks at the economic impacts in PEPFAR countries finding that these countries generally fared worse than their …","container-title":"KFF","language":"en-US","title":"Economic Impact of COVID-19 on PEPFAR Countries","URL":"https://www.kff.org/global-health-policy/issue-brief/economic-impact-of-covid-19-on-pepfar-countries/","author":[{"family":"Oum","given":"Stephanie"},{"family":"Kates","given":"Jennifer"},{"family":"Wexler","given":"Adam"}],"issued":{"date-parts":[["2022",2,7]]}}}],"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5</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healthcare systems are vastly overwhelmed,</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{"citationID":"TOrkQBhL","properties":{"formattedCitation":"\\super 6\\nosupersub{}","plainCitation":"6","noteIndex":0},"citationItems":[{"id":715,"uris":["http://zotero.org/users/6503767/items/H63XJ4VZ"],"itemData":{"id":715,"type":"webpage","abstract":"Prevention is key to making sure everyone in your community can get the care they need","container-title":"Cleveland Clinic","language":"en-US","note":"section: Family Medicine","title":"How Covid is Straining the Healthcare System","URL":"https://health.clevelandclinic.org/how-the-pandemic-is-straining-the-healthcare-system-and-what-you-can-do-to-help/","issued":{"date-parts":[["2020",12,7]]}}}],"schema":"https://github.com/citation-style-language/schema/raw/master/csl-citation.json"}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6</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and political dissension is on the rise.</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{"citationID":"1SsKgrh3","properties":{"formattedCitation":"\\super 7\\nosupersub{}","plainCitation":"7","noteIndex":0},"citationItems":[{"id":755,"uris":["http://zotero.org/users/6503767/items/Z53ZFRBD"],"itemData":{"id":755,"type":"article-magazine","abstract":"The problem is worst in middle-income countries","container-title":"The Economist","ISSN":"0013-0613","source":"The Economist","title":"The pandemic has exacerbated existing political discontent","URL":"https://www.economist.com/international/2021/07/31/the-pandemic-has-exacerbated-existing-political-discontent","issued":{"date-parts":[["2021",7,31]]}}}],"schema":"https://github.com/citation-style-language/schema/raw/master/csl-citation.json"}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7</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Virtually no home has been untouched by the consequences of this pandemic. Emergency department visits for suspected suicide attempts among adolescent girls (12 – 17 years old) increased by 26.2% and 50.6% during the summer and winter months of 2020, respectively, when compared with the corresponding periods in 2019.</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{"citationID":"3w4hXxt2","properties":{"formattedCitation":"\\super 8\\nosupersub{}","plainCitation":"8","noteIndex":0},"citationItems":[{"id":752,"uris":["http://zotero.org/users/6503767/items/MJ2D25ZN"],"itemData":{"id":752,"type":"article-journal","container-title":"Morbidity and Mortality Weekly Report","DOI":"10.15585/mmwr.mm7024e1","ISSN":"0149-2195","issue":"24","journalAbbreviation":"MMWR Morb Mortal Wkly Rep","note":"PMID: 34138833\nPMCID: PMC8220953","page":"888-894","source":"PubMed Central","title":"Emergency Department Visits for Suspected Suicide Attempts Among Persons Aged 12–25 Years Before and During the COVID-19 Pandemic — United States, January 2019–May 2021","volume":"70","author":[{"family":"Yard","given":"Ellen"},{"family":"Radhakrishnan","given":"Lakshmi"},{"family":"Ballesteros","given":"Michael F."},{"family":"Sheppard","given":"Michael"},{"family":"Gates","given":"Abigail"},{"family":"Stein","given":"Zachary"},{"family":"Hartnett","given":"Kathleen"},{"family":"Kite-Powell","given":"Aaron"},{"family":"Rodgers","given":"Loren"},{"family":"Adjemian","given":"Jennifer"},{"family":"Ehlman","given":"Daniel C."},{"family":"Holland","given":"Kristin"},{"family":"Idaikkadar","given":"Nimi"},{"family":"Ivey-Stephenson","given":"Asha"},{"family":"Martinez","given":"Pedro"},{"family":"Law","given":"Royal"},{"family":"Stone","given":"Deborah M."}],"issued":{"date-parts":[["2021",6,18]]}}}],"schema":"https://github.com/citation-style-language/schema/raw/master/csl-citation.json"}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8</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w:t>
      </w:r>
    </w:p>
    <w:p w14:paraId="6755E140" w14:textId="6091964A" w:rsidR="0044257B" w:rsidRPr="0044257B" w:rsidRDefault="0044257B" w:rsidP="0044257B">
      <w:pPr>
        <w:spacing w:after="0"/>
        <w:ind w:firstLine="720"/>
      </w:pPr>
      <w:bookmarkStart w:id="469" w:name="_Hlk100251025"/>
      <w:r w:rsidRPr="0044257B">
        <w:rPr>
          <w:rFonts w:eastAsia="Times New Roman" w:cs="Times New Roman"/>
          <w:color w:val="000000"/>
          <w:szCs w:val="24"/>
        </w:rPr>
        <w:t xml:space="preserve">With the world in turmoil, </w:t>
      </w:r>
      <w:bookmarkEnd w:id="469"/>
      <w:r w:rsidRPr="0044257B">
        <w:rPr>
          <w:rFonts w:eastAsia="Times New Roman" w:cs="Times New Roman"/>
          <w:color w:val="000000"/>
          <w:szCs w:val="24"/>
        </w:rPr>
        <w:t>scientists everywhere fully focused their research efforts to fight this pandemic, because the need for</w:t>
      </w:r>
      <w:r w:rsidR="00AB5BA8">
        <w:rPr>
          <w:rFonts w:eastAsia="Times New Roman" w:cs="Times New Roman"/>
          <w:color w:val="000000"/>
          <w:szCs w:val="24"/>
        </w:rPr>
        <w:t xml:space="preserve"> an</w:t>
      </w:r>
      <w:r w:rsidRPr="0044257B">
        <w:rPr>
          <w:rFonts w:eastAsia="Times New Roman" w:cs="Times New Roman"/>
          <w:color w:val="000000"/>
          <w:szCs w:val="24"/>
        </w:rPr>
        <w:t xml:space="preserve"> effective treatment was obvious and immediate. </w:t>
      </w:r>
      <w:r w:rsidRPr="0044257B">
        <w:rPr>
          <w:rFonts w:cs="Times New Roman"/>
          <w:bCs/>
          <w:szCs w:val="24"/>
        </w:rPr>
        <w:t>As several research labs including my own were forced to shut down to eliminate possible exposure and transmission of the airborne virus, scientists everywhere were implored to rally together to fight off the novel coronavirus SARS-CoV-2. For example</w:t>
      </w:r>
      <w:r w:rsidRPr="0044257B">
        <w:rPr>
          <w:rFonts w:eastAsia="Times New Roman" w:cs="Times New Roman"/>
          <w:color w:val="000000"/>
          <w:szCs w:val="24"/>
        </w:rPr>
        <w:t xml:space="preserve">, the Center for Systems Science and Engineering (CSSE) at Johns Hopkins University in Baltimore, Maryland developed an online interactive dashboard in response to this ongoing public health emergency. The database allows researchers, public health authorities, and the general public to visualize and track reported </w:t>
      </w:r>
      <w:r w:rsidRPr="0044257B">
        <w:rPr>
          <w:rFonts w:eastAsia="Times New Roman" w:cs="Times New Roman"/>
          <w:color w:val="000000"/>
          <w:szCs w:val="24"/>
        </w:rPr>
        <w:lastRenderedPageBreak/>
        <w:t>COVID-19 cases in real time.</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{"citationID":"MCbC91ow","properties":{"formattedCitation":"\\super 4\\nosupersub{}","plainCitation":"4","noteIndex":0},"citationItems":[{"id":699,"uris":["http://zotero.org/users/6503767/items/7VY6TGWK"],"itemData":{"id":699,"type":"article-journal","abstract":"Cross-border healthcare is an international agreement for the provision of out of country healthcare for citizens of partnered countries. The European Union (EU) has established itself as a world leader in cross-border healthcare. During the Coronavirus disease of 2019 (COVID-19) pandemic, the EU used this system to maximize utilization of resources. Countries with capacity accepted critically ill patients from overwhelmed nations, borders remained open to healthcare workers and those seeking medical care in an effort to share the burden of this pandemic. Significant research into the challenges and successes of cross-border healthcare was completed prior to COVID-19, which demonstrated significant benefit for patients.\nIn North America, the response to the COVID-19 crisis has been more isolationist. The Canada-United States border has been closed and bans placed on healthcare workers crossing the border for work. Prior to COVID-19, cross-border healthcare was rare in North America despite its need. We reviewed the literature surrounding cross-border healthcare in the EU, as well as the need for a similar system in North America. We found the EU cross-border healthcare agreements are generally mutually beneficial for participating countries. The North American literature suggested a cross-border healthcare system is feasible. A number of challenges could be identified based on the EU experience. A prior agreement may have been beneficial during the COVID-19 crisis as many Canadian healthcare institutions-maintained capacity to accept critically ill patients.\nIn addition to the tremendous loss of life due to coronavirus disease 2019 (COVID-19), the pandemic created challenges for the energy system, as strict confinement measures such as lockdown and social distancing compelled by governments worldwide resulted in a significant reduction in energy demand. In this study, a novel, quantitative and uncomplex method for estimating the energy consumption loss due to the pandemic, which was derived from epidemiological data in the beginning stages, is provided; the method bonds a data-driven prediction (LSTM network) of energy consumption due to COVID-19 to an econometric model (ARDL) so that the long- and short-term impact can be synthesized with adequate statistical validation. The results show that energy loss is statistically correlated with the time-changing effective reproductive number (Rt) of the disease, which can be viewed as quantifying confinement intensity and the severity of the earlier stages of the pandemic. We detected a 1.62% decrease in electricity consumption loss caused by each percent decrease in Rt on average. We verify our method by applying it to Germany and 5 U.S. states with various social features and discuss implications and universality. Our results bridge the knowledge gap between key energy and epidemiological parameters and provide policymakers with a more precise estimate of the pandemic’s impact on electricity demand so that strategies can be formulated to minimize losses caused by similar crises.","container-title":"The Lancet Infectious Diseases","DOI":"10.1016/S1473-3099(20)30120-1","ISSN":"1473-3099","issue":"5","journalAbbreviation":"The Lancet Infectious Diseases","language":"en","page":"533-534","source":"ScienceDirect","title":"An interactive web-based dashboard to track COVID-19 in real time","volume":"20","author":[{"family":"Dong","given":"Ensheng"},{"family":"Du","given":"Hongru"},{"family":"Gardner","given":"Lauren"}],"issued":{"date-parts":[["2020",5,1]]}}}],"schema":"https://github.com/citation-style-language/schema/raw/master/csl-citation.json"}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4</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The number of cases reported daily in the United States </w:t>
      </w:r>
      <w:r w:rsidRPr="0044257B">
        <w:t>is visualized in</w:t>
      </w:r>
      <w:r w:rsidR="007E41F6">
        <w:rPr>
          <w:b/>
          <w:bCs/>
        </w:rPr>
        <w:t xml:space="preserve"> </w:t>
      </w:r>
      <w:r w:rsidR="007E41F6">
        <w:rPr>
          <w:b/>
          <w:bCs/>
        </w:rPr>
        <w:fldChar w:fldCharType="begin"/>
      </w:r>
      <w:r w:rsidR="007E41F6">
        <w:rPr>
          <w:b/>
          <w:bCs/>
        </w:rPr>
        <w:instrText xml:space="preserve"> REF _Ref100745155 \h </w:instrText>
      </w:r>
      <w:r w:rsidR="007E41F6">
        <w:rPr>
          <w:b/>
          <w:bCs/>
        </w:rPr>
      </w:r>
      <w:r w:rsidR="007E41F6">
        <w:rPr>
          <w:b/>
          <w:bCs/>
        </w:rPr>
        <w:fldChar w:fldCharType="separate"/>
      </w:r>
      <w:r w:rsidR="00AA5AAC">
        <w:t>Figure 4.</w:t>
      </w:r>
      <w:r w:rsidR="00AA5AAC">
        <w:rPr>
          <w:noProof/>
        </w:rPr>
        <w:t>1</w:t>
      </w:r>
      <w:r w:rsidR="007E41F6">
        <w:rPr>
          <w:b/>
          <w:bCs/>
        </w:rPr>
        <w:fldChar w:fldCharType="end"/>
      </w:r>
      <w:r w:rsidRPr="0044257B">
        <w:t xml:space="preserve">, thanks to their database. You can see in </w:t>
      </w:r>
      <w:r w:rsidRPr="0044257B">
        <w:rPr>
          <w:b/>
          <w:bCs/>
        </w:rPr>
        <w:fldChar w:fldCharType="begin"/>
      </w:r>
      <w:r w:rsidRPr="0044257B">
        <w:rPr>
          <w:b/>
          <w:bCs/>
        </w:rPr>
        <w:instrText xml:space="preserve"> REF _Ref100255428 \h  \* MERGEFORMAT </w:instrText>
      </w:r>
      <w:r w:rsidRPr="0044257B">
        <w:rPr>
          <w:b/>
          <w:bCs/>
        </w:rPr>
      </w:r>
      <w:r w:rsidRPr="0044257B">
        <w:rPr>
          <w:b/>
          <w:bCs/>
        </w:rPr>
        <w:fldChar w:fldCharType="separate"/>
      </w:r>
      <w:r w:rsidR="00AA5AAC" w:rsidRPr="00AA5AAC">
        <w:rPr>
          <w:b/>
          <w:bCs/>
        </w:rPr>
        <w:t>Figure 4.</w:t>
      </w:r>
      <w:r w:rsidRPr="0044257B">
        <w:rPr>
          <w:b/>
          <w:bCs/>
        </w:rPr>
        <w:fldChar w:fldCharType="end"/>
      </w:r>
      <w:r w:rsidR="004F5DA7">
        <w:rPr>
          <w:b/>
          <w:bCs/>
        </w:rPr>
        <w:t>1</w:t>
      </w:r>
      <w:r w:rsidRPr="0044257B">
        <w:t xml:space="preserve"> that even after two years into the fight against COVID-19, the United States set their record for highest number of daily cases in January 2022 where 800k – 1.3 million new cases were reported almost every day. This pandemic is not over, and therefore, development of appropriate prevention and treatment techniques is still an ongoing </w:t>
      </w:r>
      <w:r w:rsidR="00AB5BA8">
        <w:t xml:space="preserve">and very worthy endeavor. </w:t>
      </w:r>
    </w:p>
    <w:p w14:paraId="64AF5400" w14:textId="77777777" w:rsidR="0044257B" w:rsidRPr="0044257B" w:rsidRDefault="0044257B" w:rsidP="0044257B">
      <w:pPr>
        <w:spacing w:after="0"/>
        <w:rPr>
          <w:rFonts w:cs="Times New Roman"/>
          <w:szCs w:val="24"/>
        </w:rPr>
      </w:pPr>
      <w:r w:rsidRPr="0044257B">
        <w:rPr>
          <w:rFonts w:cs="Times New Roman"/>
          <w:noProof/>
          <w:szCs w:val="24"/>
        </w:rPr>
        <mc:AlternateContent>
          <mc:Choice Requires="wps">
            <w:drawing>
              <wp:inline distT="0" distB="0" distL="0" distR="0" wp14:anchorId="40283E24" wp14:editId="62E4C823">
                <wp:extent cx="5943600" cy="3003550"/>
                <wp:effectExtent l="0" t="0" r="19050" b="25400"/>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003550"/>
                        </a:xfrm>
                        <a:prstGeom prst="rect">
                          <a:avLst/>
                        </a:prstGeom>
                        <a:solidFill>
                          <a:srgbClr val="FFFFFF"/>
                        </a:solidFill>
                        <a:ln w="9525">
                          <a:solidFill>
                            <a:srgbClr val="000000"/>
                          </a:solidFill>
                          <a:miter lim="800000"/>
                          <a:headEnd/>
                          <a:tailEnd/>
                        </a:ln>
                      </wps:spPr>
                      <wps:txbx>
                        <w:txbxContent>
                          <w:p w14:paraId="2BC2345D" w14:textId="77777777" w:rsidR="0044257B" w:rsidRDefault="0044257B" w:rsidP="0044257B">
                            <w:pPr>
                              <w:keepNext/>
                              <w:spacing w:after="0"/>
                            </w:pPr>
                            <w:r>
                              <w:rPr>
                                <w:noProof/>
                              </w:rPr>
                              <w:drawing>
                                <wp:inline distT="0" distB="0" distL="0" distR="0" wp14:anchorId="58E44CC0" wp14:editId="496157FD">
                                  <wp:extent cx="5783962" cy="2006600"/>
                                  <wp:effectExtent l="0" t="0" r="7620" b="0"/>
                                  <wp:docPr id="316" name="Picture 3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line chart&#10;&#10;Description automatically generated"/>
                                          <pic:cNvPicPr/>
                                        </pic:nvPicPr>
                                        <pic:blipFill rotWithShape="1">
                                          <a:blip r:embed="rId399">
                                            <a:extLst>
                                              <a:ext uri="{28A0092B-C50C-407E-A947-70E740481C1C}">
                                                <a14:useLocalDpi xmlns:a14="http://schemas.microsoft.com/office/drawing/2010/main" val="0"/>
                                              </a:ext>
                                            </a:extLst>
                                          </a:blip>
                                          <a:srcRect r="3069"/>
                                          <a:stretch/>
                                        </pic:blipFill>
                                        <pic:spPr bwMode="auto">
                                          <a:xfrm>
                                            <a:off x="0" y="0"/>
                                            <a:ext cx="5789082" cy="2008376"/>
                                          </a:xfrm>
                                          <a:prstGeom prst="rect">
                                            <a:avLst/>
                                          </a:prstGeom>
                                          <a:ln>
                                            <a:noFill/>
                                          </a:ln>
                                          <a:extLst>
                                            <a:ext uri="{53640926-AAD7-44D8-BBD7-CCE9431645EC}">
                                              <a14:shadowObscured xmlns:a14="http://schemas.microsoft.com/office/drawing/2010/main"/>
                                            </a:ext>
                                          </a:extLst>
                                        </pic:spPr>
                                      </pic:pic>
                                    </a:graphicData>
                                  </a:graphic>
                                </wp:inline>
                              </w:drawing>
                            </w:r>
                          </w:p>
                          <w:p w14:paraId="545FA156" w14:textId="3A552B2B" w:rsidR="0044257B" w:rsidRDefault="0044257B" w:rsidP="00DF51F5">
                            <w:pPr>
                              <w:pStyle w:val="Caption"/>
                            </w:pPr>
                            <w:bookmarkStart w:id="470" w:name="_Ref100255428"/>
                            <w:bookmarkStart w:id="471" w:name="_Ref100745155"/>
                            <w:bookmarkStart w:id="472" w:name="_Toc100243272"/>
                            <w:bookmarkStart w:id="473" w:name="_Toc100748326"/>
                            <w:r>
                              <w:t>Figure 4.</w:t>
                            </w:r>
                            <w:bookmarkEnd w:id="470"/>
                            <w:r w:rsidR="007E41F6">
                              <w:fldChar w:fldCharType="begin"/>
                            </w:r>
                            <w:r w:rsidR="007E41F6">
                              <w:instrText xml:space="preserve"> SEQ Figure \* ARABIC \r1 </w:instrText>
                            </w:r>
                            <w:r w:rsidR="007E41F6">
                              <w:fldChar w:fldCharType="separate"/>
                            </w:r>
                            <w:r w:rsidR="00AA5AAC">
                              <w:rPr>
                                <w:noProof/>
                              </w:rPr>
                              <w:t>1</w:t>
                            </w:r>
                            <w:r w:rsidR="007E41F6">
                              <w:fldChar w:fldCharType="end"/>
                            </w:r>
                            <w:bookmarkEnd w:id="471"/>
                            <w:r>
                              <w:t xml:space="preserve">. Daily COVID-19 cases in </w:t>
                            </w:r>
                            <w:bookmarkEnd w:id="472"/>
                            <w:r>
                              <w:t>the United States from April 2020 – April 2022</w:t>
                            </w:r>
                            <w:bookmarkEnd w:id="473"/>
                            <w:r>
                              <w:t xml:space="preserve"> </w:t>
                            </w:r>
                          </w:p>
                          <w:p w14:paraId="73BD4581" w14:textId="77777777" w:rsidR="0044257B" w:rsidRDefault="0044257B" w:rsidP="0044257B">
                            <w:pPr>
                              <w:spacing w:line="240" w:lineRule="auto"/>
                            </w:pPr>
                            <w:r>
                              <w:t xml:space="preserve">This data, available thanks to Johns Hopkins University, was last updated on March 29, </w:t>
                            </w:r>
                            <w:proofErr w:type="gramStart"/>
                            <w:r>
                              <w:t>2022</w:t>
                            </w:r>
                            <w:proofErr w:type="gramEnd"/>
                            <w:r>
                              <w:t xml:space="preserve"> at 06:34 AM EDT: </w:t>
                            </w:r>
                            <w:hyperlink r:id="rId400" w:history="1">
                              <w:r w:rsidRPr="00C07B5C">
                                <w:rPr>
                                  <w:rStyle w:val="Hyperlink"/>
                                </w:rPr>
                                <w:t>https://coronavirus.jhu.edu/pandemic-data-initiative</w:t>
                              </w:r>
                            </w:hyperlink>
                            <w:r>
                              <w:t xml:space="preserve"> </w:t>
                            </w:r>
                          </w:p>
                        </w:txbxContent>
                      </wps:txbx>
                      <wps:bodyPr rot="0" vert="horz" wrap="square" lIns="91440" tIns="45720" rIns="91440" bIns="45720" anchor="t" anchorCtr="0">
                        <a:noAutofit/>
                      </wps:bodyPr>
                    </wps:wsp>
                  </a:graphicData>
                </a:graphic>
              </wp:inline>
            </w:drawing>
          </mc:Choice>
          <mc:Fallback>
            <w:pict>
              <v:shape w14:anchorId="40283E24" id="_x0000_s1126" type="#_x0000_t202" style="width:468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">
                <v:textbox>
                  <w:txbxContent>
                    <w:p w14:paraId="2BC2345D" w14:textId="77777777" w:rsidR="0044257B" w:rsidRDefault="0044257B" w:rsidP="0044257B">
                      <w:pPr>
                        <w:keepNext/>
                        <w:spacing w:after="0"/>
                      </w:pPr>
                      <w:r>
                        <w:rPr>
                          <w:noProof/>
                        </w:rPr>
                        <w:drawing>
                          <wp:inline distT="0" distB="0" distL="0" distR="0" wp14:anchorId="58E44CC0" wp14:editId="496157FD">
                            <wp:extent cx="5783962" cy="2006600"/>
                            <wp:effectExtent l="0" t="0" r="7620" b="0"/>
                            <wp:docPr id="316" name="Picture 3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line chart&#10;&#10;Description automatically generated"/>
                                    <pic:cNvPicPr/>
                                  </pic:nvPicPr>
                                  <pic:blipFill rotWithShape="1">
                                    <a:blip r:embed="rId399">
                                      <a:extLst>
                                        <a:ext uri="{28A0092B-C50C-407E-A947-70E740481C1C}">
                                          <a14:useLocalDpi xmlns:a14="http://schemas.microsoft.com/office/drawing/2010/main" val="0"/>
                                        </a:ext>
                                      </a:extLst>
                                    </a:blip>
                                    <a:srcRect r="3069"/>
                                    <a:stretch/>
                                  </pic:blipFill>
                                  <pic:spPr bwMode="auto">
                                    <a:xfrm>
                                      <a:off x="0" y="0"/>
                                      <a:ext cx="5789082" cy="2008376"/>
                                    </a:xfrm>
                                    <a:prstGeom prst="rect">
                                      <a:avLst/>
                                    </a:prstGeom>
                                    <a:ln>
                                      <a:noFill/>
                                    </a:ln>
                                    <a:extLst>
                                      <a:ext uri="{53640926-AAD7-44D8-BBD7-CCE9431645EC}">
                                        <a14:shadowObscured xmlns:a14="http://schemas.microsoft.com/office/drawing/2010/main"/>
                                      </a:ext>
                                    </a:extLst>
                                  </pic:spPr>
                                </pic:pic>
                              </a:graphicData>
                            </a:graphic>
                          </wp:inline>
                        </w:drawing>
                      </w:r>
                    </w:p>
                    <w:p w14:paraId="545FA156" w14:textId="3A552B2B" w:rsidR="0044257B" w:rsidRDefault="0044257B" w:rsidP="00DF51F5">
                      <w:pPr>
                        <w:pStyle w:val="Caption"/>
                      </w:pPr>
                      <w:bookmarkStart w:id="474" w:name="_Ref100255428"/>
                      <w:bookmarkStart w:id="475" w:name="_Ref100745155"/>
                      <w:bookmarkStart w:id="476" w:name="_Toc100243272"/>
                      <w:bookmarkStart w:id="477" w:name="_Toc100748326"/>
                      <w:r>
                        <w:t>Figure 4.</w:t>
                      </w:r>
                      <w:bookmarkEnd w:id="474"/>
                      <w:r w:rsidR="007E41F6">
                        <w:fldChar w:fldCharType="begin"/>
                      </w:r>
                      <w:r w:rsidR="007E41F6">
                        <w:instrText xml:space="preserve"> SEQ Figure \* ARABIC \r1 </w:instrText>
                      </w:r>
                      <w:r w:rsidR="007E41F6">
                        <w:fldChar w:fldCharType="separate"/>
                      </w:r>
                      <w:r w:rsidR="00AA5AAC">
                        <w:rPr>
                          <w:noProof/>
                        </w:rPr>
                        <w:t>1</w:t>
                      </w:r>
                      <w:r w:rsidR="007E41F6">
                        <w:fldChar w:fldCharType="end"/>
                      </w:r>
                      <w:bookmarkEnd w:id="475"/>
                      <w:r>
                        <w:t xml:space="preserve">. Daily COVID-19 cases in </w:t>
                      </w:r>
                      <w:bookmarkEnd w:id="476"/>
                      <w:r>
                        <w:t>the United States from April 2020 – April 2022</w:t>
                      </w:r>
                      <w:bookmarkEnd w:id="477"/>
                      <w:r>
                        <w:t xml:space="preserve"> </w:t>
                      </w:r>
                    </w:p>
                    <w:p w14:paraId="73BD4581" w14:textId="77777777" w:rsidR="0044257B" w:rsidRDefault="0044257B" w:rsidP="0044257B">
                      <w:pPr>
                        <w:spacing w:line="240" w:lineRule="auto"/>
                      </w:pPr>
                      <w:r>
                        <w:t xml:space="preserve">This data, available thanks to Johns Hopkins University, was last updated on March 29, </w:t>
                      </w:r>
                      <w:proofErr w:type="gramStart"/>
                      <w:r>
                        <w:t>2022</w:t>
                      </w:r>
                      <w:proofErr w:type="gramEnd"/>
                      <w:r>
                        <w:t xml:space="preserve"> at 06:34 AM EDT: </w:t>
                      </w:r>
                      <w:hyperlink r:id="rId401" w:history="1">
                        <w:r w:rsidRPr="00C07B5C">
                          <w:rPr>
                            <w:rStyle w:val="Hyperlink"/>
                          </w:rPr>
                          <w:t>https://coronavirus.jhu.edu/pandemic-data-initiative</w:t>
                        </w:r>
                      </w:hyperlink>
                      <w:r>
                        <w:t xml:space="preserve"> </w:t>
                      </w:r>
                    </w:p>
                  </w:txbxContent>
                </v:textbox>
                <w10:anchorlock/>
              </v:shape>
            </w:pict>
          </mc:Fallback>
        </mc:AlternateContent>
      </w:r>
    </w:p>
    <w:p w14:paraId="35367897" w14:textId="4D8615D8" w:rsidR="0044257B" w:rsidRPr="0044257B" w:rsidRDefault="0044257B" w:rsidP="0044257B">
      <w:pPr>
        <w:spacing w:after="0"/>
        <w:ind w:firstLine="720"/>
        <w:rPr>
          <w:rFonts w:cs="Times New Roman"/>
          <w:bCs/>
          <w:szCs w:val="24"/>
        </w:rPr>
      </w:pPr>
      <w:r w:rsidRPr="0044257B">
        <w:rPr>
          <w:rFonts w:cs="Times New Roman"/>
          <w:bCs/>
          <w:szCs w:val="24"/>
        </w:rPr>
        <w:t xml:space="preserve">On a personal note, when the University of Oklahoma (OU) forced the closure of research labs starting on March 24, 2020, with no plans of reopening, it was the first time in my scientific career where I was incapable and unallowed to continue research. Working from home as a synthetic chemist proved to be rather difficult and, ultimately, unproductive, so when my university generously requested for research proposals to join in the fight against COVID-19, I jumped at the chance of returning to the lab. The </w:t>
      </w:r>
      <w:r w:rsidRPr="0044257B">
        <w:t xml:space="preserve">Office of the Vice President for Research and Partnerships (OVPRP) at the University of Oklahoma created the COVID-19 Rapid Response Research Seed Grant, offering an opportunity for research groups to contribute to the growing </w:t>
      </w:r>
      <w:r w:rsidRPr="0044257B">
        <w:lastRenderedPageBreak/>
        <w:t xml:space="preserve">global efforts. </w:t>
      </w:r>
      <w:r w:rsidRPr="0044257B">
        <w:rPr>
          <w:rFonts w:cs="Times New Roman"/>
          <w:bCs/>
          <w:szCs w:val="24"/>
        </w:rPr>
        <w:t xml:space="preserve">My colleagues, Mr. Quentin </w:t>
      </w:r>
      <w:proofErr w:type="gramStart"/>
      <w:r w:rsidRPr="0044257B">
        <w:rPr>
          <w:rFonts w:cs="Times New Roman"/>
          <w:bCs/>
          <w:szCs w:val="24"/>
        </w:rPr>
        <w:t>Avila</w:t>
      </w:r>
      <w:proofErr w:type="gramEnd"/>
      <w:r w:rsidRPr="0044257B">
        <w:rPr>
          <w:rFonts w:cs="Times New Roman"/>
          <w:bCs/>
          <w:szCs w:val="24"/>
        </w:rPr>
        <w:t xml:space="preserve"> and Ms. Katelyn Stevens, and I worked together to submit a proposal where we aimed to </w:t>
      </w:r>
      <w:r w:rsidR="00AB5BA8">
        <w:rPr>
          <w:rFonts w:cs="Times New Roman"/>
          <w:bCs/>
          <w:szCs w:val="24"/>
        </w:rPr>
        <w:t>leverage</w:t>
      </w:r>
      <w:r w:rsidRPr="0044257B">
        <w:rPr>
          <w:rFonts w:cs="Times New Roman"/>
          <w:bCs/>
          <w:szCs w:val="24"/>
        </w:rPr>
        <w:t xml:space="preserve"> our lab’s</w:t>
      </w:r>
      <w:r w:rsidR="00AB5BA8">
        <w:rPr>
          <w:rFonts w:cs="Times New Roman"/>
          <w:bCs/>
          <w:szCs w:val="24"/>
        </w:rPr>
        <w:t xml:space="preserve"> expertise in developing small molecule protease modulators to design</w:t>
      </w:r>
      <w:r w:rsidRPr="0044257B">
        <w:rPr>
          <w:rFonts w:cs="Times New Roman"/>
          <w:bCs/>
          <w:szCs w:val="24"/>
        </w:rPr>
        <w:t xml:space="preserve"> SARS-CoV-2 main protease </w:t>
      </w:r>
      <w:r w:rsidRPr="0044257B">
        <w:rPr>
          <w:rFonts w:cs="Times New Roman"/>
          <w:szCs w:val="24"/>
        </w:rPr>
        <w:t>(</w:t>
      </w:r>
      <w:proofErr w:type="spellStart"/>
      <w:r w:rsidRPr="0044257B">
        <w:rPr>
          <w:rFonts w:cs="Times New Roman"/>
          <w:szCs w:val="24"/>
        </w:rPr>
        <w:t>M</w:t>
      </w:r>
      <w:r w:rsidRPr="0044257B">
        <w:rPr>
          <w:rFonts w:cs="Times New Roman"/>
          <w:szCs w:val="24"/>
          <w:vertAlign w:val="superscript"/>
        </w:rPr>
        <w:t>pro</w:t>
      </w:r>
      <w:proofErr w:type="spellEnd"/>
      <w:r w:rsidRPr="0044257B">
        <w:rPr>
          <w:rFonts w:cs="Times New Roman"/>
          <w:szCs w:val="24"/>
        </w:rPr>
        <w:t>)</w:t>
      </w:r>
      <w:r w:rsidRPr="0044257B">
        <w:rPr>
          <w:rFonts w:cs="Times New Roman"/>
          <w:bCs/>
          <w:szCs w:val="24"/>
        </w:rPr>
        <w:t xml:space="preserve"> inhibitors. </w:t>
      </w:r>
    </w:p>
    <w:p w14:paraId="05BD049D" w14:textId="5AAFDA18" w:rsidR="0044257B" w:rsidRPr="0044257B" w:rsidRDefault="0044257B" w:rsidP="0044257B">
      <w:pPr>
        <w:spacing w:after="0"/>
        <w:ind w:firstLine="720"/>
        <w:rPr>
          <w:rFonts w:eastAsia="Times New Roman" w:cs="Times New Roman"/>
          <w:color w:val="000000"/>
          <w:szCs w:val="24"/>
        </w:rPr>
      </w:pPr>
      <w:r w:rsidRPr="0044257B">
        <w:t>Since our lab had already built a ~300 compound small molecule library while developing protease</w:t>
      </w:r>
      <w:r w:rsidRPr="0044257B">
        <w:fldChar w:fldCharType="begin"/>
      </w:r>
      <w:r w:rsidRPr="0044257B">
        <w:instrText xml:space="preserve"> ADDIN ZOTERO_ITEM CSL_CITATION {"citationID":"Wrx3Hofe","properties":{"formattedCitation":"\\super 9\\nosupersub{}","plainCitation":"9","noteIndex":0},"citationItems":[{"id":563,"uris":["http://zotero.org/users/6503767/items/J85PFQKF"],"itemData":{"id":563,"type":"article-journal","abstract":"Caseinolytic protease P (ClpP) has emerged as a promising new target for antibacterial development. While ClpPs from single isoform expressing bacteria have been studied in detail, the function and regulation of systems with more than one ClpP homologue are still poorly understood. Herein, we present fundamental studies toward understanding the ClpP system in C. difficile, an anaerobic spore-forming pathogen that contains two chromosomally distant isoforms of ClpP. Examination of proteomic and genomic data suggest that ClpP1 is the primary isoform responsible for normal growth and virulence, but little is known about the function of ClpP2 or the context required for the formation of functional proteases. For the first time in a pathogenic bacterium, we demonstrate that both isoforms are capable of forming operative proteases. Interestingly, ClpP1 is the only homologue that possesses characteristic response to small molecule acyldepsipeptide activation. On the contrary, both ClpP1 and ClpP2 respond to cochaperone activation to degrade an ssrA-tagged substrate. These observations indicate that ClpP2 is less susceptible to acyldepsipeptide activation but retains the ability to interact with a known cochaperone. Homology models reveal no obvious characteristics that would allow one to predict less efficient acyldepsipeptide binding. The reported findings establish the uniqueness of the ClpP system in C. difficile, open new avenues of inquiry, and highlight the importance of more detailed structural, genetic, and biological characterization of the ClpP system in C. difficile.","container-title":"ACS Infectious Diseases","DOI":"10.1021/acsinfecdis.8b00199","issue":"1","journalAbbreviation":"ACS Infect. Dis.","note":"publisher: American Chemical Society","page":"79-89","source":"ACS Publications","title":"Clostridium difficile ClpP Homologues are Capable of Uncoupled Activity and Exhibit Different Levels of Susceptibility to Acyldepsipeptide Modulation","volume":"5","author":[{"family":"Lavey","given":"Nathan P."},{"family":"Shadid","given":"Tyler"},{"family":"Ballard","given":"Jimmy D."},{"family":"Duerfeldt","given":"Adam S."}],"issued":{"date-parts":[["2019",1,11]]}}}],"schema":"https://github.com/citation-style-language/schema/raw/master/csl-citation.json"} </w:instrText>
      </w:r>
      <w:r w:rsidRPr="0044257B">
        <w:fldChar w:fldCharType="separate"/>
      </w:r>
      <w:r w:rsidRPr="0044257B">
        <w:rPr>
          <w:rFonts w:cs="Times New Roman"/>
          <w:szCs w:val="24"/>
          <w:vertAlign w:val="superscript"/>
        </w:rPr>
        <w:t>9</w:t>
      </w:r>
      <w:r w:rsidRPr="0044257B">
        <w:fldChar w:fldCharType="end"/>
      </w:r>
      <w:r w:rsidRPr="0044257B">
        <w:t xml:space="preserve"> and phosphatase</w:t>
      </w:r>
      <w:r w:rsidRPr="0044257B">
        <w:fldChar w:fldCharType="begin"/>
      </w:r>
      <w:r w:rsidRPr="0044257B">
        <w:instrText xml:space="preserve"> ADDIN ZOTERO_ITEM CSL_CITATION {"citationID":"W1zZSN25","properties":{"formattedCitation":"\\super 10\\nosupersub{}","plainCitation":"10","noteIndex":0},"citationItems":[{"id":95,"uris":["http://zotero.org/users/6503767/items/ZK39M2HV"],"itemData":{"id":95,"type":"article-journal","abstract":"Genetic activation of the bacterial two-component signal transduction system, CpxRA, abolishes the virulence of a number of pathogens in human and murine infection models. Recently, 2,3,4,9-tetrahydro-1H-carbazol-1amines were shown to activate the CpxRA system by inhibiting the phosphatase activity of CpxA. Herein we report the initial structure-activity relationships of this scaffold by focusing on three approaches 1) A-ring substitution, 2) B-ring deconstruction to provide N-arylated amino acid derivatives, and 3) C-ring elimination to give 2-ethylamino substituted indoles. These studies demonstrate that the A-ring is amenable to functionalization and provides a promising avenue for continued optimization of this chemotype. Further investigations revealed that the C-ring is not necessary for activity, although it likely provides conformational constraint that is beneficial to potency, and that the (R) stereochemistry is required at the primary amine. Simplification of the scaffold through deconstruction of the B-ring led to inactive compounds, highlighting the importance of the indole core. A new lead compound 26 was identified, which manifests a </w:instrText>
      </w:r>
      <w:r w:rsidRPr="0044257B">
        <w:rPr>
          <w:rFonts w:ascii="Cambria Math" w:hAnsi="Cambria Math" w:cs="Cambria Math"/>
        </w:rPr>
        <w:instrText>∼</w:instrText>
      </w:r>
      <w:r w:rsidRPr="0044257B">
        <w:instrText xml:space="preserve">30-fold improvement in CpxA phosphatase inhibition over the initial hit. Comparison of amino and des-amino derivatives in bacterial strains differing in membrane permeability and efflux capabilities demonstrate that the amine is required not only for target engagement but also for permeation and accumulation in Escherichia coli.","container-title":"Bioorganic &amp; Medicinal Chemistry Letters","DOI":"10.1016/j.bmcl.2019.05.003","ISSN":"0960894X","issue":"14","journalAbbreviation":"Bioorganic &amp; Medicinal Chemistry Letters","language":"en","page":"1836-1841","source":"DOI.org (Crossref)","title":"First-generation structure-activity relationship studies of 2,3,4,9-tetrahydro-1H-carbazol-1-amines as CpxA phosphatase inhibitors","volume":"29","author":[{"family":"Li","given":"Yangxiong"},{"family":"Gardner","given":"Jessi J."},{"family":"Fortney","given":"Katherine R."},{"family":"Leus","given":"Inga V."},{"family":"Bonifay","given":"Vincent"},{"family":"Zgurskaya","given":"Helen I."},{"family":"Pletnev","given":"Alexandre A."},{"family":"Zhang","given":"Sheng"},{"family":"Zhang","given":"Zhong-Yin"},{"family":"Gribble","given":"Gordon W."},{"family":"Spinola","given":"Stanley M."},{"family":"Duerfeldt","given":"Adam S."}],"issued":{"date-parts":[["2019",7]]}}}],"schema":"https://github.com/citation-style-language/schema/raw/master/csl-citation.json"} </w:instrText>
      </w:r>
      <w:r w:rsidRPr="0044257B">
        <w:fldChar w:fldCharType="separate"/>
      </w:r>
      <w:r w:rsidRPr="0044257B">
        <w:rPr>
          <w:rFonts w:cs="Times New Roman"/>
          <w:szCs w:val="24"/>
          <w:vertAlign w:val="superscript"/>
        </w:rPr>
        <w:t>10</w:t>
      </w:r>
      <w:r w:rsidRPr="0044257B">
        <w:fldChar w:fldCharType="end"/>
      </w:r>
      <w:r w:rsidRPr="0044257B">
        <w:t xml:space="preserve"> </w:t>
      </w:r>
      <w:r w:rsidR="00967DF3">
        <w:t>modulators</w:t>
      </w:r>
      <w:r w:rsidRPr="0044257B">
        <w:t xml:space="preserve"> for bacterial targets, we were curious to see if any of our existing compounds were active against SARS-CoV-2. Although bacterial and viral targets exhibit obvious differences and each organism should be studied individually,</w:t>
      </w:r>
      <w:r w:rsidRPr="0044257B">
        <w:fldChar w:fldCharType="begin"/>
      </w:r>
      <w:r w:rsidRPr="0044257B">
        <w:instrText xml:space="preserve"> ADDIN ZOTERO_ITEM CSL_CITATION {"citationID":"OpOQxdpQ","properties":{"formattedCitation":"\\super 11\\nosupersub{}","plainCitation":"11","noteIndex":0},"citationItems":[{"id":889,"uris":["http://zotero.org/users/6503767/items/EAFUE5Q5"],"itemData":{"id":889,"type":"article-journal","abstract":"Across the diverse biological systems discussed in this Review, the underlying principles concerning the mechanisms and dynamics of resistance development are similar.Drug resistance has emerged in all biological systems in which drugs are used as a standard therapeutic strategy to control infections or cancer. There is an urgent need not only to develop new drugs to support effective therapy but also to develop a better understanding of the underlying mechanisms and forces that drive resistance development.Large population sizes and/or high mutation rates ensure that the emergence of drug resistance is not limited by mutation supply in HIV, in many bacterial infections or in human cancers. Mutation supply may be a limiting factor for fungal and parasitic infections.Horizontal gene transfer (HGT) from a very broad gene pool substantially contributes to the emergence of drug resistance in bacteria but is absent as a source of genetic variation in the other systems discussed. We currently know very little about the dynamics and trajectories of HGT events and have a very poor ability to make predictions.The study and understanding of the dynamics of growth and competition within complex populations subjected to drug therapy are being advanced by the increasing application of next-generation sequencing technologies.In biological systems in which resistance emergence has long been acknowledged to be a problem (particularly HIV infection and human cancer), therapy with combinations of drugs is standard of care. The systematic use of drug combinations in the treatment of bacterial, fungal and parasitic infections might be the most effective short-term means to slow resistance emergence.","container-title":"Nature Reviews Genetics","DOI":"10.1038/nrg3922","ISSN":"1471-0064","issue":"8","journalAbbreviation":"Nat Rev Genet","language":"en","note":"number: 8\npublisher: Nature Publishing Group","page":"459-471","source":"www-nature-com.ezproxy.lib.ou.edu","title":"Evolutionary consequences of drug resistance: shared principles across diverse targets and organisms","title-short":"Evolutionary consequences of drug resistance","volume":"16","author":[{"family":"Hughes","given":"Diarmaid"},{"family":"Andersson","given":"Dan I."}],"issued":{"date-parts":[["2015",8]]}}}],"schema":"https://github.com/citation-style-language/schema/raw/master/csl-citation.json"} </w:instrText>
      </w:r>
      <w:r w:rsidRPr="0044257B">
        <w:fldChar w:fldCharType="separate"/>
      </w:r>
      <w:r w:rsidRPr="0044257B">
        <w:rPr>
          <w:rFonts w:cs="Times New Roman"/>
          <w:szCs w:val="24"/>
          <w:vertAlign w:val="superscript"/>
        </w:rPr>
        <w:t>11</w:t>
      </w:r>
      <w:r w:rsidRPr="0044257B">
        <w:fldChar w:fldCharType="end"/>
      </w:r>
      <w:r w:rsidRPr="0044257B">
        <w:t xml:space="preserve"> there were significant structural similarities between the compounds in our library and compounds with reported antiviral activity against coronaviruses (discussed more in-depth in </w:t>
      </w:r>
      <w:r w:rsidRPr="0044257B">
        <w:rPr>
          <w:b/>
          <w:bCs/>
        </w:rPr>
        <w:t>Section 4.2.1</w:t>
      </w:r>
      <w:r w:rsidRPr="0044257B">
        <w:t xml:space="preserve">). This, along with </w:t>
      </w:r>
      <w:r w:rsidRPr="0044257B">
        <w:rPr>
          <w:i/>
          <w:iCs/>
        </w:rPr>
        <w:t>in silico</w:t>
      </w:r>
      <w:r w:rsidRPr="0044257B">
        <w:t xml:space="preserve"> modelling of SARS-</w:t>
      </w:r>
      <w:proofErr w:type="spellStart"/>
      <w:r w:rsidRPr="0044257B">
        <w:t>CoV</w:t>
      </w:r>
      <w:proofErr w:type="spellEnd"/>
      <w:r w:rsidR="00967DF3">
        <w:t xml:space="preserve"> </w:t>
      </w:r>
      <w:proofErr w:type="spellStart"/>
      <w:r w:rsidR="00967DF3">
        <w:t>M</w:t>
      </w:r>
      <w:r w:rsidR="00967DF3" w:rsidRPr="00D07FFE">
        <w:rPr>
          <w:vertAlign w:val="superscript"/>
        </w:rPr>
        <w:t>pro</w:t>
      </w:r>
      <w:proofErr w:type="spellEnd"/>
      <w:r w:rsidRPr="0044257B">
        <w:t xml:space="preserve"> homologues (discussed more in-depth in </w:t>
      </w:r>
      <w:r w:rsidRPr="0044257B">
        <w:rPr>
          <w:b/>
          <w:bCs/>
        </w:rPr>
        <w:t>Section 4.2.2</w:t>
      </w:r>
      <w:r w:rsidRPr="0044257B">
        <w:t xml:space="preserve">), inspired us to expand the chemical space of the current arsenal of coronavirus-active drugs. Our strategy consisted of two </w:t>
      </w:r>
      <w:r w:rsidR="00967DF3">
        <w:t>objectives</w:t>
      </w:r>
      <w:r w:rsidRPr="0044257B">
        <w:t>: (1) screen our existing small molecule library via phenotypic viral replication inhibition assays, and (2) design and synthesize new SARS-CoV-2 protease inhibitors through a fragment-based approach.</w:t>
      </w:r>
      <w:r w:rsidRPr="0044257B">
        <w:rPr>
          <w:rFonts w:eastAsia="Times New Roman" w:cs="Times New Roman"/>
          <w:color w:val="000000"/>
          <w:szCs w:val="24"/>
        </w:rPr>
        <w:t xml:space="preserve"> </w:t>
      </w:r>
    </w:p>
    <w:p w14:paraId="3F66A0A6" w14:textId="77777777" w:rsidR="0044257B" w:rsidRPr="0044257B" w:rsidRDefault="0044257B" w:rsidP="00595321">
      <w:pPr>
        <w:pStyle w:val="Subsection"/>
      </w:pPr>
      <w:bookmarkStart w:id="478" w:name="_Toc100241932"/>
      <w:bookmarkStart w:id="479" w:name="_Toc102586296"/>
      <w:r w:rsidRPr="0044257B">
        <w:t>4.1.2 Learning from older coronaviruses: potential antiviral targets.</w:t>
      </w:r>
      <w:bookmarkEnd w:id="478"/>
      <w:bookmarkEnd w:id="479"/>
    </w:p>
    <w:p w14:paraId="5F2DE12F" w14:textId="1C261826" w:rsidR="0044257B" w:rsidRPr="0044257B" w:rsidRDefault="0044257B" w:rsidP="0044257B">
      <w:pPr>
        <w:spacing w:after="0"/>
        <w:ind w:firstLine="720"/>
        <w:rPr>
          <w:rFonts w:eastAsia="Times New Roman" w:cs="Times New Roman"/>
          <w:color w:val="000000"/>
          <w:szCs w:val="24"/>
        </w:rPr>
      </w:pPr>
      <w:r w:rsidRPr="0044257B">
        <w:rPr>
          <w:rFonts w:eastAsia="Times New Roman" w:cs="Times New Roman"/>
          <w:color w:val="000000"/>
          <w:szCs w:val="24"/>
        </w:rPr>
        <w:t>Coronaviruses have been a major public health concern since the beginning of the 21</w:t>
      </w:r>
      <w:r w:rsidRPr="0044257B">
        <w:rPr>
          <w:rFonts w:eastAsia="Times New Roman" w:cs="Times New Roman"/>
          <w:color w:val="000000"/>
          <w:szCs w:val="24"/>
          <w:vertAlign w:val="superscript"/>
        </w:rPr>
        <w:t>st</w:t>
      </w:r>
      <w:r w:rsidRPr="0044257B">
        <w:rPr>
          <w:rFonts w:eastAsia="Times New Roman" w:cs="Times New Roman"/>
          <w:color w:val="000000"/>
          <w:szCs w:val="24"/>
        </w:rPr>
        <w:t xml:space="preserve"> century because of the highly contagious and lethal respiratory diseases they cause. Named after their crown-like appearance, coronaviruses are positive sense, single stranded RNA viruses that cause disease in mammals and birds.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{"citationID":"MKPqdst1","properties":{"formattedCitation":"\\super 12\\nosupersub{}","plainCitation":"12","noteIndex":0},"citationItems":[{"id":757,"uris":["http://zotero.org/users/6503767/items/NAWYCVCS"],"itemData":{"id":757,"type":"article-journal","abstract":"The drastic increase in the number of coronaviruses discovered and coronavirus genomes being sequenced have given us an unprecedented opportunity to perform genomics and bioinformatics analysis on this family of viruses. Coronaviruses possess the largest genomes (26.4 to 31.7 kb) among all known RNA viruses, with G + C contents varying from 32% to 43%. Variable numbers of small ORFs are present between the various conserved genes (ORF1ab, spike, envelope, membrane and nucleocapsid) and downstream to nucleocapsid gene in different coronavirus lineages. Phylogenetically, three genera, Alphacoronavirus, Betacoronavirus and Gammacoronavirus, with Betacoronavirus consisting of subgroups A, B, C and D, exist. A fourth genus, Deltacoronavirus, which includes bulbul coronavirus HKU11, thrush coronavirus HKU12 and munia coronavirus HKU13, is emerging. Molecular clock analysis using various gene loci revealed that the time of most recent common ancestor of human/civet SARS related coronavirus to be 1999-2002, with estimated substitution rate of 4´10-4 to 2´10-2 substitutions per site per year. Recombination in coronaviruses was most notable between different strains of murine hepatitis virus (MHV), between different strains of infectious bronchitis virus, between MHV and bovine coronavirus, between feline coronavirus (FCoV) type I and canine coronavirus generating FCoV type II, and between the three genotypes of human coronavirus HKU1 (HCoV-HKU1). Codon usage bias in coronaviruses were observed, with HCoV-HKU1 showing the most extreme bias, and cytosine deamination and selection of CpG suppressed clones are the two major independent biological forces that shape such codon usage bias in coronaviruses.","container-title":"Viruses","DOI":"10.3390/v2081803","ISSN":"1999-4915","issue":"8","language":"en","note":"number: 8\npublisher: Molecular Diversity Preservation International","page":"1804-1820","source":"www.mdpi.com","title":"Coronavirus Genomics and Bioinformatics Analysis","volume":"2","author":[{"family":"Woo","given":"Patrick C. Y."},{"family":"Huang","given":"Yi"},{"family":"Lau","given":"Susanna K. P."},{"family":"Yuen","given":"Kwok-Yung"}],"issued":{"date-parts":[["2010",8]]}}}],"schema":"https://github.com/citation-style-language/schema/raw/master/csl-citation.json"}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12</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There are seven reported human coronaviruses, and each are predominantly transmitted through respiratory droplets, allowing for easy human-to-human transmission.</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{"citationID":"f575gHFl","properties":{"formattedCitation":"\\super 13\\nosupersub{}","plainCitation":"13","noteIndex":0},"citationItems":[{"id":760,"uris":["http://zotero.org/users/6503767/items/Y2JGMTQG"],"itemData":{"id":760,"type":"article-journal","abstract":"Most humans are in contact with animals in a way or another. A zoonotic disease is a disease or infection that can be transmitted naturally from vertebrate animals to humans or from humans to vertebrate animals. More than 60% of human pathogens are zoonotic in origin. This includes a wide variety of bacteria, viruses, fungi, protozoa, parasites, and other pathogens. Factors such as climate change, urbanization, animal migration and trade, travel and tourism, vector biology, anthropogenic factors, and natural factors have greatly influenced the emergence, re-emergence, distribution, and patterns of zoonoses. As time goes on, there are more emerging and re-emerging zoonotic diseases. In this review, we reviewed the etiology of major zoonotic diseases, their impact on human health, and control measures for better management. We also highlighted COVID-19, a newly emerging zoonotic disease of likely bat origin that has affected millions of humans along with devastating global consequences. The implementation of One Health measures is highly recommended for the effective prevention and control of possible zoonosis.","container-title":"Microorganisms","DOI":"10.3390/microorganisms8091405","ISSN":"2076-2607","issue":"9","journalAbbreviation":"Microorganisms","note":"PMID: 32932606\nPMCID: PMC7563794","page":"1405","source":"PubMed Central","title":"Zoonotic Diseases: Etiology, Impact, and Control","title-short":"Zoonotic Diseases","volume":"8","author":[{"family":"Rahman","given":"Md. Tanvir"},{"family":"Sobur","given":"Md. Abdus"},{"family":"Islam","given":"Md. Saiful"},{"family":"Ievy","given":"Samina"},{"family":"Hossain","given":"Md. Jannat"},{"family":"El Zowalaty","given":"Mohamed E."},{"family":"Rahman","given":"AMM Taufiquer"},{"family":"Ashour","given":"Hossam M."}],"issued":{"date-parts":[["2020",9,12]]}}}],"schema":"https://github.com/citation-style-language/schema/raw/master/csl-citation.json"}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13</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Structurally, the coronavirus nucleocapsid (N) protein, involved in packaging the RNA genome, is enveloped by a lipid bilayer that anchors the membrane (M), envelope (E), and spike (S) proteins (</w:t>
      </w:r>
      <w:r w:rsidR="007E41F6" w:rsidRPr="007E41F6">
        <w:rPr>
          <w:rFonts w:eastAsia="Times New Roman" w:cs="Times New Roman"/>
          <w:b/>
          <w:bCs/>
          <w:color w:val="000000"/>
          <w:szCs w:val="24"/>
        </w:rPr>
        <w:fldChar w:fldCharType="begin"/>
      </w:r>
      <w:r w:rsidR="007E41F6" w:rsidRPr="007E41F6">
        <w:rPr>
          <w:rFonts w:eastAsia="Times New Roman" w:cs="Times New Roman"/>
          <w:b/>
          <w:bCs/>
          <w:color w:val="000000"/>
          <w:szCs w:val="24"/>
        </w:rPr>
        <w:instrText xml:space="preserve"> REF _Ref100745183 \h  \* MERGEFORMAT </w:instrText>
      </w:r>
      <w:r w:rsidR="007E41F6" w:rsidRPr="007E41F6">
        <w:rPr>
          <w:rFonts w:eastAsia="Times New Roman" w:cs="Times New Roman"/>
          <w:b/>
          <w:bCs/>
          <w:color w:val="000000"/>
          <w:szCs w:val="24"/>
        </w:rPr>
      </w:r>
      <w:r w:rsidR="007E41F6" w:rsidRPr="007E41F6">
        <w:rPr>
          <w:rFonts w:eastAsia="Times New Roman" w:cs="Times New Roman"/>
          <w:b/>
          <w:bCs/>
          <w:color w:val="000000"/>
          <w:szCs w:val="24"/>
        </w:rPr>
        <w:fldChar w:fldCharType="separate"/>
      </w:r>
      <w:r w:rsidR="00AA5AAC" w:rsidRPr="00AA5AAC">
        <w:rPr>
          <w:b/>
          <w:bCs/>
        </w:rPr>
        <w:t>Figure 4.2</w:t>
      </w:r>
      <w:r w:rsidR="007E41F6" w:rsidRPr="007E41F6">
        <w:rPr>
          <w:rFonts w:eastAsia="Times New Roman" w:cs="Times New Roman"/>
          <w:b/>
          <w:bCs/>
          <w:color w:val="000000"/>
          <w:szCs w:val="24"/>
        </w:rPr>
        <w:fldChar w:fldCharType="end"/>
      </w:r>
      <w:r w:rsidRPr="0044257B">
        <w:rPr>
          <w:rFonts w:eastAsia="Times New Roman" w:cs="Times New Roman"/>
          <w:color w:val="000000"/>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{"citationID":"ZawNKhH0","properties":{"formattedCitation":"\\super 14\\nosupersub{}","plainCitation":"14","noteIndex":0},"citationItems":[{"id":763,"uris":["http://zotero.org/users/6503767/items/6IYWGBCY"],"itemData":{"id":763,"type":"chapter","abstract":"This chapter discusses the manipulation of clones of coronavirus and of complementary DNAs (cDNAs) of defective-interfering (DI) RNAs to study coronavirus RNA replication, transcription, recombination, processing and transport of proteins, virion assembly, identification of cell receptors for coronaviruses, and processing of the polymerase. The nature of the coronavirus genome is nonsegmented, single-stranded, and positive-sense RNA. Its size ranges from 27 to 32 kb, which is significantly larger when compared with other RNA viruses. The gene encoding the large surface glycoprotein is up to 4.4 kb, encoding an imposing trimeric, highly glycosylated protein. This soars some 20 nm above the virion envelope, giving the virus the appearance-with a little imagination-of a crown or coronet. Coronavirus research has contributed to the understanding of many aspects of molecular biology in general, such as the mechanism of RNA synthesis, translational control, and protein transport and processing. It remains a treasure capable of generating unexpected insights.","container-title":"Advances in Virus Research","language":"en","note":"DOI: 10.1016/S0065-3527(08)60286-9","page":"1-100","publisher":"Academic Press","source":"ScienceDirect","title":"The Molecular Biology of Coronaviruses","URL":"https://www.sciencedirect.com/science/article/pii/S0065352708602869","volume":"48","author":[{"family":"Lai","given":"Michael M. C."},{"family":"Cavanagh","given":"David"}],"editor":[{"family":"Maramorosch","given":"Karl"},{"family":"Murphy","given":"Frederick A."},{"family":"Shatkin","given":"Aaron J."}],"accessed":{"date-parts":[["2022",4,1]]},"issued":{"date-parts":[["1997",1,1]]}}}],"schema":"https://github.com/citation-style-language/schema/raw/master/csl-citation.json"}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14</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w:t>
      </w:r>
    </w:p>
    <w:p w14:paraId="7E24C2F4" w14:textId="77777777" w:rsidR="0044257B" w:rsidRPr="0044257B" w:rsidRDefault="0044257B" w:rsidP="0044257B">
      <w:pPr>
        <w:spacing w:after="0"/>
        <w:rPr>
          <w:rFonts w:eastAsia="Times New Roman" w:cs="Times New Roman"/>
          <w:color w:val="000000"/>
          <w:szCs w:val="24"/>
        </w:rPr>
      </w:pPr>
      <w:r w:rsidRPr="0044257B">
        <w:rPr>
          <w:rFonts w:eastAsia="Times New Roman" w:cs="Times New Roman"/>
          <w:noProof/>
          <w:color w:val="000000"/>
          <w:szCs w:val="24"/>
        </w:rPr>
        <w:lastRenderedPageBreak/>
        <mc:AlternateContent>
          <mc:Choice Requires="wps">
            <w:drawing>
              <wp:inline distT="0" distB="0" distL="0" distR="0" wp14:anchorId="7DDED77A" wp14:editId="68FD71AF">
                <wp:extent cx="5943600" cy="4180840"/>
                <wp:effectExtent l="0" t="0" r="19050" b="10160"/>
                <wp:docPr id="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180840"/>
                        </a:xfrm>
                        <a:prstGeom prst="rect">
                          <a:avLst/>
                        </a:prstGeom>
                        <a:solidFill>
                          <a:srgbClr val="FFFFFF"/>
                        </a:solidFill>
                        <a:ln w="9525">
                          <a:solidFill>
                            <a:srgbClr val="000000"/>
                          </a:solidFill>
                          <a:miter lim="800000"/>
                          <a:headEnd/>
                          <a:tailEnd/>
                        </a:ln>
                      </wps:spPr>
                      <wps:txbx>
                        <w:txbxContent>
                          <w:p w14:paraId="36795084" w14:textId="77777777" w:rsidR="0044257B" w:rsidRDefault="0044257B" w:rsidP="0044257B">
                            <w:pPr>
                              <w:keepNext/>
                              <w:spacing w:after="0"/>
                              <w:jc w:val="center"/>
                            </w:pPr>
                            <w:r>
                              <w:rPr>
                                <w:noProof/>
                              </w:rPr>
                              <w:drawing>
                                <wp:inline distT="0" distB="0" distL="0" distR="0" wp14:anchorId="57E80488" wp14:editId="0D10A975">
                                  <wp:extent cx="5733884" cy="2784215"/>
                                  <wp:effectExtent l="0" t="0" r="0" b="0"/>
                                  <wp:docPr id="415" name="Picture 415" descr="Atomic model of the external structure of the SARS-CoV-2 vir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Picture 415" descr="Atomic model of the external structure of the SARS-CoV-2 virus. "/>
                                          <pic:cNvPicPr/>
                                        </pic:nvPicPr>
                                        <pic:blipFill>
                                          <a:blip r:embed="rId402">
                                            <a:extLst>
                                              <a:ext uri="{28A0092B-C50C-407E-A947-70E740481C1C}">
                                                <a14:useLocalDpi xmlns:a14="http://schemas.microsoft.com/office/drawing/2010/main" val="0"/>
                                              </a:ext>
                                            </a:extLst>
                                          </a:blip>
                                          <a:stretch>
                                            <a:fillRect/>
                                          </a:stretch>
                                        </pic:blipFill>
                                        <pic:spPr>
                                          <a:xfrm>
                                            <a:off x="0" y="0"/>
                                            <a:ext cx="5757842" cy="2795849"/>
                                          </a:xfrm>
                                          <a:prstGeom prst="rect">
                                            <a:avLst/>
                                          </a:prstGeom>
                                        </pic:spPr>
                                      </pic:pic>
                                    </a:graphicData>
                                  </a:graphic>
                                </wp:inline>
                              </w:drawing>
                            </w:r>
                          </w:p>
                          <w:p w14:paraId="671295FE" w14:textId="3226251B" w:rsidR="0044257B" w:rsidRDefault="0044257B" w:rsidP="00DF51F5">
                            <w:pPr>
                              <w:pStyle w:val="Caption"/>
                            </w:pPr>
                            <w:bookmarkStart w:id="480" w:name="_Ref100745183"/>
                            <w:bookmarkStart w:id="481" w:name="_Toc100243273"/>
                            <w:bookmarkStart w:id="482" w:name="_Toc100748327"/>
                            <w:r>
                              <w:t>Figure 4.</w:t>
                            </w:r>
                            <w:fldSimple w:instr=" SEQ Figure \* ARABIC ">
                              <w:r w:rsidR="00AA5AAC">
                                <w:rPr>
                                  <w:noProof/>
                                </w:rPr>
                                <w:t>2</w:t>
                              </w:r>
                            </w:fldSimple>
                            <w:bookmarkEnd w:id="480"/>
                            <w:r>
                              <w:t>. Atomic model of the external structure of the SARS-CoV-2 virus.</w:t>
                            </w:r>
                            <w:bookmarkEnd w:id="481"/>
                            <w:bookmarkEnd w:id="482"/>
                            <w:r>
                              <w:t xml:space="preserve"> </w:t>
                            </w:r>
                          </w:p>
                          <w:p w14:paraId="4F111A66" w14:textId="77777777" w:rsidR="0044257B" w:rsidRDefault="0044257B" w:rsidP="0044257B">
                            <w:pPr>
                              <w:spacing w:after="0" w:line="240" w:lineRule="auto"/>
                            </w:pPr>
                            <w:r w:rsidRPr="00E9394E">
                              <w:t xml:space="preserve">By Alexey </w:t>
                            </w:r>
                            <w:proofErr w:type="spellStart"/>
                            <w:r w:rsidRPr="00E9394E">
                              <w:t>Solodovnikov</w:t>
                            </w:r>
                            <w:proofErr w:type="spellEnd"/>
                            <w:r>
                              <w:t>,</w:t>
                            </w:r>
                            <w:r w:rsidRPr="00E9394E">
                              <w:t xml:space="preserve"> Valeria Arkhipova</w:t>
                            </w:r>
                            <w:r>
                              <w:t xml:space="preserve">, </w:t>
                            </w:r>
                            <w:r w:rsidRPr="00E9394E">
                              <w:t>Nikitin N.A., Department of Virology, Lomonosov Moscow State University</w:t>
                            </w:r>
                            <w:r>
                              <w:t>,</w:t>
                            </w:r>
                            <w:r w:rsidRPr="00E9394E">
                              <w:t xml:space="preserve"> Institute of </w:t>
                            </w:r>
                            <w:r>
                              <w:t>C</w:t>
                            </w:r>
                            <w:r w:rsidRPr="00E9394E">
                              <w:t xml:space="preserve">hemical </w:t>
                            </w:r>
                            <w:r>
                              <w:t>B</w:t>
                            </w:r>
                            <w:r w:rsidRPr="00E9394E">
                              <w:t xml:space="preserve">iology and </w:t>
                            </w:r>
                            <w:r>
                              <w:t>F</w:t>
                            </w:r>
                            <w:r w:rsidRPr="00E9394E">
                              <w:t xml:space="preserve">undamental </w:t>
                            </w:r>
                            <w:r>
                              <w:t>M</w:t>
                            </w:r>
                            <w:r w:rsidRPr="00E9394E">
                              <w:t>edicin</w:t>
                            </w:r>
                            <w:r>
                              <w:t>e</w:t>
                            </w:r>
                            <w:r w:rsidRPr="00E9394E">
                              <w:t>,</w:t>
                            </w:r>
                            <w:r>
                              <w:t xml:space="preserve"> </w:t>
                            </w:r>
                            <w:r w:rsidRPr="00E9394E">
                              <w:t>CC BY-SA 4.0</w:t>
                            </w:r>
                            <w:r>
                              <w:t xml:space="preserve"> license: </w:t>
                            </w:r>
                          </w:p>
                          <w:p w14:paraId="5E2E8ED3" w14:textId="77777777" w:rsidR="0044257B" w:rsidRDefault="002C1A5C" w:rsidP="0044257B">
                            <w:pPr>
                              <w:spacing w:after="0" w:line="240" w:lineRule="auto"/>
                            </w:pPr>
                            <w:hyperlink r:id="rId403" w:history="1">
                              <w:r w:rsidR="0044257B" w:rsidRPr="00B32A79">
                                <w:rPr>
                                  <w:rStyle w:val="Hyperlink"/>
                                </w:rPr>
                                <w:t>https://commons.wikimedia.org/w/index.php?curid=104914011</w:t>
                              </w:r>
                            </w:hyperlink>
                          </w:p>
                        </w:txbxContent>
                      </wps:txbx>
                      <wps:bodyPr rot="0" vert="horz" wrap="square" lIns="91440" tIns="45720" rIns="91440" bIns="45720" anchor="t" anchorCtr="0">
                        <a:noAutofit/>
                      </wps:bodyPr>
                    </wps:wsp>
                  </a:graphicData>
                </a:graphic>
              </wp:inline>
            </w:drawing>
          </mc:Choice>
          <mc:Fallback>
            <w:pict>
              <v:shape w14:anchorId="7DDED77A" id="_x0000_s1127" type="#_x0000_t202" style="width:468pt;height:3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">
                <v:textbox>
                  <w:txbxContent>
                    <w:p w14:paraId="36795084" w14:textId="77777777" w:rsidR="0044257B" w:rsidRDefault="0044257B" w:rsidP="0044257B">
                      <w:pPr>
                        <w:keepNext/>
                        <w:spacing w:after="0"/>
                        <w:jc w:val="center"/>
                      </w:pPr>
                      <w:r>
                        <w:rPr>
                          <w:noProof/>
                        </w:rPr>
                        <w:drawing>
                          <wp:inline distT="0" distB="0" distL="0" distR="0" wp14:anchorId="57E80488" wp14:editId="0D10A975">
                            <wp:extent cx="5733884" cy="2784215"/>
                            <wp:effectExtent l="0" t="0" r="0" b="0"/>
                            <wp:docPr id="415" name="Picture 415" descr="Atomic model of the external structure of the SARS-CoV-2 vir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Picture 415" descr="Atomic model of the external structure of the SARS-CoV-2 virus. "/>
                                    <pic:cNvPicPr/>
                                  </pic:nvPicPr>
                                  <pic:blipFill>
                                    <a:blip r:embed="rId402">
                                      <a:extLst>
                                        <a:ext uri="{28A0092B-C50C-407E-A947-70E740481C1C}">
                                          <a14:useLocalDpi xmlns:a14="http://schemas.microsoft.com/office/drawing/2010/main" val="0"/>
                                        </a:ext>
                                      </a:extLst>
                                    </a:blip>
                                    <a:stretch>
                                      <a:fillRect/>
                                    </a:stretch>
                                  </pic:blipFill>
                                  <pic:spPr>
                                    <a:xfrm>
                                      <a:off x="0" y="0"/>
                                      <a:ext cx="5757842" cy="2795849"/>
                                    </a:xfrm>
                                    <a:prstGeom prst="rect">
                                      <a:avLst/>
                                    </a:prstGeom>
                                  </pic:spPr>
                                </pic:pic>
                              </a:graphicData>
                            </a:graphic>
                          </wp:inline>
                        </w:drawing>
                      </w:r>
                    </w:p>
                    <w:p w14:paraId="671295FE" w14:textId="3226251B" w:rsidR="0044257B" w:rsidRDefault="0044257B" w:rsidP="00DF51F5">
                      <w:pPr>
                        <w:pStyle w:val="Caption"/>
                      </w:pPr>
                      <w:bookmarkStart w:id="483" w:name="_Ref100745183"/>
                      <w:bookmarkStart w:id="484" w:name="_Toc100243273"/>
                      <w:bookmarkStart w:id="485" w:name="_Toc100748327"/>
                      <w:r>
                        <w:t>Figure 4.</w:t>
                      </w:r>
                      <w:fldSimple w:instr=" SEQ Figure \* ARABIC ">
                        <w:r w:rsidR="00AA5AAC">
                          <w:rPr>
                            <w:noProof/>
                          </w:rPr>
                          <w:t>2</w:t>
                        </w:r>
                      </w:fldSimple>
                      <w:bookmarkEnd w:id="483"/>
                      <w:r>
                        <w:t>. Atomic model of the external structure of the SARS-CoV-2 virus.</w:t>
                      </w:r>
                      <w:bookmarkEnd w:id="484"/>
                      <w:bookmarkEnd w:id="485"/>
                      <w:r>
                        <w:t xml:space="preserve"> </w:t>
                      </w:r>
                    </w:p>
                    <w:p w14:paraId="4F111A66" w14:textId="77777777" w:rsidR="0044257B" w:rsidRDefault="0044257B" w:rsidP="0044257B">
                      <w:pPr>
                        <w:spacing w:after="0" w:line="240" w:lineRule="auto"/>
                      </w:pPr>
                      <w:r w:rsidRPr="00E9394E">
                        <w:t xml:space="preserve">By Alexey </w:t>
                      </w:r>
                      <w:proofErr w:type="spellStart"/>
                      <w:r w:rsidRPr="00E9394E">
                        <w:t>Solodovnikov</w:t>
                      </w:r>
                      <w:proofErr w:type="spellEnd"/>
                      <w:r>
                        <w:t>,</w:t>
                      </w:r>
                      <w:r w:rsidRPr="00E9394E">
                        <w:t xml:space="preserve"> Valeria Arkhipova</w:t>
                      </w:r>
                      <w:r>
                        <w:t xml:space="preserve">, </w:t>
                      </w:r>
                      <w:r w:rsidRPr="00E9394E">
                        <w:t>Nikitin N.A., Department of Virology, Lomonosov Moscow State University</w:t>
                      </w:r>
                      <w:r>
                        <w:t>,</w:t>
                      </w:r>
                      <w:r w:rsidRPr="00E9394E">
                        <w:t xml:space="preserve"> Institute of </w:t>
                      </w:r>
                      <w:r>
                        <w:t>C</w:t>
                      </w:r>
                      <w:r w:rsidRPr="00E9394E">
                        <w:t xml:space="preserve">hemical </w:t>
                      </w:r>
                      <w:r>
                        <w:t>B</w:t>
                      </w:r>
                      <w:r w:rsidRPr="00E9394E">
                        <w:t xml:space="preserve">iology and </w:t>
                      </w:r>
                      <w:r>
                        <w:t>F</w:t>
                      </w:r>
                      <w:r w:rsidRPr="00E9394E">
                        <w:t xml:space="preserve">undamental </w:t>
                      </w:r>
                      <w:r>
                        <w:t>M</w:t>
                      </w:r>
                      <w:r w:rsidRPr="00E9394E">
                        <w:t>edicin</w:t>
                      </w:r>
                      <w:r>
                        <w:t>e</w:t>
                      </w:r>
                      <w:r w:rsidRPr="00E9394E">
                        <w:t>,</w:t>
                      </w:r>
                      <w:r>
                        <w:t xml:space="preserve"> </w:t>
                      </w:r>
                      <w:r w:rsidRPr="00E9394E">
                        <w:t>CC BY-SA 4.0</w:t>
                      </w:r>
                      <w:r>
                        <w:t xml:space="preserve"> license: </w:t>
                      </w:r>
                    </w:p>
                    <w:p w14:paraId="5E2E8ED3" w14:textId="77777777" w:rsidR="0044257B" w:rsidRDefault="002C1A5C" w:rsidP="0044257B">
                      <w:pPr>
                        <w:spacing w:after="0" w:line="240" w:lineRule="auto"/>
                      </w:pPr>
                      <w:hyperlink r:id="rId404" w:history="1">
                        <w:r w:rsidR="0044257B" w:rsidRPr="00B32A79">
                          <w:rPr>
                            <w:rStyle w:val="Hyperlink"/>
                          </w:rPr>
                          <w:t>https://commons.wikimedia.org/w/index.php?curid=104914011</w:t>
                        </w:r>
                      </w:hyperlink>
                    </w:p>
                  </w:txbxContent>
                </v:textbox>
                <w10:anchorlock/>
              </v:shape>
            </w:pict>
          </mc:Fallback>
        </mc:AlternateContent>
      </w:r>
    </w:p>
    <w:p w14:paraId="635806A5" w14:textId="77777777" w:rsidR="0044257B" w:rsidRPr="0044257B" w:rsidRDefault="0044257B" w:rsidP="0044257B">
      <w:pPr>
        <w:spacing w:after="0"/>
        <w:ind w:firstLine="720"/>
        <w:rPr>
          <w:rFonts w:eastAsia="Times New Roman" w:cs="Times New Roman"/>
          <w:noProof/>
          <w:color w:val="000000"/>
          <w:szCs w:val="24"/>
        </w:rPr>
      </w:pPr>
      <w:r w:rsidRPr="0044257B">
        <w:rPr>
          <w:rFonts w:eastAsia="Times New Roman" w:cs="Times New Roman"/>
          <w:color w:val="000000"/>
          <w:szCs w:val="24"/>
        </w:rPr>
        <w:t>The first serious coronavirus outbreak appeared in 2003 in southern China.</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{"citationID":"X6Ocx8hA","properties":{"formattedCitation":"\\super 15\\nosupersub{}","plainCitation":"15","noteIndex":0},"citationItems":[{"id":898,"uris":["http://zotero.org/users/6503767/items/S9ZCW33B"],"itemData":{"id":898,"type":"article-journal","abstract":"Background\nWe investigated the temporal progression of the clinical, radiological, and virological changes in a community outbreak of severe acute respiratory syndrome (SARS).\nMethods\nWe followed up 75 patients for 3 weeks managed with a standard treatment protocol of ribavirin and corticosteroids, and assessed the pattern of clinical disease, viral load, risk factors for poor clinical outcome, and the usefulness of virological diagnostic methods.\nFindings\nFever and pneumonia initially improved but 64 (85%) patients developed recurrent fever after a mean of 8.9 (SD 3.1) days, 55 (73%) had watery diarrhoea after 7.5 (2.3) days, 60 (80%) had radiological worsening after 7.4 (2.2) days, and respiratory symptoms worsened in 34 (45%) after 8.6 (3.0) days. In 34 (45%) patients, improvement of initial pulmonary lesions was associated with appearance of new radiological lesions at other sites. Nine (12%) patients developed spontaneous pneumomediastinum and 15 (20%) developed acute respiratory distress syndrome (ARDS) in week 3. Quantitative reverse-transcriptase (RT) PCR of nasopharyngeal aspirates in 14 patients (four with ARDS) showed peak viral load at day 10, and at day 15 a load lower than at admission. Age and chronic hepatitis B virus infection treated with lamivudine were independent significant risk factors for progression to ARDS (p=0.001). SARS-associated coronavirus in faeces was seen on RT-PCR in 65 (97%) of 67 patients at day 14. The mean time to seroconversion was 20 days.\nInterpretation\nThe consistent clinical progression, shifting radiological infiltrates, and an inverted V viral-load profile suggest that worsening in week 2 is unrelated to uncontrolled viral replication but may be related to immunopathological damage. Published online May 9, 2003 http://image.thelancet.com/extras/03art4432web.pdf","container-title":"The Lancet","DOI":"10.1016/S0140-6736(03)13412-5","ISSN":"0140-6736","issue":"9371","journalAbbreviation":"The Lancet","language":"en","page":"1767-1772","source":"ScienceDirect","title":"Clinical progression and viral load in a community outbreak of coronavirus-associated SARS pneumonia: a prospective study","title-short":"Clinical progression and viral load in a community outbreak of coronavirus-associated SARS pneumonia","volume":"361","author":[{"family":"Peiris","given":"JSM"},{"family":"Chu","given":"CM"},{"family":"Cheng","given":"VCC"},{"family":"Chan","given":"KS"},{"family":"Hung","given":"IFN"},{"family":"Poon","given":"LLM"},{"family":"Law","given":"KI"},{"family":"Tang","given":"BSF"},{"family":"Hon","given":"TYW"},{"family":"Chan","given":"CS"},{"family":"Chan","given":"KH"},{"family":"Ng","given":"JSC"},{"family":"Zheng","given":"BJ"},{"family":"Ng","given":"WL"},{"family":"Lai","given":"RWM"},{"family":"Guan","given":"Y"},{"family":"Yuen","given":"KY"}],"issued":{"date-parts":[["2003",5,24]]}}}],"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15</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It was identified as severe acute respiratory syndrome coronavirus (SARS-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and soon infected ~8,000 people in &gt;30 countries over 5 continents with a crude fatality rate of ~10%.</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{"citationID":"clTjxqt6","properties":{"formattedCitation":"\\super 16\\nosupersub{}","plainCitation":"16","noteIndex":0},"citationItems":[{"id":733,"uris":["http://zotero.org/users/6503767/items/SHEBGSD9"],"itemData":{"id":733,"type":"article-journal","container-title":"Clinical Microbiology Reviews","DOI":"10.1128/CMR.00023-07","issue":"4","note":"publisher: American Society for Microbiology","page":"660-694","source":"journals-asm-org.ezproxy.lib.ou.edu (Atypon)","title":"Severe Acute Respiratory Syndrome Coronavirus as an Agent of Emerging and Reemerging Infection","volume":"20","author":[{"family":"Cheng","given":"Vincent C. C."},{"family":"Lau","given":"Susanna K. P."},{"family":"Woo","given":"Patrick C. Y."},{"family":"Yuen","given":"Kwok Yung"}],"issued":{"date-parts":[["2007",10]]}}}],"schema":"https://github.com/citation-style-language/schema/raw/master/csl-citation.json"}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16</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Afterwards, in 2012, another outbreak caused by Middle East respiratory syndrome coronavirus (MERS-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was first isolated from a patient with severe pneumonia and acute renal failure in Saudi Arabia.</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{"citationID":"isbGDJOt","properties":{"formattedCitation":"\\super 17\\nosupersub{}","plainCitation":"17","noteIndex":0},"citationItems":[{"id":738,"uris":["http://zotero.org/users/6503767/items/PFMKN5YC"],"itemData":{"id":738,"type":"article-journal","abstract":"On June 24, 2012, a 60-year-old man died of progressive respiratory infection in Saudi Arabia. A novel coronavirus was identified as a potential cause of this severe illness. Subsequently, a second patient was reported to have severe illness associated with this coronavirus.","container-title":"New England Journal of Medicine","DOI":"10.1056/NEJMoa1211721","ISSN":"0028-4793","issue":"19","note":"publisher: Massachusetts Medical Society\n_eprint: https://doi.org/10.1056/NEJMoa1211721\nPMID: 23075143","page":"1814-1820","source":"Taylor and Francis+NEJM","title":"Isolation of a Novel Coronavirus from a Man with Pneumonia in Saudi Arabia","volume":"367","author":[{"family":"Zaki","given":"Ali M."},{"family":"Boheemen","given":"Sander","non-dropping-particle":"van"},{"family":"Bestebroer","given":"Theo M."},{"family":"Osterhaus","given":"Albert D.M.E."},{"family":"Fouchier","given":"Ron A.M."}],"issued":{"date-parts":[["2012",11,8]]}}}],"schema":"https://github.com/citation-style-language/schema/raw/master/csl-citation.json"}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17</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MERS-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xml:space="preserve"> eventually spread to 27 countries, where 2,279 cases were reported to WHO with a ~35% fatality rate by 2015.</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{"citationID":"6867SJqd","properties":{"formattedCitation":"\\super 18,19\\nosupersub{}","plainCitation":"18,19","noteIndex":0},"citationItems":[{"id":743,"uris":["http://zotero.org/users/6503767/items/R8DBS4NB"],"itemData":{"id":743,"type":"article-journal","abstract":"Middle East respiratory syndrome coronavirus (MERS-CoV) infection causes a spectrum of respiratory illness, from asymptomatic to mild to fatal. MERS-CoV is transmitted sporadically from dromedary camels to humans and occasionally through human-to-human contact. Current epidemiologic evidence supports a major role in transmission for direct contact with live camels or humans with symptomatic MERS, but little evidence suggests the possibility of transmission from camel products or asymptomatic MERS cases. Because a proportion of case-patients do not report direct contact with camels or with persons who have symptomatic MERS, further research is needed to conclusively determine additional mechanisms of transmission, to inform public health practice, and to refine current precautionary recommendations.","container-title":"Emerging Infectious Diseases","DOI":"10.3201/eid2602.190697","ISSN":"1080-6040","issue":"2","journalAbbreviation":"Emerg Infect Dis","note":"PMID: 31961300\nPMCID: PMC6986839","page":"191-198","source":"PubMed Central","title":"Middle East Respiratory Syndrome Coronavirus Transmission","volume":"26","author":[{"family":"Killerby","given":"Marie E."},{"family":"Biggs","given":"Holly M."},{"family":"Midgley","given":"Claire M."},{"family":"Gerber","given":"Susan I."},{"family":"Watson","given":"John T."}],"issued":{"date-parts":[["2020",2]]}}},{"id":735,"uris":["http://zotero.org/users/6503767/items/U94H67GD"],"itemData":{"id":735,"type":"article-journal","abstract":"Middle East Respiratory Syndrome-coronavirus (MERS-CoV) was reported from a number of countries in the Middle East and Europe with a reported high mortality rate. MERS-CoV was initially isolated from a patient from Bisha, Saudi Arabia. A recent outbreak of MERS-CoV infection was described in a healthcare facility. Although, the recent publications on this topic had shed light on the epidemiology of the disease, many questions remain to be answered.","container-title":"Journal of Infection and Public Health","DOI":"10.1016/j.jiph.2013.06.001","ISSN":"1876-0341","issue":"5","journalAbbreviation":"Journal of Infection and Public Health","language":"en","page":"319-322","source":"ScienceDirect","title":"Middle East Respiratory Syndrome-coronavirus infection: An overview","title-short":"Middle East Respiratory Syndrome-coronavirus infection","volume":"6","author":[{"family":"Al-Tawfiq","given":"Jaffar A."}],"issued":{"date-parts":[["2013",10,1]]}}}],"schema":"https://github.com/citation-style-language/schema/raw/master/csl-citation.json"}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18,19</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The newest coronavirus, SARS-CoV-2, shares ~85% sequence homology with the 2003 SARS-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xml:space="preserve"> genome</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{"citationID":"3fYRFOC9","properties":{"formattedCitation":"\\super 20\\nosupersub{}","plainCitation":"20","noteIndex":0},"citationItems":[{"id":693,"uris":["http://zotero.org/users/6503767/items/EJ33QEYY"],"itemData":{"id":693,"type":"article-journal","abstract":"With the current trajectory of the 2019‐nCoV outbreak unknown, public health and medicinal measures will both be needed to contain spreading of the virus and to optimize patient outcomes. Although little is known about the virus, an examination of the genome sequence shows strong homology with its better‐studied cousin, SARS‐CoV. The spike protein used for host cell infection shows key nonsynonymous mutations that might hamper the efficacy of previously developed therapeutics but remains a viable target for the development of biologics and macrocyclic peptides. Other key drug targets, including RNA‐dependent RNA polymerase and coronavirus main proteinase (3CLpro), share a strikingly high (&gt;95 %) homology to SARS‐CoV. Herein, we suggest four potential drug candidates (an ACE2‐based peptide, remdesivir, 3CLpro‐1 and a novel vinylsulfone protease inhibitor) that could be used to treat patients suffering with the 2019‐nCoV. We also summarize previous efforts into drugging these targets and hope to help in the development of broad‐spectrum anti‐coronaviral agents for future epidemics., \nWhat′s sauce for the goose? Little is known about the coronavirus causing the current outbreak; however, it shares strong sequence homology with its better‐studied cousin SARS‐CoV. Based on previous studies of targeting SARS‐CoV, we suggest four potential candidates that could be used to drug the viral spike protein, RNA‐dependent RNA polymerase, and coronavirus main proteinase.","container-title":"Chembiochem","DOI":"10.1002/cbic.202000047","ISSN":"1439-4227","issue":"5","journalAbbreviation":"Chembiochem","note":"PMID: 32022370\nPMCID: PMC7162020","page":"730-738","source":"PubMed Central","title":"Learning from the Past: Possible Urgent Prevention and Treatment Options for Severe Acute Respiratory Infections Caused by 2019‐nCoV","title-short":"Learning from the Past","volume":"21","author":[{"family":"Morse","given":"Jared S."},{"family":"Lalonde","given":"Tyler"},{"family":"Xu","given":"Shiqing"},{"family":"Liu","given":"Wenshe Ray"}],"issued":{"date-parts":[["2020",3,2]]}}}],"schema":"https://github.com/citation-style-language/schema/raw/master/csl-citation.json"}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20</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and ~50% sequence homology with MERS-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xml:space="preserve"> genome.</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{"citationID":"fv0zfGa0","properties":{"formattedCitation":"\\super 21\\nosupersub{}","plainCitation":"21","noteIndex":0},"citationItems":[{"id":766,"uris":["http://zotero.org/users/6503767/items/UYSWUA35"],"itemData":{"id":766,"type":"article-journal","abstract":"Coronaviruses are single stranded RNA viruses usually present in bats (reservoir hosts), and are generally lethal, highly transmissible, and pathogenic viruses causing sever morbidity and mortality rates in human. Several animals including civets, camels, etc. have been identified as intermediate hosts enabling effective recombination of these viruses to emerge as new virulent and pathogenic strains. Among the seven known human coronaviruses SARS-CoV, MERS-CoV, and SARS-CoV-2 (2019-nCoV) have evolved as severe pathogenic forms infecting the human respiratory tract. About 8096 cases and 774 deaths were reported worldwide with the SARS-CoV infection during year 2002; 2229 cases and 791 deaths were reported for the MERS-CoV that emerged during 2012. Recently ~ 33,849,737 cases and 1,012,742 deaths (data as on 30 Sep 2020) were reported from the recent evolver SARS-CoV-2 infection. Studies on epidemiology and pathogenicity have shown that the viral spread was potentially caused by the contact route especially through the droplets, aerosols, and contaminated fomites. Genomic studies have confirmed the role of the viral spike protein in virulence and pathogenicity. They target the respiratory tract of the human causing severe progressive pneumonia affecting other organs like central nervous system in case of SARS-CoV, severe renal failure in MERS-CoV, and multi-organ failure in SARS-CoV-2. Herein, with respect to current awareness and role of coronaviruses in global public health, we review the various factors involving the origin, evolution, and transmission including the genetic variations observed, epidemiology, and pathogenicity of the three potential coronaviruses variants SARS-CoV, MERS-CoV, and 2019-nCoV.","container-title":"VirusDisease","DOI":"10.1007/s13337-020-00632-9","ISSN":"2347-3584","issue":"4","journalAbbreviation":"Virusdisease","note":"PMID: 33102628\nPMCID: PMC7567416","page":"411-423","source":"PubMed Central","title":"SARS-CoV, MERS-CoV, and 2019-nCoV viruses: an overview of origin, evolution, and genetic variations","title-short":"SARS-CoV, MERS-CoV, and 2019-nCoV viruses","volume":"31","author":[{"family":"Krishnamoorthy","given":"Sarayu"},{"family":"Swain","given":"Basudev"},{"family":"Verma","given":"R. S."},{"family":"Gunthe","given":"Sachin S."}],"issued":{"date-parts":[["2020",12]]}}}],"schema":"https://github.com/citation-style-language/schema/raw/master/csl-citation.json"}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21</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Clinical presentation of COVID-19 also seem to resemble SARS-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xml:space="preserve"> infections.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{"citationID":"QOn1B1q9","properties":{"formattedCitation":"\\super 22\\nosupersub{}","plainCitation":"22","noteIndex":0},"citationItems":[{"id":907,"uris":["http://zotero.org/users/6503767/items/6CUMFY5W"],"itemData":{"id":907,"type":"article-journal","abstract":"Background\nA recent cluster of pneumonia cases in Wuhan, China, was caused by a novel betacoronavirus, the 2019 novel coronavirus (2019-nCoV). We report the epidemiological, clinical, laboratory, and radiological characteristics and treatment and clinical outcomes of these patients.\n\nMethods\nAll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not.\n\nFindings\nBy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TNFα.\n\nInterpretation\nThe 2019-nCoV infection caused clusters of severe respiratory illness similar to severe acute respiratory syndrome coronavirus and was associated with ICU admission and high mortality. Major gaps in our knowledge of the origin, epidemiology, duration of human transmission, and clinical spectrum of disease need fulfilment by future studies.\n\nFunding\nMinistry of Science and Technology, Chinese Academy of Medical Sciences, National Natural Science Foundation of China, and Beijing Municipal Science and Technology Commission.","container-title":"Lancet (London, England)","DOI":"10.1016/S0140-6736(20)30183-5","ISSN":"0140-6736","issue":"10223","journalAbbreviation":"Lancet","note":"PMID: 31986264\nPMCID: PMC7159299","page":"497-506","source":"PubMed Central","title":"Clinical features of patients infected with 2019 novel coronavirus in Wuhan, China","volume":"395","author":[{"family":"Huang","given":"Chaolin"},{"family":"Wang","given":"Yeming"},{"family":"Li","given":"Xingwang"},{"family":"Ren","given":"Lili"},{"family":"Zhao","given":"Jianping"},{"family":"Hu","given":"Yi"},{"family":"Zhang","given":"Li"},{"family":"Fan","given":"Guohui"},{"family":"Xu","given":"Jiuyang"},{"family":"Gu","given":"Xiaoying"},{"family":"Cheng","given":"Zhenshun"},{"family":"Yu","given":"Ting"},{"family":"Xia","given":"Jiaan"},{"family":"Wei","given":"Yuan"},{"family":"Wu","given":"Wenjuan"},{"family":"Xie","given":"Xuelei"},{"family":"Yin","given":"Wen"},{"family":"Li","given":"Hui"},{"family":"Liu","given":"Min"},{"family":"Xiao","given":"Yan"},{"family":"Gao","given":"Hong"},{"family":"Guo","given":"Li"},{"family":"Xie","given":"Jungang"},{"family":"Wang","given":"Guangfa"},{"family":"Jiang","given":"Rongmeng"},{"family":"Gao","given":"Zhancheng"},{"family":"Jin","given":"Qi"},{"family":"Wang","given":"Jianwei"},{"family":"Cao","given":"Bin"}],"issued":{"date-parts":[["2020"]]}}}],"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22</w:t>
      </w:r>
      <w:r w:rsidRPr="0044257B">
        <w:rPr>
          <w:rFonts w:eastAsia="Times New Roman" w:cs="Times New Roman"/>
          <w:color w:val="000000"/>
          <w:szCs w:val="24"/>
        </w:rPr>
        <w:fldChar w:fldCharType="end"/>
      </w:r>
    </w:p>
    <w:p w14:paraId="4303D975" w14:textId="54618E84" w:rsidR="0044257B" w:rsidRPr="0044257B" w:rsidRDefault="0044257B" w:rsidP="0044257B">
      <w:pPr>
        <w:spacing w:after="0"/>
        <w:rPr>
          <w:rFonts w:eastAsia="Times New Roman" w:cs="Times New Roman"/>
          <w:color w:val="000000"/>
          <w:szCs w:val="24"/>
        </w:rPr>
      </w:pPr>
      <w:r w:rsidRPr="0044257B">
        <w:rPr>
          <w:rFonts w:eastAsia="Times New Roman" w:cs="Times New Roman"/>
          <w:color w:val="000000"/>
          <w:szCs w:val="24"/>
        </w:rPr>
        <w:tab/>
        <w:t>Since SARS-CoV-2 exhibits significant homology to previous variants, along with the availability of its genome sequence,</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{"citationID":"I9K8Ekc4","properties":{"formattedCitation":"\\super 23\\nosupersub{}","plainCitation":"23","noteIndex":0},"citationItems":[{"id":719,"uris":["http://zotero.org/users/6503767/items/KFWCWXE6"],"itemData":{"id":719,"type":"article-journal","abstract":"Emerging infectious diseases, such as severe acute respiratory syndrome (SARS) and Zika virus disease, present a major threat to public health1-3. Despite intense research efforts, how, when and where new diseases appear are still a source of considerable uncertainty. A severe respiratory disease was recently reported in Wuhan, Hubei province, China. As of 25 January 2020, at least 1,975 cases had been reported since the first patient was hospitalized on 12 December 2019. Epidemiological investigations have suggested that the outbreak was associated with a seafood market in Wuhan. Here we study a single patient who was a worker at the market and who was admitted to the Central Hospital of Wuhan on 26 December 2019 while experiencing a severe respiratory syndrome that included fever, dizziness and a cough. Metagenomic RNA sequencing4 of a sample of bronchoalveolar lavage fluid from the patient identified a new RNA virus strain from the family Coronaviridae, which is designated here 'WH-Human 1' coronavirus (and has also been referred to as '2019-nCoV'). Phylogenetic analysis of the complete viral genome (29,903 nucleotides) revealed that the virus was most closely related (89.1% nucleotide similarity) to a group of SARS-like coronaviruses (genus Betacoronavirus, subgenus Sarbecovirus) that had previously been found in bats in China5. This outbreak highlights the ongoing ability of viral spill-over from animals to cause severe disease in humans.","container-title":"Nature","DOI":"10.1038/s41586-020-2008-3","ISSN":"1476-4687","issue":"7798","journalAbbreviation":"Nature","language":"eng","note":"PMID: 32015508\nPMCID: PMC7094943","page":"265-269","source":"PubMed","title":"A new coronavirus associated with human respiratory disease in China","volume":"579","author":[{"family":"Wu","given":"Fan"},{"family":"Zhao","given":"Su"},{"family":"Yu","given":"Bin"},{"family":"Chen","given":"Yan-Mei"},{"family":"Wang","given":"Wen"},{"family":"Song","given":"Zhi-Gang"},{"family":"Hu","given":"Yi"},{"family":"Tao","given":"Zhao-Wu"},{"family":"Tian","given":"Jun-Hua"},{"family":"Pei","given":"Yuan-Yuan"},{"family":"Yuan","given":"Ming-Li"},{"family":"Zhang","given":"Yu-Ling"},{"family":"Dai","given":"Fa-Hui"},{"family":"Liu","given":"Yi"},{"family":"Wang","given":"Qi-Min"},{"family":"Zheng","given":"Jiao-Jiao"},{"family":"Xu","given":"Lin"},{"family":"Holmes","given":"Edward C."},{"family":"Zhang","given":"Yong-Zhen"}],"issued":{"date-parts":[["2020",3]]}}}],"schema":"https://github.com/citation-style-language/schema/raw/master/csl-citation.json"}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23</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w:t>
      </w:r>
      <w:r w:rsidRPr="0044257B">
        <w:rPr>
          <w:rFonts w:eastAsia="Times New Roman" w:cs="Times New Roman"/>
          <w:i/>
          <w:iCs/>
          <w:color w:val="000000"/>
          <w:szCs w:val="24"/>
        </w:rPr>
        <w:t>in silico</w:t>
      </w:r>
      <w:r w:rsidRPr="0044257B">
        <w:rPr>
          <w:rFonts w:eastAsia="Times New Roman" w:cs="Times New Roman"/>
          <w:color w:val="000000"/>
          <w:szCs w:val="24"/>
        </w:rPr>
        <w:t xml:space="preserve"> modeling and computational drug screening proved </w:t>
      </w:r>
      <w:r w:rsidRPr="0044257B">
        <w:rPr>
          <w:rFonts w:eastAsia="Times New Roman" w:cs="Times New Roman"/>
          <w:color w:val="000000"/>
          <w:szCs w:val="24"/>
        </w:rPr>
        <w:lastRenderedPageBreak/>
        <w:t xml:space="preserve">to be a useful technique to accelerate drug discovery programs. To advance our efforts even more quickly, drugs either already approved by the Food and Drug Administration (FDA) or currently in the pipeline provided a suitable starting point. A number of both viral proteins and host receptors have been explored as anti-coronavirus drug targets. The role that each target candidate plays in viral infection and the structures of their drug candidates are shown in </w:t>
      </w:r>
      <w:r w:rsidR="00381C64">
        <w:rPr>
          <w:rFonts w:eastAsia="Times New Roman" w:cs="Times New Roman"/>
          <w:b/>
          <w:bCs/>
          <w:color w:val="000000"/>
          <w:szCs w:val="24"/>
        </w:rPr>
        <w:fldChar w:fldCharType="begin"/>
      </w:r>
      <w:r w:rsidR="00381C64">
        <w:rPr>
          <w:rFonts w:eastAsia="Times New Roman" w:cs="Times New Roman"/>
          <w:color w:val="000000"/>
          <w:szCs w:val="24"/>
        </w:rPr>
        <w:instrText xml:space="preserve"> REF _Ref100745268 \h </w:instrText>
      </w:r>
      <w:r w:rsidR="00381C64">
        <w:rPr>
          <w:rFonts w:eastAsia="Times New Roman" w:cs="Times New Roman"/>
          <w:b/>
          <w:bCs/>
          <w:color w:val="000000"/>
          <w:szCs w:val="24"/>
        </w:rPr>
      </w:r>
      <w:r w:rsidR="00381C64">
        <w:rPr>
          <w:rFonts w:eastAsia="Times New Roman" w:cs="Times New Roman"/>
          <w:b/>
          <w:bCs/>
          <w:color w:val="000000"/>
          <w:szCs w:val="24"/>
        </w:rPr>
        <w:fldChar w:fldCharType="separate"/>
      </w:r>
      <w:r w:rsidR="00AA5AAC" w:rsidRPr="0044257B">
        <w:rPr>
          <w:b/>
          <w:iCs/>
          <w:szCs w:val="18"/>
        </w:rPr>
        <w:t>Table 4.</w:t>
      </w:r>
      <w:r w:rsidR="00AA5AAC">
        <w:rPr>
          <w:b/>
          <w:iCs/>
          <w:noProof/>
          <w:szCs w:val="18"/>
        </w:rPr>
        <w:t>1</w:t>
      </w:r>
      <w:r w:rsidR="00381C64">
        <w:rPr>
          <w:rFonts w:eastAsia="Times New Roman" w:cs="Times New Roman"/>
          <w:b/>
          <w:bCs/>
          <w:color w:val="000000"/>
          <w:szCs w:val="24"/>
        </w:rPr>
        <w:fldChar w:fldCharType="end"/>
      </w:r>
      <w:r w:rsidR="00381C64">
        <w:rPr>
          <w:rFonts w:eastAsia="Times New Roman" w:cs="Times New Roman"/>
          <w:b/>
          <w:bCs/>
          <w:color w:val="000000"/>
          <w:szCs w:val="24"/>
        </w:rPr>
        <w:t xml:space="preserve"> </w:t>
      </w:r>
      <w:r w:rsidRPr="0044257B">
        <w:rPr>
          <w:rFonts w:eastAsia="Times New Roman" w:cs="Times New Roman"/>
          <w:color w:val="000000"/>
          <w:szCs w:val="24"/>
        </w:rPr>
        <w:t xml:space="preserve">and </w:t>
      </w:r>
      <w:r w:rsidRPr="0044257B">
        <w:rPr>
          <w:rFonts w:eastAsia="Times New Roman" w:cs="Times New Roman"/>
          <w:b/>
          <w:bCs/>
          <w:color w:val="000000"/>
          <w:szCs w:val="24"/>
        </w:rPr>
        <w:fldChar w:fldCharType="begin"/>
      </w:r>
      <w:r w:rsidRPr="0044257B">
        <w:rPr>
          <w:rFonts w:eastAsia="Times New Roman" w:cs="Times New Roman"/>
          <w:b/>
          <w:bCs/>
          <w:color w:val="000000"/>
          <w:szCs w:val="24"/>
        </w:rPr>
        <w:instrText xml:space="preserve"> REF _Ref100268679 \h  \* MERGEFORMAT </w:instrText>
      </w:r>
      <w:r w:rsidRPr="0044257B">
        <w:rPr>
          <w:rFonts w:eastAsia="Times New Roman" w:cs="Times New Roman"/>
          <w:b/>
          <w:bCs/>
          <w:color w:val="000000"/>
          <w:szCs w:val="24"/>
        </w:rPr>
      </w:r>
      <w:r w:rsidRPr="0044257B">
        <w:rPr>
          <w:rFonts w:eastAsia="Times New Roman" w:cs="Times New Roman"/>
          <w:b/>
          <w:bCs/>
          <w:color w:val="000000"/>
          <w:szCs w:val="24"/>
        </w:rPr>
        <w:fldChar w:fldCharType="separate"/>
      </w:r>
      <w:r w:rsidR="00AA5AAC" w:rsidRPr="00AA5AAC">
        <w:rPr>
          <w:b/>
          <w:bCs/>
        </w:rPr>
        <w:t>Figure 4.3</w:t>
      </w:r>
      <w:r w:rsidRPr="0044257B">
        <w:rPr>
          <w:rFonts w:eastAsia="Times New Roman" w:cs="Times New Roman"/>
          <w:b/>
          <w:bCs/>
          <w:color w:val="000000"/>
          <w:szCs w:val="24"/>
        </w:rPr>
        <w:fldChar w:fldCharType="end"/>
      </w:r>
      <w:r w:rsidRPr="0044257B">
        <w:rPr>
          <w:rFonts w:eastAsia="Times New Roman" w:cs="Times New Roman"/>
          <w:color w:val="000000"/>
          <w:szCs w:val="24"/>
        </w:rPr>
        <w:t xml:space="preserve">, respectively. To avoid off-target interactions, we decided to focus our efforts on viral protein target candidates over host proteins. </w:t>
      </w:r>
    </w:p>
    <w:p w14:paraId="05BA3E77" w14:textId="77777777" w:rsidR="0044257B" w:rsidRPr="0044257B" w:rsidRDefault="0044257B" w:rsidP="0044257B">
      <w:pPr>
        <w:spacing w:after="0"/>
        <w:rPr>
          <w:rFonts w:eastAsia="Times New Roman" w:cs="Times New Roman"/>
          <w:color w:val="000000"/>
          <w:szCs w:val="24"/>
        </w:rPr>
      </w:pPr>
    </w:p>
    <w:p w14:paraId="54FB105B" w14:textId="49FAA3A5" w:rsidR="0044257B" w:rsidRPr="0044257B" w:rsidRDefault="0044257B" w:rsidP="0044257B">
      <w:pPr>
        <w:keepNext/>
        <w:spacing w:after="240" w:line="240" w:lineRule="auto"/>
        <w:rPr>
          <w:b/>
          <w:iCs/>
          <w:szCs w:val="18"/>
        </w:rPr>
      </w:pPr>
      <w:bookmarkStart w:id="486" w:name="_Ref100258054"/>
      <w:bookmarkStart w:id="487" w:name="_Ref100745268"/>
      <w:r w:rsidRPr="0044257B">
        <w:rPr>
          <w:b/>
          <w:iCs/>
          <w:szCs w:val="18"/>
        </w:rPr>
        <w:t>Table 4.</w:t>
      </w:r>
      <w:bookmarkEnd w:id="486"/>
      <w:r w:rsidR="007E41F6">
        <w:rPr>
          <w:b/>
          <w:iCs/>
          <w:szCs w:val="18"/>
        </w:rPr>
        <w:fldChar w:fldCharType="begin"/>
      </w:r>
      <w:r w:rsidR="007E41F6">
        <w:rPr>
          <w:b/>
          <w:iCs/>
          <w:szCs w:val="18"/>
        </w:rPr>
        <w:instrText xml:space="preserve"> SEQ Table \* ARABIC \r1 </w:instrText>
      </w:r>
      <w:r w:rsidR="007E41F6">
        <w:rPr>
          <w:b/>
          <w:iCs/>
          <w:szCs w:val="18"/>
        </w:rPr>
        <w:fldChar w:fldCharType="separate"/>
      </w:r>
      <w:r w:rsidR="00AA5AAC">
        <w:rPr>
          <w:b/>
          <w:iCs/>
          <w:noProof/>
          <w:szCs w:val="18"/>
        </w:rPr>
        <w:t>1</w:t>
      </w:r>
      <w:r w:rsidR="007E41F6">
        <w:rPr>
          <w:b/>
          <w:iCs/>
          <w:szCs w:val="18"/>
        </w:rPr>
        <w:fldChar w:fldCharType="end"/>
      </w:r>
      <w:bookmarkEnd w:id="487"/>
      <w:r w:rsidRPr="0044257B">
        <w:rPr>
          <w:b/>
          <w:iCs/>
          <w:szCs w:val="18"/>
        </w:rPr>
        <w:t xml:space="preserve">. Potential targets for SARS-CoV-2 chemotherapeutics.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283"/>
        <w:gridCol w:w="2402"/>
        <w:gridCol w:w="3510"/>
        <w:gridCol w:w="2155"/>
      </w:tblGrid>
      <w:tr w:rsidR="0044257B" w:rsidRPr="0044257B" w14:paraId="15653E84" w14:textId="77777777" w:rsidTr="00562397">
        <w:trPr>
          <w:trHeight w:val="494"/>
        </w:trPr>
        <w:tc>
          <w:tcPr>
            <w:tcW w:w="1283" w:type="dxa"/>
            <w:tcBorders>
              <w:top w:val="single" w:sz="4" w:space="0" w:color="auto"/>
              <w:bottom w:val="single" w:sz="4" w:space="0" w:color="auto"/>
            </w:tcBorders>
            <w:vAlign w:val="center"/>
          </w:tcPr>
          <w:p w14:paraId="3EAF4495" w14:textId="77777777" w:rsidR="0044257B" w:rsidRPr="0044257B" w:rsidRDefault="0044257B" w:rsidP="0044257B">
            <w:pPr>
              <w:spacing w:line="240" w:lineRule="auto"/>
              <w:jc w:val="center"/>
              <w:rPr>
                <w:rFonts w:eastAsia="Times New Roman" w:cs="Times New Roman"/>
                <w:b/>
                <w:bCs/>
                <w:color w:val="000000"/>
                <w:szCs w:val="24"/>
              </w:rPr>
            </w:pPr>
            <w:r w:rsidRPr="0044257B">
              <w:rPr>
                <w:rFonts w:eastAsia="Times New Roman" w:cs="Times New Roman"/>
                <w:b/>
                <w:bCs/>
                <w:color w:val="000000"/>
                <w:szCs w:val="24"/>
              </w:rPr>
              <w:t>Target Candidate</w:t>
            </w:r>
          </w:p>
        </w:tc>
        <w:tc>
          <w:tcPr>
            <w:tcW w:w="2402" w:type="dxa"/>
            <w:tcBorders>
              <w:top w:val="single" w:sz="4" w:space="0" w:color="auto"/>
              <w:bottom w:val="single" w:sz="4" w:space="0" w:color="auto"/>
            </w:tcBorders>
            <w:vAlign w:val="center"/>
          </w:tcPr>
          <w:p w14:paraId="64E6D394" w14:textId="77777777" w:rsidR="0044257B" w:rsidRPr="0044257B" w:rsidRDefault="0044257B" w:rsidP="0044257B">
            <w:pPr>
              <w:spacing w:line="240" w:lineRule="auto"/>
              <w:jc w:val="center"/>
              <w:rPr>
                <w:rFonts w:eastAsia="Times New Roman" w:cs="Times New Roman"/>
                <w:b/>
                <w:bCs/>
                <w:color w:val="000000"/>
                <w:szCs w:val="24"/>
              </w:rPr>
            </w:pPr>
            <w:r w:rsidRPr="0044257B">
              <w:rPr>
                <w:rFonts w:eastAsia="Times New Roman" w:cs="Times New Roman"/>
                <w:b/>
                <w:bCs/>
                <w:color w:val="000000"/>
                <w:szCs w:val="24"/>
              </w:rPr>
              <w:t>Full Name</w:t>
            </w:r>
          </w:p>
        </w:tc>
        <w:tc>
          <w:tcPr>
            <w:tcW w:w="3510" w:type="dxa"/>
            <w:tcBorders>
              <w:top w:val="single" w:sz="4" w:space="0" w:color="auto"/>
              <w:bottom w:val="single" w:sz="4" w:space="0" w:color="auto"/>
            </w:tcBorders>
            <w:vAlign w:val="center"/>
          </w:tcPr>
          <w:p w14:paraId="064FD19A" w14:textId="77777777" w:rsidR="0044257B" w:rsidRPr="0044257B" w:rsidRDefault="0044257B" w:rsidP="0044257B">
            <w:pPr>
              <w:spacing w:line="240" w:lineRule="auto"/>
              <w:jc w:val="center"/>
              <w:rPr>
                <w:rFonts w:eastAsia="Times New Roman" w:cs="Times New Roman"/>
                <w:b/>
                <w:bCs/>
                <w:color w:val="000000"/>
                <w:szCs w:val="24"/>
              </w:rPr>
            </w:pPr>
            <w:r w:rsidRPr="0044257B">
              <w:rPr>
                <w:rFonts w:eastAsia="Times New Roman" w:cs="Times New Roman"/>
                <w:b/>
                <w:bCs/>
                <w:color w:val="000000"/>
                <w:szCs w:val="24"/>
              </w:rPr>
              <w:t>Role in Viral Infection</w:t>
            </w:r>
          </w:p>
        </w:tc>
        <w:tc>
          <w:tcPr>
            <w:tcW w:w="2155" w:type="dxa"/>
            <w:tcBorders>
              <w:top w:val="single" w:sz="4" w:space="0" w:color="auto"/>
              <w:bottom w:val="single" w:sz="4" w:space="0" w:color="auto"/>
            </w:tcBorders>
            <w:vAlign w:val="center"/>
          </w:tcPr>
          <w:p w14:paraId="3F28A596" w14:textId="77777777" w:rsidR="0044257B" w:rsidRPr="0044257B" w:rsidRDefault="0044257B" w:rsidP="0044257B">
            <w:pPr>
              <w:spacing w:line="240" w:lineRule="auto"/>
              <w:jc w:val="center"/>
              <w:rPr>
                <w:rFonts w:eastAsia="Times New Roman" w:cs="Times New Roman"/>
                <w:b/>
                <w:bCs/>
                <w:color w:val="000000"/>
                <w:szCs w:val="24"/>
              </w:rPr>
            </w:pPr>
            <w:r w:rsidRPr="0044257B">
              <w:rPr>
                <w:rFonts w:eastAsia="Times New Roman" w:cs="Times New Roman"/>
                <w:b/>
                <w:bCs/>
                <w:color w:val="000000"/>
                <w:szCs w:val="24"/>
              </w:rPr>
              <w:t>Drug Candidate</w:t>
            </w:r>
          </w:p>
        </w:tc>
      </w:tr>
      <w:tr w:rsidR="0044257B" w:rsidRPr="0044257B" w14:paraId="16EB1991" w14:textId="77777777" w:rsidTr="00562397">
        <w:trPr>
          <w:trHeight w:val="346"/>
        </w:trPr>
        <w:tc>
          <w:tcPr>
            <w:tcW w:w="9350" w:type="dxa"/>
            <w:gridSpan w:val="4"/>
            <w:tcBorders>
              <w:top w:val="single" w:sz="4" w:space="0" w:color="auto"/>
            </w:tcBorders>
            <w:shd w:val="clear" w:color="auto" w:fill="E7E6E6" w:themeFill="background2"/>
          </w:tcPr>
          <w:p w14:paraId="681C0B51" w14:textId="77777777" w:rsidR="0044257B" w:rsidRPr="0044257B" w:rsidRDefault="0044257B" w:rsidP="0044257B">
            <w:pPr>
              <w:spacing w:line="240" w:lineRule="auto"/>
              <w:jc w:val="left"/>
              <w:rPr>
                <w:rFonts w:eastAsia="Times New Roman" w:cs="Times New Roman"/>
                <w:i/>
                <w:iCs/>
                <w:color w:val="000000"/>
                <w:szCs w:val="24"/>
              </w:rPr>
            </w:pPr>
            <w:r w:rsidRPr="0044257B">
              <w:rPr>
                <w:rFonts w:eastAsia="Times New Roman" w:cs="Times New Roman"/>
                <w:i/>
                <w:iCs/>
                <w:color w:val="000000"/>
                <w:szCs w:val="24"/>
              </w:rPr>
              <w:t>viral targets</w:t>
            </w:r>
          </w:p>
        </w:tc>
      </w:tr>
      <w:tr w:rsidR="0044257B" w:rsidRPr="0044257B" w14:paraId="7491A060" w14:textId="77777777" w:rsidTr="00562397">
        <w:trPr>
          <w:trHeight w:val="675"/>
        </w:trPr>
        <w:tc>
          <w:tcPr>
            <w:tcW w:w="1283" w:type="dxa"/>
          </w:tcPr>
          <w:p w14:paraId="54407BCF" w14:textId="77777777" w:rsidR="0044257B" w:rsidRPr="0044257B" w:rsidRDefault="0044257B" w:rsidP="0044257B">
            <w:pPr>
              <w:spacing w:line="240" w:lineRule="auto"/>
              <w:jc w:val="center"/>
              <w:rPr>
                <w:rFonts w:eastAsia="Times New Roman" w:cs="Times New Roman"/>
                <w:color w:val="000000"/>
                <w:szCs w:val="24"/>
              </w:rPr>
            </w:pPr>
            <w:r w:rsidRPr="0044257B">
              <w:rPr>
                <w:rFonts w:eastAsia="Times New Roman" w:cs="Times New Roman"/>
                <w:color w:val="000000"/>
                <w:szCs w:val="24"/>
              </w:rPr>
              <w:t>3CL</w:t>
            </w:r>
            <w:r w:rsidRPr="0044257B">
              <w:rPr>
                <w:rFonts w:eastAsia="Times New Roman" w:cs="Times New Roman"/>
                <w:color w:val="000000"/>
                <w:szCs w:val="24"/>
                <w:vertAlign w:val="superscript"/>
              </w:rPr>
              <w:t>pro</w:t>
            </w:r>
            <w:r w:rsidRPr="0044257B">
              <w:rPr>
                <w:rFonts w:eastAsia="Times New Roman" w:cs="Times New Roman"/>
                <w:color w:val="000000"/>
                <w:szCs w:val="24"/>
              </w:rPr>
              <w:t xml:space="preserve">/ </w:t>
            </w:r>
            <w:proofErr w:type="spellStart"/>
            <w:r w:rsidRPr="0044257B">
              <w:rPr>
                <w:rFonts w:eastAsia="Times New Roman" w:cs="Times New Roman"/>
                <w:color w:val="000000"/>
                <w:szCs w:val="24"/>
              </w:rPr>
              <w:t>M</w:t>
            </w:r>
            <w:r w:rsidRPr="0044257B">
              <w:rPr>
                <w:rFonts w:eastAsia="Times New Roman" w:cs="Times New Roman"/>
                <w:color w:val="000000"/>
                <w:szCs w:val="24"/>
                <w:vertAlign w:val="superscript"/>
              </w:rPr>
              <w:t>pro</w:t>
            </w:r>
            <w:proofErr w:type="spellEnd"/>
          </w:p>
        </w:tc>
        <w:tc>
          <w:tcPr>
            <w:tcW w:w="2402" w:type="dxa"/>
          </w:tcPr>
          <w:p w14:paraId="48DA8D83"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3-chemotrypsin-like or main protease</w:t>
            </w:r>
          </w:p>
        </w:tc>
        <w:tc>
          <w:tcPr>
            <w:tcW w:w="3510" w:type="dxa"/>
          </w:tcPr>
          <w:p w14:paraId="0373C837"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proteolysis of viral polyproteins, assists in cellular entry</w:t>
            </w:r>
          </w:p>
        </w:tc>
        <w:tc>
          <w:tcPr>
            <w:tcW w:w="2155" w:type="dxa"/>
          </w:tcPr>
          <w:p w14:paraId="0BD48F7F"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lopinavir (</w:t>
            </w:r>
            <w:r w:rsidRPr="0044257B">
              <w:rPr>
                <w:rFonts w:eastAsia="Times New Roman" w:cs="Times New Roman"/>
                <w:b/>
                <w:bCs/>
                <w:color w:val="000000"/>
                <w:szCs w:val="24"/>
              </w:rPr>
              <w:t>4.1</w:t>
            </w:r>
            <w:r w:rsidRPr="0044257B">
              <w:rPr>
                <w:rFonts w:eastAsia="Times New Roman" w:cs="Times New Roman"/>
                <w:color w:val="000000"/>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{"citationID":"3Puh5Pyy","properties":{"formattedCitation":"\\super 24\\nosupersub{}","plainCitation":"24","noteIndex":0},"citationItems":[{"id":778,"uris":["http://zotero.org/users/6503767/items/3SMVMHYS"],"itemData":{"id":778,"type":"article-journal","container-title":"Proceedings of the National Academy of Sciences","DOI":"10.1073/pnas.0403596101","issue":"27","note":"publisher: Proceedings of the National Academy of Sciences","page":"10012-10017","source":"pnas.org (Atypon)","title":"Small molecules targeting severe acute respiratory syndrome human coronavirus","volume":"101","author":[{"family":"Wu","given":"Chung-Yi"},{"family":"Jan","given":"Jia-Tsrong"},{"family":"Ma","given":"Shiou-Hwa"},{"family":"Kuo","given":"Chih-Jung"},{"family":"Juan","given":"Hsueh-Fen"},{"family":"Cheng","given":"Yih-Shyun E."},{"family":"Hsu","given":"Hsien-Hua"},{"family":"Huang","given":"Hsuan-Cheng"},{"family":"Wu","given":"Douglass"},{"family":"Brik","given":"Ashraf"},{"family":"Liang","given":"Fu-Sen"},{"family":"Liu","given":"Rai-Shung"},{"family":"Fang","given":"Jim-Min"},{"family":"Chen","given":"Shui-Tein"},{"family":"Liang","given":"Po-Huang"},{"family":"Wong","given":"Chi-Huey"}],"issued":{"date-parts":[["2004",7,6]]}}}],"schema":"https://github.com/citation-style-language/schema/raw/master/csl-citation.json"} </w:instrText>
            </w:r>
            <w:r w:rsidRPr="0044257B">
              <w:rPr>
                <w:rFonts w:eastAsia="Times New Roman" w:cs="Times New Roman"/>
                <w:color w:val="000000"/>
                <w:szCs w:val="24"/>
              </w:rPr>
              <w:fldChar w:fldCharType="separate"/>
            </w:r>
            <w:r w:rsidRPr="0044257B">
              <w:rPr>
                <w:rFonts w:eastAsia="Times New Roman" w:cs="Times New Roman"/>
                <w:szCs w:val="24"/>
                <w:vertAlign w:val="superscript"/>
              </w:rPr>
              <w:t>24</w:t>
            </w:r>
            <w:r w:rsidRPr="0044257B">
              <w:rPr>
                <w:rFonts w:eastAsia="Times New Roman" w:cs="Times New Roman"/>
                <w:color w:val="000000"/>
                <w:szCs w:val="24"/>
              </w:rPr>
              <w:fldChar w:fldCharType="end"/>
            </w:r>
          </w:p>
        </w:tc>
      </w:tr>
      <w:tr w:rsidR="0044257B" w:rsidRPr="0044257B" w14:paraId="14464022" w14:textId="77777777" w:rsidTr="00562397">
        <w:trPr>
          <w:trHeight w:val="639"/>
        </w:trPr>
        <w:tc>
          <w:tcPr>
            <w:tcW w:w="1283" w:type="dxa"/>
          </w:tcPr>
          <w:p w14:paraId="11C26748" w14:textId="77777777" w:rsidR="0044257B" w:rsidRPr="0044257B" w:rsidRDefault="0044257B" w:rsidP="0044257B">
            <w:pPr>
              <w:spacing w:line="240" w:lineRule="auto"/>
              <w:jc w:val="center"/>
              <w:rPr>
                <w:rFonts w:eastAsia="Times New Roman" w:cs="Times New Roman"/>
                <w:color w:val="000000"/>
                <w:szCs w:val="24"/>
              </w:rPr>
            </w:pPr>
            <w:proofErr w:type="spellStart"/>
            <w:r w:rsidRPr="0044257B">
              <w:rPr>
                <w:rFonts w:eastAsia="Times New Roman" w:cs="Times New Roman"/>
                <w:color w:val="000000"/>
                <w:szCs w:val="24"/>
              </w:rPr>
              <w:t>PL</w:t>
            </w:r>
            <w:r w:rsidRPr="0044257B">
              <w:rPr>
                <w:rFonts w:eastAsia="Times New Roman" w:cs="Times New Roman"/>
                <w:color w:val="000000"/>
                <w:szCs w:val="24"/>
                <w:vertAlign w:val="superscript"/>
              </w:rPr>
              <w:t>pro</w:t>
            </w:r>
            <w:proofErr w:type="spellEnd"/>
          </w:p>
        </w:tc>
        <w:tc>
          <w:tcPr>
            <w:tcW w:w="2402" w:type="dxa"/>
          </w:tcPr>
          <w:p w14:paraId="6A00F7EA"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papain-like protease</w:t>
            </w:r>
          </w:p>
        </w:tc>
        <w:tc>
          <w:tcPr>
            <w:tcW w:w="3510" w:type="dxa"/>
          </w:tcPr>
          <w:p w14:paraId="4233C624"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proteolysis of viral polyproteins, assists in cellular entry</w:t>
            </w:r>
          </w:p>
        </w:tc>
        <w:tc>
          <w:tcPr>
            <w:tcW w:w="2155" w:type="dxa"/>
          </w:tcPr>
          <w:p w14:paraId="57452FC3"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szCs w:val="24"/>
                <w:shd w:val="clear" w:color="auto" w:fill="FFFFFF"/>
              </w:rPr>
              <w:t>indinavir (</w:t>
            </w:r>
            <w:r w:rsidRPr="0044257B">
              <w:rPr>
                <w:rFonts w:eastAsia="Times New Roman" w:cs="Times New Roman"/>
                <w:b/>
                <w:bCs/>
                <w:szCs w:val="24"/>
                <w:shd w:val="clear" w:color="auto" w:fill="FFFFFF"/>
              </w:rPr>
              <w:t>4.2</w:t>
            </w:r>
            <w:r w:rsidRPr="0044257B">
              <w:rPr>
                <w:rFonts w:eastAsia="Times New Roman" w:cs="Times New Roman"/>
                <w:szCs w:val="24"/>
                <w:shd w:val="clear" w:color="auto" w:fill="FFFFFF"/>
              </w:rPr>
              <w:t>),</w:t>
            </w:r>
            <w:r w:rsidRPr="0044257B">
              <w:rPr>
                <w:rFonts w:eastAsia="Times New Roman" w:cs="Times New Roman"/>
                <w:szCs w:val="24"/>
                <w:shd w:val="clear" w:color="auto" w:fill="FFFFFF"/>
              </w:rPr>
              <w:fldChar w:fldCharType="begin"/>
            </w:r>
            <w:r w:rsidRPr="0044257B">
              <w:rPr>
                <w:rFonts w:eastAsia="Times New Roman" w:cs="Times New Roman"/>
                <w:szCs w:val="24"/>
                <w:shd w:val="clear" w:color="auto" w:fill="FFFFFF"/>
              </w:rPr>
              <w:instrText xml:space="preserve"> ADDIN ZOTERO_ITEM CSL_CITATION {"citationID":"KtXDQgdv","properties":{"formattedCitation":"\\super 25\\nosupersub{}","plainCitation":"25","noteIndex":0},"citationItems":[{"id":783,"uris":["http://zotero.org/users/6503767/items/S2LKER7M"],"itemData":{"id":783,"type":"article-journal","abstract":"In the absence of an approved vaccine, developing effective severe acute respiratory syndrome coronavirus 2 (SARS-CoV-2) antivirals is essential to tackle the current pandemic health crisis due to the coronavirus disease 2019 (COVID-19) spread. As any traditional drug discovery program is a time-consuming and costly process requiring more than one decade to be completed, in silico repurposing of existing drugs is the preferred way for rapidly selecting promising clinical candidates. We present a virtual screening campaign to identify covalent and non-covalent inhibitors of the SARS-CoV-2 papain-like protease (PLpro) showing potential multitarget activities (i.e., a desirable polypharmacology profile) for the COVID-19 treatment. A dataset including 688 phase III and 1,702 phase IV clinical trial drugs was downloaded from ChEMBL (version 27.1) and docked to the recently released crystal structure of PLpro in complex with a covalently bound peptide inhibitor. The obtained results were analyzed by combining protein–ligand interaction fingerprint similarities, conventional docking scores, and MM-GBSA–binding free energies and allowed the identification of some interesting candidates for further in vitro testing. To the best of our knowledge, this study represents the first attempt to repurpose drugs for a covalent inhibition of PLpro and could pave the way for new therapeutic strategies against COVID-19.","container-title":"Frontiers in Chemistry","ISSN":"2296-2646","source":"Frontiers","title":"Repurposing Known Drugs as Covalent and Non-covalent Inhibitors of the SARS-CoV-2 Papain-Like Protease","URL":"https://www.frontiersin.org/article/10.3389/fchem.2020.594009","volume":"8","author":[{"family":"Delre","given":"Pietro"},{"family":"Caporuscio","given":"Fabiana"},{"family":"Saviano","given":"Michele"},{"family":"Mangiatordi","given":"Giuseppe Felice"}],"accessed":{"date-parts":[["2022",4,1]]},"issued":{"date-parts":[["2020"]]}}}],"schema":"https://github.com/citation-style-language/schema/raw/master/csl-citation.json"} </w:instrText>
            </w:r>
            <w:r w:rsidRPr="0044257B">
              <w:rPr>
                <w:rFonts w:eastAsia="Times New Roman" w:cs="Times New Roman"/>
                <w:szCs w:val="24"/>
                <w:shd w:val="clear" w:color="auto" w:fill="FFFFFF"/>
              </w:rPr>
              <w:fldChar w:fldCharType="separate"/>
            </w:r>
            <w:r w:rsidRPr="0044257B">
              <w:rPr>
                <w:rFonts w:eastAsia="Times New Roman" w:cs="Times New Roman"/>
                <w:szCs w:val="24"/>
                <w:vertAlign w:val="superscript"/>
              </w:rPr>
              <w:t>25</w:t>
            </w:r>
            <w:r w:rsidRPr="0044257B">
              <w:rPr>
                <w:rFonts w:eastAsia="Times New Roman" w:cs="Times New Roman"/>
                <w:szCs w:val="24"/>
                <w:shd w:val="clear" w:color="auto" w:fill="FFFFFF"/>
              </w:rPr>
              <w:fldChar w:fldCharType="end"/>
            </w:r>
            <w:r w:rsidRPr="0044257B">
              <w:rPr>
                <w:rFonts w:eastAsia="Times New Roman" w:cs="Times New Roman"/>
                <w:szCs w:val="24"/>
                <w:shd w:val="clear" w:color="auto" w:fill="FFFFFF"/>
              </w:rPr>
              <w:t xml:space="preserve"> </w:t>
            </w:r>
            <w:r w:rsidRPr="0044257B">
              <w:rPr>
                <w:rFonts w:eastAsia="Times New Roman" w:cs="Times New Roman"/>
                <w:color w:val="000000"/>
                <w:szCs w:val="24"/>
              </w:rPr>
              <w:t>amprenavir (</w:t>
            </w:r>
            <w:r w:rsidRPr="0044257B">
              <w:rPr>
                <w:rFonts w:eastAsia="Times New Roman" w:cs="Times New Roman"/>
                <w:b/>
                <w:bCs/>
                <w:color w:val="000000"/>
                <w:szCs w:val="24"/>
              </w:rPr>
              <w:t>4.3</w:t>
            </w:r>
            <w:r w:rsidRPr="0044257B">
              <w:rPr>
                <w:rFonts w:eastAsia="Times New Roman" w:cs="Times New Roman"/>
                <w:color w:val="000000"/>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{"citationID":"bQxPFHwJ","properties":{"formattedCitation":"\\super 26\\nosupersub{}","plainCitation":"26","noteIndex":0},"citationItems":[{"id":780,"uris":["http://zotero.org/users/6503767/items/3NZVLZPZ"],"itemData":{"id":780,"type":"article-journal","abstract":"The papain-like protease (PLpro) is vital for the replication of coronaviruses (CoVs), as well as for escaping innate-immune responses of the host. Hence, it has emerged as an attractive antiviral drug-target. In this study, computational approaches were employed, mainly the structure-based virtual screening coupled with all-atom molecular dynamics (MD) simulations to computationally identify specific inhibitors of severe acute respiratory syndrome coronavirus 2 (SARS-CoV-2) PLpro, which can be further developed as potential pan-PLpro based broad-spectrum antiviral drugs. The sequence, structure, and functional conserveness of most deadly human CoVs PLpro were explored, and it was revealed that functionally important catalytic triad residues are well conserved among SARS-CoV, SARS-CoV-2, and middle east respiratory syndrome coronavirus (MERS-CoV). The subsequent screening of a focused protease inhibitors database composed of </w:instrText>
            </w:r>
            <w:r w:rsidRPr="0044257B">
              <w:rPr>
                <w:rFonts w:ascii="Cambria Math" w:eastAsia="Times New Roman" w:hAnsi="Cambria Math" w:cs="Cambria Math"/>
                <w:color w:val="000000"/>
                <w:szCs w:val="24"/>
              </w:rPr>
              <w:instrText>∼</w:instrText>
            </w:r>
            <w:r w:rsidRPr="0044257B">
              <w:rPr>
                <w:rFonts w:eastAsia="Times New Roman" w:cs="Times New Roman"/>
                <w:color w:val="000000"/>
                <w:szCs w:val="24"/>
              </w:rPr>
              <w:instrText xml:space="preserve">7,000 compounds resulted in the identification of three candidate compounds, ADM_13083841, LMG_15521745, and SYN_15517940. These three compounds established conserved interactions which were further explored through MD simulations, free energy calculations, and residual energy contribution estimated by MM-PB(GB)SA method. All these compounds showed stable conformation and interacted well with the active residues of SARS-CoV-2 PLpro, and showed consistent interaction profile with SARS-CoV PLpro and MERS-CoV PLpro as well. Conclusively, the reported SARS-CoV-2 PLpro specific compounds could serve as seeds for developing potent pan-PLpro based broad-spectrum antiviral drugs against deadly human coronaviruses. Moreover, the presented information related to binding site residual energy contribution could lead to further optimization of these compounds.","container-title":"Journal of Pharmaceutical Analysis","DOI":"10.1016/j.jpha.2020.08.012","ISSN":"2095-1779","issue":"6","journalAbbreviation":"Journal of Pharmaceutical Analysis","language":"en","page":"546-559","source":"ScienceDirect","title":"Discovery of human coronaviruses pan-papain-like protease inhibitors using computational approaches","volume":"10","author":[{"family":"Alamri","given":"Mubarak A."},{"family":"Tahir ul Qamar","given":"Muhammad"},{"family":"Mirza","given":"Muhammad Usman"},{"family":"Alqahtani","given":"Safar M."},{"family":"Froeyen","given":"Matheus"},{"family":"Chen","given":"Ling-Ling"}],"issued":{"date-parts":[["2020",12,1]]}}}],"schema":"https://github.com/citation-style-language/schema/raw/master/csl-citation.json"} </w:instrText>
            </w:r>
            <w:r w:rsidRPr="0044257B">
              <w:rPr>
                <w:rFonts w:eastAsia="Times New Roman" w:cs="Times New Roman"/>
                <w:color w:val="000000"/>
                <w:szCs w:val="24"/>
              </w:rPr>
              <w:fldChar w:fldCharType="separate"/>
            </w:r>
            <w:r w:rsidRPr="0044257B">
              <w:rPr>
                <w:rFonts w:eastAsia="Times New Roman" w:cs="Times New Roman"/>
                <w:szCs w:val="24"/>
                <w:vertAlign w:val="superscript"/>
              </w:rPr>
              <w:t>26</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w:t>
            </w:r>
          </w:p>
        </w:tc>
      </w:tr>
      <w:tr w:rsidR="0044257B" w:rsidRPr="0044257B" w14:paraId="453EE110" w14:textId="77777777" w:rsidTr="00562397">
        <w:trPr>
          <w:trHeight w:val="621"/>
        </w:trPr>
        <w:tc>
          <w:tcPr>
            <w:tcW w:w="1283" w:type="dxa"/>
            <w:tcBorders>
              <w:bottom w:val="nil"/>
            </w:tcBorders>
          </w:tcPr>
          <w:p w14:paraId="6617083B" w14:textId="77777777" w:rsidR="0044257B" w:rsidRPr="0044257B" w:rsidRDefault="0044257B" w:rsidP="0044257B">
            <w:pPr>
              <w:spacing w:line="240" w:lineRule="auto"/>
              <w:jc w:val="center"/>
              <w:rPr>
                <w:rFonts w:eastAsia="Times New Roman" w:cs="Times New Roman"/>
                <w:color w:val="000000"/>
                <w:szCs w:val="24"/>
              </w:rPr>
            </w:pPr>
            <w:proofErr w:type="spellStart"/>
            <w:r w:rsidRPr="0044257B">
              <w:rPr>
                <w:rFonts w:eastAsia="Times New Roman" w:cs="Times New Roman"/>
                <w:color w:val="000000"/>
                <w:szCs w:val="24"/>
              </w:rPr>
              <w:t>RdRp</w:t>
            </w:r>
            <w:proofErr w:type="spellEnd"/>
          </w:p>
        </w:tc>
        <w:tc>
          <w:tcPr>
            <w:tcW w:w="2402" w:type="dxa"/>
            <w:tcBorders>
              <w:bottom w:val="nil"/>
            </w:tcBorders>
          </w:tcPr>
          <w:p w14:paraId="1CA39BE6"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RNA-dependent RNA polymerase</w:t>
            </w:r>
          </w:p>
        </w:tc>
        <w:tc>
          <w:tcPr>
            <w:tcW w:w="3510" w:type="dxa"/>
            <w:tcBorders>
              <w:bottom w:val="nil"/>
            </w:tcBorders>
          </w:tcPr>
          <w:p w14:paraId="4BA07F93"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involved in replicating viral genome</w:t>
            </w:r>
          </w:p>
        </w:tc>
        <w:tc>
          <w:tcPr>
            <w:tcW w:w="2155" w:type="dxa"/>
            <w:tcBorders>
              <w:bottom w:val="nil"/>
            </w:tcBorders>
          </w:tcPr>
          <w:p w14:paraId="674B0D02"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remdesivir (</w:t>
            </w:r>
            <w:r w:rsidRPr="0044257B">
              <w:rPr>
                <w:rFonts w:eastAsia="Times New Roman" w:cs="Times New Roman"/>
                <w:b/>
                <w:bCs/>
                <w:color w:val="000000"/>
                <w:szCs w:val="24"/>
              </w:rPr>
              <w:t>4.4</w:t>
            </w:r>
            <w:r w:rsidRPr="0044257B">
              <w:rPr>
                <w:rFonts w:eastAsia="Times New Roman" w:cs="Times New Roman"/>
                <w:color w:val="000000"/>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{"citationID":"E7BYuYH5","properties":{"formattedCitation":"\\super 27\\nosupersub{}","plainCitation":"27","noteIndex":0},"citationItems":[{"id":775,"uris":["http://zotero.org/users/6503767/items/USFREUE4"],"itemData":{"id":775,"type":"article-journal","abstract":"Remdesivir (GS-5734) is a 1′-cyano-substituted adenosine nucleotide analogue prodrug that shows broad-spectrum antiviral activity against several RNA viruses. This compound is currently under clinical development for the treatment of Ebola virus disease (EVD). While antiviral effects have been demonstrated in cell culture and in non-human primates, the mechanism of action of Ebola virus (EBOV) inhibition for remdesivir remains to be fully elucidated. The EBOV RNA-dependent RNA polymerase (RdRp) complex was recently expressed and purified, enabling biochemical studies with the relevant triphosphate (TP) form of remdesivir and its presumptive target. In this study, we confirmed that remdesivir-TP is able to compete for incorporation with adenosine triphosphate (ATP). Enzyme kinetics revealed that EBOV RdRp and respiratory syncytial virus (RSV) RdRp incorporate ATP and remdesivir-TP with similar efficiencies. The selectivity of ATP against remdesivir-TP is ~4 for EBOV RdRp and ~3 for RSV RdRp. In contrast, purified human mitochondrial RNA polymerase (h-mtRNAP) effectively discriminates against remdesivir-TP with a selectivity value of ~500-fold. For EBOV RdRp, the incorporated inhibitor at position i does not affect the ensuing nucleotide incorporation event at position i+1. For RSV RdRp, we measured a ~6-fold inhibition at position i+1 although RNA synthesis was not terminated. Chain termination was in both cases delayed and was seen predominantly at position i+5. This pattern is specific to remdesivir-TP and its 1′-cyano modification. Compounds with modifications at the 2′-position show different patterns of inhibition. While 2′-C-methyl-ATP is not incorporated, ara-ATP acts as a non-obligate chain terminator and prevents nucleotide incorporation at position i+1. Taken together, our biochemical data indicate that the major contribution to EBOV RNA synthesis inhibition by remdesivir can be ascribed to delayed chain termination. The long distance of five residues between the incorporated nucleotide analogue and its inhibitory effect warrant further investigation.","container-title":"Viruses","DOI":"10.3390/v11040326","ISSN":"1999-4915","issue":"4","journalAbbreviation":"Viruses","note":"PMID: 30987343\nPMCID: PMC6520719","page":"326","source":"PubMed Central","title":"Mechanism of Inhibition of Ebola Virus RNA-Dependent RNA Polymerase by Remdesivir","volume":"11","author":[{"family":"Tchesnokov","given":"Egor P."},{"family":"Feng","given":"Joy Y."},{"family":"Porter","given":"Danielle P."},{"family":"Götte","given":"Matthias"}],"issued":{"date-parts":[["2019",4,4]]}}}],"schema":"https://github.com/citation-style-language/schema/raw/master/csl-citation.json"} </w:instrText>
            </w:r>
            <w:r w:rsidRPr="0044257B">
              <w:rPr>
                <w:rFonts w:eastAsia="Times New Roman" w:cs="Times New Roman"/>
                <w:color w:val="000000"/>
                <w:szCs w:val="24"/>
              </w:rPr>
              <w:fldChar w:fldCharType="separate"/>
            </w:r>
            <w:r w:rsidRPr="0044257B">
              <w:rPr>
                <w:rFonts w:eastAsia="Times New Roman" w:cs="Times New Roman"/>
                <w:szCs w:val="24"/>
                <w:vertAlign w:val="superscript"/>
              </w:rPr>
              <w:t>27</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ribavirin (</w:t>
            </w:r>
            <w:r w:rsidRPr="0044257B">
              <w:rPr>
                <w:rFonts w:eastAsia="Times New Roman" w:cs="Times New Roman"/>
                <w:b/>
                <w:bCs/>
                <w:color w:val="000000"/>
                <w:szCs w:val="24"/>
              </w:rPr>
              <w:t>4.5</w:t>
            </w:r>
            <w:r w:rsidRPr="0044257B">
              <w:rPr>
                <w:rFonts w:eastAsia="Times New Roman" w:cs="Times New Roman"/>
                <w:color w:val="000000"/>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{"citationID":"jgeHNKpE","properties":{"formattedCitation":"\\super 28\\nosupersub{}","plainCitation":"28","noteIndex":0},"citationItems":[{"id":785,"uris":["http://zotero.org/users/6503767/items/Y23AEFV7"],"itemData":{"id":785,"type":"article-journal","abstract":"Ribavirin, an antiviral drug discovered in 1972, is interesting and important for three reasons: (a) it exhibits antiviral activity against a broad range of RNA viruses; (b) it is currently used clinically to treat hepatitis C virus infections, respiratory syncytial virus infections, and Lassa fever virus infections; and (c) ribavirin's mechanism of action has remained unclear for many years. Here we recount the history of ribavirin and review recent reports regarding ribavirin's mechanism of action, including our studies demonstrating that ribavirin is an RNA virus mutagen and ribavirin's primary antiviral mechanism of action against a model RNA virus is via lethal mutagenesis of the RNA virus genomes. Implications for the development of improved versions of ribavirin and for the development of novel antiviral drugs are discussed.","container-title":"Journal of Molecular Medicine","DOI":"10.1007/s00109-001-0308-0","ISSN":"1432-1440","issue":"2","journalAbbreviation":"J Mol Med","language":"en","page":"86-95","source":"Springer Link","title":"Ribavirin's antiviral mechanism of action: lethal mutagenesis?","title-short":"Ribavirin's antiviral mechanism of action","volume":"80","author":[{"family":"Crotty","given":"Shane"},{"family":"Cameron","given":"Craig"},{"family":"Andino","given":"Raul"}],"issued":{"date-parts":[["2002",2,1]]}}}],"schema":"https://github.com/citation-style-language/schema/raw/master/csl-citation.json"} </w:instrText>
            </w:r>
            <w:r w:rsidRPr="0044257B">
              <w:rPr>
                <w:rFonts w:eastAsia="Times New Roman" w:cs="Times New Roman"/>
                <w:color w:val="000000"/>
                <w:szCs w:val="24"/>
              </w:rPr>
              <w:fldChar w:fldCharType="separate"/>
            </w:r>
            <w:r w:rsidRPr="0044257B">
              <w:rPr>
                <w:rFonts w:eastAsia="Times New Roman" w:cs="Times New Roman"/>
                <w:szCs w:val="24"/>
                <w:vertAlign w:val="superscript"/>
              </w:rPr>
              <w:t>28</w:t>
            </w:r>
            <w:r w:rsidRPr="0044257B">
              <w:rPr>
                <w:rFonts w:eastAsia="Times New Roman" w:cs="Times New Roman"/>
                <w:color w:val="000000"/>
                <w:szCs w:val="24"/>
              </w:rPr>
              <w:fldChar w:fldCharType="end"/>
            </w:r>
          </w:p>
        </w:tc>
      </w:tr>
      <w:tr w:rsidR="0044257B" w:rsidRPr="0044257B" w14:paraId="124AA460" w14:textId="77777777" w:rsidTr="00562397">
        <w:trPr>
          <w:trHeight w:val="891"/>
        </w:trPr>
        <w:tc>
          <w:tcPr>
            <w:tcW w:w="1283" w:type="dxa"/>
            <w:tcBorders>
              <w:top w:val="nil"/>
              <w:bottom w:val="single" w:sz="4" w:space="0" w:color="auto"/>
            </w:tcBorders>
          </w:tcPr>
          <w:p w14:paraId="184D0CC4" w14:textId="77777777" w:rsidR="0044257B" w:rsidRPr="0044257B" w:rsidRDefault="0044257B" w:rsidP="0044257B">
            <w:pPr>
              <w:spacing w:line="240" w:lineRule="auto"/>
              <w:jc w:val="center"/>
              <w:rPr>
                <w:rFonts w:eastAsia="Times New Roman" w:cs="Times New Roman"/>
                <w:color w:val="000000"/>
                <w:szCs w:val="24"/>
              </w:rPr>
            </w:pPr>
            <w:r w:rsidRPr="0044257B">
              <w:rPr>
                <w:rFonts w:eastAsia="Times New Roman" w:cs="Times New Roman"/>
                <w:color w:val="000000"/>
                <w:szCs w:val="24"/>
              </w:rPr>
              <w:t>S protein</w:t>
            </w:r>
          </w:p>
        </w:tc>
        <w:tc>
          <w:tcPr>
            <w:tcW w:w="2402" w:type="dxa"/>
            <w:tcBorders>
              <w:top w:val="nil"/>
              <w:bottom w:val="single" w:sz="4" w:space="0" w:color="auto"/>
            </w:tcBorders>
          </w:tcPr>
          <w:p w14:paraId="5EEF6888"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spike glycoprotein</w:t>
            </w:r>
          </w:p>
        </w:tc>
        <w:tc>
          <w:tcPr>
            <w:tcW w:w="3510" w:type="dxa"/>
            <w:tcBorders>
              <w:top w:val="nil"/>
              <w:bottom w:val="single" w:sz="4" w:space="0" w:color="auto"/>
            </w:tcBorders>
          </w:tcPr>
          <w:p w14:paraId="218A257D"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mediates cellular entry and has high affinity to the ACE2 receptor</w:t>
            </w:r>
          </w:p>
        </w:tc>
        <w:tc>
          <w:tcPr>
            <w:tcW w:w="2155" w:type="dxa"/>
            <w:tcBorders>
              <w:top w:val="nil"/>
              <w:bottom w:val="single" w:sz="4" w:space="0" w:color="auto"/>
            </w:tcBorders>
          </w:tcPr>
          <w:p w14:paraId="4BCCFE75" w14:textId="77777777" w:rsidR="0044257B" w:rsidRPr="0044257B" w:rsidRDefault="0044257B" w:rsidP="0044257B">
            <w:pPr>
              <w:spacing w:line="240" w:lineRule="auto"/>
              <w:ind w:left="144" w:hanging="144"/>
              <w:jc w:val="left"/>
              <w:rPr>
                <w:rFonts w:eastAsia="Times New Roman" w:cs="Times New Roman"/>
                <w:color w:val="000000"/>
                <w:szCs w:val="24"/>
              </w:rPr>
            </w:pPr>
            <w:proofErr w:type="spellStart"/>
            <w:r w:rsidRPr="0044257B">
              <w:rPr>
                <w:rFonts w:eastAsia="Times New Roman" w:cs="Times New Roman"/>
                <w:color w:val="000000"/>
                <w:szCs w:val="24"/>
              </w:rPr>
              <w:t>umifenovir</w:t>
            </w:r>
            <w:proofErr w:type="spellEnd"/>
            <w:r w:rsidRPr="0044257B">
              <w:rPr>
                <w:rFonts w:eastAsia="Times New Roman" w:cs="Times New Roman"/>
                <w:color w:val="000000"/>
                <w:szCs w:val="24"/>
              </w:rPr>
              <w:t xml:space="preserve"> (</w:t>
            </w:r>
            <w:r w:rsidRPr="0044257B">
              <w:rPr>
                <w:rFonts w:eastAsia="Times New Roman" w:cs="Times New Roman"/>
                <w:b/>
                <w:bCs/>
                <w:color w:val="000000"/>
                <w:szCs w:val="24"/>
              </w:rPr>
              <w:t>4.6</w:t>
            </w:r>
            <w:r w:rsidRPr="0044257B">
              <w:rPr>
                <w:rFonts w:eastAsia="Times New Roman" w:cs="Times New Roman"/>
                <w:color w:val="000000"/>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{"citationID":"nJCF3VAu","properties":{"formattedCitation":"\\super 29\\nosupersub{}","plainCitation":"29","noteIndex":0},"citationItems":[{"id":786,"uris":["http://zotero.org/users/6503767/items/PYYKUR7J"],"itemData":{"id":786,"type":"article-journal","abstract":", Arbidol (ARB) is a broad-spectrum antiviral drug approved in Russia and China for the\ntreatment of influenza. ARB was tested in patients as a drug candidate for the treatment\nat the early onset of COVID-19 caused by the novel severe acute respiratory syndrome\ncoronavirus 2 (SARS-CoV-2). Despite promising clinical results and multiple ongoing\ntrials, preclinical data are lacking and the molecular mechanism of action of ARB\nagainst SARS-CoV-2 remains unknown. Here, we demonstrate that ARB binds to the spike\nviral fusion glycoprotein of the SARS-CoV-2 Wuhan strain as well as its more virulent\nvariants from the United Kingdom (strain B.1.1.7) and South Africa (strain B.1.351). We\npinpoint the ARB binding site on the S protein to the S2 membrane fusion domain and use\nan infection assay with Moloney murine leukemia virus (MLV) pseudoviruses (PVs)\npseudotyped with the S proteins of the Wuhan strain and the new variants to show that\nthis interaction is sufficient for the viral cell entry inhibition by ARB. Finally, our\nexperiments reveal that the ARB interaction leads to a significant destabilization and\neventual lysosomal degradation of the S protein in cells. Collectively, our results\nidentify ARB as the first clinically approved small molecule drug binder of the\nSARS-CoV-2 S protein and place ARB among the more promising drug candidates for\nCOVID-19.","container-title":"ACS Chemical Biology","DOI":"10.1021/acschembio.1c00756","ISSN":"1554-8929","journalAbbreviation":"ACS Chem Biol","note":"PMID: 34792325\nPMCID: PMC8610013","page":"acschembio.1c00756","source":"PubMed Central","title":"Clinical Antiviral Drug Arbidol Inhibits Infection by SARS-CoV-2 and Variants through Direct Binding to the Spike Protein","author":[{"family":"Shuster","given":"Anton"},{"family":"Pechalrieu","given":"Dany"},{"family":"Jackson","given":"Cody B"},{"family":"Abegg","given":"Daniel"},{"family":"Choe","given":"Hyeryun"},{"family":"Adibekian","given":"Alexander"}],"issued":{"date-parts":[["2021",11,18]]}}}],"schema":"https://github.com/citation-style-language/schema/raw/master/csl-citation.json"} </w:instrText>
            </w:r>
            <w:r w:rsidRPr="0044257B">
              <w:rPr>
                <w:rFonts w:eastAsia="Times New Roman" w:cs="Times New Roman"/>
                <w:color w:val="000000"/>
                <w:szCs w:val="24"/>
              </w:rPr>
              <w:fldChar w:fldCharType="separate"/>
            </w:r>
            <w:r w:rsidRPr="0044257B">
              <w:rPr>
                <w:rFonts w:eastAsia="Times New Roman" w:cs="Times New Roman"/>
                <w:szCs w:val="24"/>
                <w:vertAlign w:val="superscript"/>
              </w:rPr>
              <w:t>29</w:t>
            </w:r>
            <w:r w:rsidRPr="0044257B">
              <w:rPr>
                <w:rFonts w:eastAsia="Times New Roman" w:cs="Times New Roman"/>
                <w:color w:val="000000"/>
                <w:szCs w:val="24"/>
              </w:rPr>
              <w:fldChar w:fldCharType="end"/>
            </w:r>
          </w:p>
        </w:tc>
      </w:tr>
      <w:tr w:rsidR="0044257B" w:rsidRPr="0044257B" w14:paraId="4DCFC5C3" w14:textId="77777777" w:rsidTr="00562397">
        <w:trPr>
          <w:trHeight w:val="346"/>
        </w:trPr>
        <w:tc>
          <w:tcPr>
            <w:tcW w:w="9350" w:type="dxa"/>
            <w:gridSpan w:val="4"/>
            <w:tcBorders>
              <w:top w:val="single" w:sz="4" w:space="0" w:color="auto"/>
            </w:tcBorders>
            <w:shd w:val="clear" w:color="auto" w:fill="E7E6E6" w:themeFill="background2"/>
          </w:tcPr>
          <w:p w14:paraId="5490B07E" w14:textId="77777777" w:rsidR="0044257B" w:rsidRPr="0044257B" w:rsidRDefault="0044257B" w:rsidP="0044257B">
            <w:pPr>
              <w:spacing w:line="240" w:lineRule="auto"/>
              <w:jc w:val="left"/>
              <w:rPr>
                <w:rFonts w:eastAsia="Times New Roman" w:cs="Times New Roman"/>
                <w:i/>
                <w:iCs/>
                <w:color w:val="000000"/>
                <w:szCs w:val="24"/>
              </w:rPr>
            </w:pPr>
            <w:r w:rsidRPr="0044257B">
              <w:rPr>
                <w:rFonts w:eastAsia="Times New Roman" w:cs="Times New Roman"/>
                <w:i/>
                <w:iCs/>
                <w:color w:val="000000"/>
                <w:szCs w:val="24"/>
              </w:rPr>
              <w:t>host (human) targets</w:t>
            </w:r>
          </w:p>
        </w:tc>
      </w:tr>
      <w:tr w:rsidR="0044257B" w:rsidRPr="0044257B" w14:paraId="1DC457B4" w14:textId="77777777" w:rsidTr="00562397">
        <w:trPr>
          <w:trHeight w:val="630"/>
        </w:trPr>
        <w:tc>
          <w:tcPr>
            <w:tcW w:w="1283" w:type="dxa"/>
          </w:tcPr>
          <w:p w14:paraId="36E2AA93" w14:textId="77777777" w:rsidR="0044257B" w:rsidRPr="0044257B" w:rsidRDefault="0044257B" w:rsidP="0044257B">
            <w:pPr>
              <w:spacing w:line="240" w:lineRule="auto"/>
              <w:jc w:val="center"/>
              <w:rPr>
                <w:rFonts w:eastAsia="Times New Roman" w:cs="Times New Roman"/>
                <w:color w:val="000000"/>
                <w:szCs w:val="24"/>
              </w:rPr>
            </w:pPr>
            <w:r w:rsidRPr="0044257B">
              <w:rPr>
                <w:rFonts w:eastAsia="Times New Roman" w:cs="Times New Roman"/>
                <w:color w:val="000000"/>
                <w:szCs w:val="24"/>
              </w:rPr>
              <w:t>ACE2</w:t>
            </w:r>
          </w:p>
        </w:tc>
        <w:tc>
          <w:tcPr>
            <w:tcW w:w="2402" w:type="dxa"/>
          </w:tcPr>
          <w:p w14:paraId="30B68FFC"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angiotensin-converting enzyme 2</w:t>
            </w:r>
          </w:p>
        </w:tc>
        <w:tc>
          <w:tcPr>
            <w:tcW w:w="3510" w:type="dxa"/>
          </w:tcPr>
          <w:p w14:paraId="66BE946E"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Receptor with high affinity for the S protein</w:t>
            </w:r>
          </w:p>
        </w:tc>
        <w:tc>
          <w:tcPr>
            <w:tcW w:w="2155" w:type="dxa"/>
          </w:tcPr>
          <w:p w14:paraId="385130A7" w14:textId="77777777" w:rsidR="0044257B" w:rsidRPr="0044257B" w:rsidRDefault="0044257B" w:rsidP="0044257B">
            <w:pPr>
              <w:spacing w:line="240" w:lineRule="auto"/>
              <w:jc w:val="left"/>
              <w:rPr>
                <w:rFonts w:eastAsia="Times New Roman" w:cs="Times New Roman"/>
                <w:color w:val="000000"/>
                <w:szCs w:val="24"/>
              </w:rPr>
            </w:pPr>
            <w:proofErr w:type="spellStart"/>
            <w:r w:rsidRPr="0044257B">
              <w:rPr>
                <w:rFonts w:eastAsia="Times New Roman" w:cs="Times New Roman"/>
                <w:color w:val="000000"/>
                <w:szCs w:val="24"/>
              </w:rPr>
              <w:t>umifenovir</w:t>
            </w:r>
            <w:proofErr w:type="spellEnd"/>
            <w:r w:rsidRPr="0044257B">
              <w:rPr>
                <w:rFonts w:eastAsia="Times New Roman" w:cs="Times New Roman"/>
                <w:color w:val="000000"/>
                <w:szCs w:val="24"/>
              </w:rPr>
              <w:t xml:space="preserve"> (</w:t>
            </w:r>
            <w:r w:rsidRPr="0044257B">
              <w:rPr>
                <w:rFonts w:eastAsia="Times New Roman" w:cs="Times New Roman"/>
                <w:b/>
                <w:bCs/>
                <w:color w:val="000000"/>
                <w:szCs w:val="24"/>
              </w:rPr>
              <w:t>4.6</w:t>
            </w:r>
            <w:r w:rsidRPr="0044257B">
              <w:rPr>
                <w:rFonts w:eastAsia="Times New Roman" w:cs="Times New Roman"/>
                <w:color w:val="000000"/>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{"citationID":"wsCNxI00","properties":{"formattedCitation":"\\super 30\\nosupersub{}","plainCitation":"30","noteIndex":0},"citationItems":[{"id":789,"uris":["http://zotero.org/users/6503767/items/L3FKGWXD"],"itemData":{"id":789,"type":"article-journal","abstract":"The COVID-19 pandemic has spread rapidly and poses an unprecedented threat to the global economy and human health. Broad-spectrum antivirals are currently being administered to treat severe acute respiratory syndrome coronavirus 2 (SARS-CoV-2). China's prevention and treatment guidelines suggest the use of an anti-influenza drug, arbidol, for the clinical treatment of COVID-19. Reports indicate that arbidol could neutralize SARS-CoV-2. Monotherapy with arbidol is superior to lopinavir-ritonavir or favipiravir for treating COVID-19. In SARS-CoV-2 infection, arbidol acts by interfering with viral binding to host cells. However, the detailed mechanism by which arbidol induces the inhibition of SARS-CoV-2 is not known. Here, we present atomistic insights into the mechanism underlying membrane fusion inhibition of SARS-CoV-2 by arbidol. Molecular dynamics (MD) simulation-based analyses demonstrate that arbidol binds and stabilizes at the receptor-binding domain (RBD)/ACE2 interface with a high affinity. It forms stronger intermolecular interactions with the RBD than ACE2. Analyses of the detailed decomposition of energy components and binding affinities revealed a substantial increase in the affinity between the RBD and ACE2 in the arbidol-bound RBD/ACE2 complex, suggesting that arbidol generates favorable interactions between them. Based on our MD simulation results, we propose that the binding of arbidol induces structural rigidity in the viral glycoprotein, thus restricting the conformational rearrangements associated with membrane fusion and virus entry. Furthermore, key residues of the RBD and ACE2 that interact with arbidol were identified, opening the door for developing therapeutic strategies and higher-efficacy arbidol derivatives or lead drug candidates., \n          \n            Image 1\n            \n          \n        , \n          \n            \n              •\n              Arbidol, an anti-influenza drug, interferes with the SARS-CoV-2 binding to host cells.\n            \n            \n              •\n              Structural dynamics studies revealed arbidol's binding to the RBD/ACE2 interface.\n            \n            \n              •\n              Arbidol binds strongly with RBD and induces structural rigidity.\n            \n            \n              •\n              Discrete regions in the RBD/ACE2 interface could be potential druggable pockets for designing better arbidol-derivatives.","container-title":"European Journal of Pharmacology","DOI":"10.1016/j.ejphar.2020.173836","ISSN":"0014-2999","journalAbbreviation":"Eur J Pharmacol","note":"PMID: 33387467\nPMCID: PMC7773528","page":"173836","source":"PubMed Central","title":"Unraveling the mechanism of arbidol binding and inhibition of SARS-CoV-2: Insights from atomistic simulations","title-short":"Unraveling the mechanism of arbidol binding and inhibition of SARS-CoV-2","volume":"894","author":[{"family":"Padhi","given":"Aditya K."},{"family":"Seal","given":"Aniruddha"},{"family":"Khan","given":"Javed Masood"},{"family":"Ahamed","given":"Maqusood"},{"family":"Tripathi","given":"Timir"}],"issued":{"date-parts":[["2021",3,5]]}}}],"schema":"https://github.com/citation-style-language/schema/raw/master/csl-citation.json"} </w:instrText>
            </w:r>
            <w:r w:rsidRPr="0044257B">
              <w:rPr>
                <w:rFonts w:eastAsia="Times New Roman" w:cs="Times New Roman"/>
                <w:color w:val="000000"/>
                <w:szCs w:val="24"/>
              </w:rPr>
              <w:fldChar w:fldCharType="separate"/>
            </w:r>
            <w:r w:rsidRPr="0044257B">
              <w:rPr>
                <w:rFonts w:eastAsia="Times New Roman" w:cs="Times New Roman"/>
                <w:szCs w:val="24"/>
                <w:vertAlign w:val="superscript"/>
              </w:rPr>
              <w:t>30</w:t>
            </w:r>
            <w:r w:rsidRPr="0044257B">
              <w:rPr>
                <w:rFonts w:eastAsia="Times New Roman" w:cs="Times New Roman"/>
                <w:color w:val="000000"/>
                <w:szCs w:val="24"/>
              </w:rPr>
              <w:fldChar w:fldCharType="end"/>
            </w:r>
          </w:p>
        </w:tc>
      </w:tr>
      <w:tr w:rsidR="0044257B" w:rsidRPr="0044257B" w14:paraId="77EF0C72" w14:textId="77777777" w:rsidTr="00562397">
        <w:trPr>
          <w:trHeight w:val="873"/>
        </w:trPr>
        <w:tc>
          <w:tcPr>
            <w:tcW w:w="1283" w:type="dxa"/>
            <w:tcBorders>
              <w:bottom w:val="nil"/>
            </w:tcBorders>
          </w:tcPr>
          <w:p w14:paraId="1065507D" w14:textId="77777777" w:rsidR="0044257B" w:rsidRPr="0044257B" w:rsidRDefault="0044257B" w:rsidP="0044257B">
            <w:pPr>
              <w:spacing w:line="240" w:lineRule="auto"/>
              <w:jc w:val="center"/>
              <w:rPr>
                <w:rFonts w:eastAsia="Times New Roman" w:cs="Times New Roman"/>
                <w:color w:val="000000"/>
                <w:szCs w:val="24"/>
              </w:rPr>
            </w:pPr>
            <w:r w:rsidRPr="0044257B">
              <w:rPr>
                <w:rFonts w:eastAsia="Times New Roman" w:cs="Times New Roman"/>
                <w:color w:val="000000"/>
                <w:szCs w:val="24"/>
              </w:rPr>
              <w:t>AT</w:t>
            </w:r>
            <w:r w:rsidRPr="0044257B">
              <w:rPr>
                <w:rFonts w:eastAsia="Times New Roman" w:cs="Times New Roman"/>
                <w:color w:val="000000"/>
                <w:szCs w:val="24"/>
                <w:vertAlign w:val="subscript"/>
              </w:rPr>
              <w:t>2</w:t>
            </w:r>
            <w:r w:rsidRPr="0044257B">
              <w:rPr>
                <w:rFonts w:eastAsia="Times New Roman" w:cs="Times New Roman"/>
                <w:color w:val="000000"/>
                <w:szCs w:val="24"/>
              </w:rPr>
              <w:t>R</w:t>
            </w:r>
          </w:p>
        </w:tc>
        <w:tc>
          <w:tcPr>
            <w:tcW w:w="2402" w:type="dxa"/>
            <w:tcBorders>
              <w:bottom w:val="nil"/>
            </w:tcBorders>
          </w:tcPr>
          <w:p w14:paraId="19CD7273"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angiotensin II receptor</w:t>
            </w:r>
          </w:p>
        </w:tc>
        <w:tc>
          <w:tcPr>
            <w:tcW w:w="3510" w:type="dxa"/>
            <w:tcBorders>
              <w:bottom w:val="nil"/>
            </w:tcBorders>
          </w:tcPr>
          <w:p w14:paraId="79AC719A"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effector involved in body fluid balance and electrolyte homeostasis</w:t>
            </w:r>
          </w:p>
        </w:tc>
        <w:tc>
          <w:tcPr>
            <w:tcW w:w="2155" w:type="dxa"/>
            <w:tcBorders>
              <w:bottom w:val="nil"/>
            </w:tcBorders>
          </w:tcPr>
          <w:p w14:paraId="678F1A41" w14:textId="77777777" w:rsidR="0044257B" w:rsidRPr="0044257B" w:rsidRDefault="0044257B" w:rsidP="0044257B">
            <w:pPr>
              <w:spacing w:line="240" w:lineRule="auto"/>
              <w:jc w:val="left"/>
              <w:rPr>
                <w:rFonts w:eastAsia="Times New Roman" w:cs="Times New Roman"/>
                <w:color w:val="000000"/>
                <w:szCs w:val="24"/>
              </w:rPr>
            </w:pPr>
            <w:r w:rsidRPr="0044257B">
              <w:rPr>
                <w:rFonts w:eastAsia="Times New Roman" w:cs="Times New Roman"/>
                <w:color w:val="000000"/>
                <w:szCs w:val="24"/>
              </w:rPr>
              <w:t>L-163491 (</w:t>
            </w:r>
            <w:r w:rsidRPr="0044257B">
              <w:rPr>
                <w:rFonts w:eastAsia="Times New Roman" w:cs="Times New Roman"/>
                <w:b/>
                <w:bCs/>
                <w:color w:val="000000"/>
                <w:szCs w:val="24"/>
              </w:rPr>
              <w:t>4.7</w:t>
            </w:r>
            <w:r w:rsidRPr="0044257B">
              <w:rPr>
                <w:rFonts w:eastAsia="Times New Roman" w:cs="Times New Roman"/>
                <w:color w:val="000000"/>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{"citationID":"NffOnP4s","properties":{"formattedCitation":"\\super 31\\nosupersub{}","plainCitation":"31","noteIndex":0},"citationItems":[{"id":794,"uris":["http://zotero.org/users/6503767/items/8DT89M5Q"],"itemData":{"id":794,"type":"article-journal","abstract":"Responses to the nonpeptide angiotensin II agonist 5,7-Dimethyl-2-ethyl-3-[[2′-([butyloxycarbonyl) aminosulfonyl]-5′-(3-methyoxybenzyl)-[1,1′-biphenyl]-4-yl]methyl]-3H-imidazo[4,5-b]pyridine (L-163,491) were investigated and compared with responses to angiotensin II, angiotensin IV and norepinephrine in the hindquarters vascular bed of the cat under constant-flow conditions. Injections of L-163,491 into the hindquarter perfusion circuit caused dose-related increases in hindquarters perfusion pressure. In relative terms, angiotensin II was more potent than norepinephrine, which was more potent than angiotensin IV and L-163,491 in increasing hindlimb vascular resistance. The slope of the dose–response curve for L-163,491 was flat, while the apparent affinity of the compound for angiotensin AT1 receptors was slightly greater than angiotensin IV. Responses to L-163,491 were inhibited by the angiotensin AT1 receptor antagonist DuP 532 (2-propyl-4-pentafluoroethyl-1-[2′-(1H-tetrazol-5-yl)biphenyl-4-yl)methyl]imidazole-5-carboxylic acid) and were not altered by the angiotensin AT2 receptor antagonist PD123,319 (S(+)-1-[[4-(Dimethylamino)-3-methylphenyl]methyl]-5-(diphenylacetyl)-4,5,6,7-tetrahydro-1H-imidazo[4,5-c]pyridine-6-carboxylic acid ditribluoroacetate). However, the increase in hindlimb perfusion pressure in response to angiotensin II and angiotensin IV was significantly decreased following injection of L-163,491. These data suggest that the nonpeptide angiotensin analog L-163,491 has partial agonist activity, which is dependent on the stimulation of angiotensin AT1 receptors in the hindquarters vascular bed of the cat.","container-title":"European Journal of Pharmacology","DOI":"10.1016/S0014-2999(00)00612-9","ISSN":"0014-2999","issue":"1","journalAbbreviation":"European Journal of Pharmacology","language":"en","page":"213-219","source":"ScienceDirect","title":"L-163,491 is a partial angiotensin AT1 receptor agonist in the hindquarters vascular bed of the cat","volume":"404","author":[{"family":"De Witt","given":"Bracken J"},{"family":"Garrison","given":"Etoi A"},{"family":"Champion","given":"Hunter C"},{"family":"Kadowitz","given":"Philip J"}],"issued":{"date-parts":[["2000",9,15]]}}}],"schema":"https://github.com/citation-style-language/schema/raw/master/csl-citation.json"} </w:instrText>
            </w:r>
            <w:r w:rsidRPr="0044257B">
              <w:rPr>
                <w:rFonts w:eastAsia="Times New Roman" w:cs="Times New Roman"/>
                <w:color w:val="000000"/>
                <w:szCs w:val="24"/>
              </w:rPr>
              <w:fldChar w:fldCharType="separate"/>
            </w:r>
            <w:r w:rsidRPr="0044257B">
              <w:rPr>
                <w:rFonts w:eastAsia="Times New Roman" w:cs="Times New Roman"/>
                <w:szCs w:val="24"/>
                <w:vertAlign w:val="superscript"/>
              </w:rPr>
              <w:t>31</w:t>
            </w:r>
            <w:r w:rsidRPr="0044257B">
              <w:rPr>
                <w:rFonts w:eastAsia="Times New Roman" w:cs="Times New Roman"/>
                <w:color w:val="000000"/>
                <w:szCs w:val="24"/>
              </w:rPr>
              <w:fldChar w:fldCharType="end"/>
            </w:r>
          </w:p>
        </w:tc>
      </w:tr>
      <w:tr w:rsidR="0044257B" w:rsidRPr="0044257B" w14:paraId="2803FA0F" w14:textId="77777777" w:rsidTr="00562397">
        <w:tblPrEx>
          <w:tblBorders>
            <w:insideH w:val="single" w:sz="4" w:space="0" w:color="auto"/>
            <w:insideV w:val="single" w:sz="4" w:space="0" w:color="auto"/>
          </w:tblBorders>
        </w:tblPrEx>
        <w:trPr>
          <w:trHeight w:val="612"/>
        </w:trPr>
        <w:tc>
          <w:tcPr>
            <w:tcW w:w="1283" w:type="dxa"/>
            <w:tcBorders>
              <w:top w:val="nil"/>
              <w:left w:val="single" w:sz="4" w:space="0" w:color="auto"/>
              <w:bottom w:val="single" w:sz="4" w:space="0" w:color="auto"/>
              <w:right w:val="nil"/>
            </w:tcBorders>
          </w:tcPr>
          <w:p w14:paraId="28BD73A4" w14:textId="77777777" w:rsidR="0044257B" w:rsidRPr="0044257B" w:rsidRDefault="0044257B" w:rsidP="0044257B">
            <w:pPr>
              <w:spacing w:line="240" w:lineRule="auto"/>
              <w:jc w:val="center"/>
              <w:rPr>
                <w:rFonts w:eastAsia="Times New Roman" w:cs="Times New Roman"/>
                <w:color w:val="000000"/>
                <w:szCs w:val="24"/>
              </w:rPr>
            </w:pPr>
            <w:r w:rsidRPr="0044257B">
              <w:rPr>
                <w:rFonts w:eastAsia="Times New Roman" w:cs="Times New Roman"/>
                <w:color w:val="000000"/>
                <w:szCs w:val="24"/>
              </w:rPr>
              <w:t>TMPRSS2</w:t>
            </w:r>
          </w:p>
        </w:tc>
        <w:tc>
          <w:tcPr>
            <w:tcW w:w="2402" w:type="dxa"/>
            <w:tcBorders>
              <w:top w:val="nil"/>
              <w:left w:val="nil"/>
              <w:bottom w:val="single" w:sz="4" w:space="0" w:color="auto"/>
              <w:right w:val="nil"/>
            </w:tcBorders>
          </w:tcPr>
          <w:p w14:paraId="070A28BB"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transmembrane protease, serine 2</w:t>
            </w:r>
          </w:p>
        </w:tc>
        <w:tc>
          <w:tcPr>
            <w:tcW w:w="3510" w:type="dxa"/>
            <w:tcBorders>
              <w:top w:val="nil"/>
              <w:left w:val="nil"/>
              <w:bottom w:val="single" w:sz="4" w:space="0" w:color="auto"/>
              <w:right w:val="nil"/>
            </w:tcBorders>
          </w:tcPr>
          <w:p w14:paraId="2BC952B8" w14:textId="77777777" w:rsidR="0044257B" w:rsidRPr="0044257B" w:rsidRDefault="0044257B" w:rsidP="0044257B">
            <w:pPr>
              <w:spacing w:line="240" w:lineRule="auto"/>
              <w:ind w:left="144" w:hanging="144"/>
              <w:jc w:val="left"/>
              <w:rPr>
                <w:rFonts w:eastAsia="Times New Roman" w:cs="Times New Roman"/>
                <w:color w:val="000000"/>
                <w:szCs w:val="24"/>
              </w:rPr>
            </w:pPr>
            <w:r w:rsidRPr="0044257B">
              <w:rPr>
                <w:rFonts w:eastAsia="Times New Roman" w:cs="Times New Roman"/>
                <w:color w:val="000000"/>
                <w:szCs w:val="24"/>
              </w:rPr>
              <w:t>activates viral glycoproteins to facilitate S protein and ACE2 binding</w:t>
            </w:r>
          </w:p>
        </w:tc>
        <w:tc>
          <w:tcPr>
            <w:tcW w:w="2155" w:type="dxa"/>
            <w:tcBorders>
              <w:top w:val="nil"/>
              <w:left w:val="nil"/>
              <w:bottom w:val="single" w:sz="4" w:space="0" w:color="auto"/>
              <w:right w:val="single" w:sz="4" w:space="0" w:color="auto"/>
            </w:tcBorders>
          </w:tcPr>
          <w:p w14:paraId="65772CF1" w14:textId="77777777" w:rsidR="0044257B" w:rsidRPr="0044257B" w:rsidRDefault="0044257B" w:rsidP="0044257B">
            <w:pPr>
              <w:spacing w:line="240" w:lineRule="auto"/>
              <w:jc w:val="left"/>
              <w:rPr>
                <w:rFonts w:eastAsia="Times New Roman" w:cs="Times New Roman"/>
                <w:color w:val="000000"/>
                <w:szCs w:val="24"/>
              </w:rPr>
            </w:pPr>
            <w:proofErr w:type="spellStart"/>
            <w:r w:rsidRPr="0044257B">
              <w:rPr>
                <w:rFonts w:eastAsia="Times New Roman" w:cs="Times New Roman"/>
                <w:color w:val="000000"/>
                <w:szCs w:val="24"/>
              </w:rPr>
              <w:t>Camostat</w:t>
            </w:r>
            <w:proofErr w:type="spellEnd"/>
            <w:r w:rsidRPr="0044257B">
              <w:rPr>
                <w:rFonts w:eastAsia="Times New Roman" w:cs="Times New Roman"/>
                <w:color w:val="000000"/>
                <w:szCs w:val="24"/>
              </w:rPr>
              <w:t xml:space="preserve"> (</w:t>
            </w:r>
            <w:r w:rsidRPr="0044257B">
              <w:rPr>
                <w:rFonts w:eastAsia="Times New Roman" w:cs="Times New Roman"/>
                <w:b/>
                <w:bCs/>
                <w:color w:val="000000"/>
                <w:szCs w:val="24"/>
              </w:rPr>
              <w:t>4.8</w:t>
            </w:r>
            <w:r w:rsidRPr="0044257B">
              <w:rPr>
                <w:rFonts w:eastAsia="Times New Roman" w:cs="Times New Roman"/>
                <w:color w:val="000000"/>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{"citationID":"s6pJG2Zq","properties":{"formattedCitation":"\\super 32\\nosupersub{}","plainCitation":"32","noteIndex":0},"citationItems":[{"id":792,"uris":["http://zotero.org/users/6503767/items/HI92H4YQ"],"itemData":{"id":792,"type":"article-journal","container-title":"Journal of Virology","DOI":"10.1128/JVI.00094-12","issue":"12","note":"publisher: American Society for Microbiology","page":"6537-6545","source":"journals-asm-org.ezproxy.lib.ou.edu (Atypon)","title":"Simultaneous Treatment of Human Bronchial Epithelial Cells with Serine and Cysteine Protease Inhibitors Prevents Severe Acute Respiratory Syndrome Coronavirus Entry","volume":"86","author":[{"family":"Kawase","given":"Miyuki"},{"family":"Shirato","given":"Kazuya"},{"family":"Hoek","given":"Lia","non-dropping-particle":"van der"},{"family":"Taguchi","given":"Fumihiro"},{"family":"Matsuyama","given":"Shutoku"}],"issued":{"date-parts":[["2012",6,15]]}}}],"schema":"https://github.com/citation-style-language/schema/raw/master/csl-citation.json"} </w:instrText>
            </w:r>
            <w:r w:rsidRPr="0044257B">
              <w:rPr>
                <w:rFonts w:eastAsia="Times New Roman" w:cs="Times New Roman"/>
                <w:color w:val="000000"/>
                <w:szCs w:val="24"/>
              </w:rPr>
              <w:fldChar w:fldCharType="separate"/>
            </w:r>
            <w:r w:rsidRPr="0044257B">
              <w:rPr>
                <w:rFonts w:eastAsia="Times New Roman" w:cs="Times New Roman"/>
                <w:szCs w:val="24"/>
                <w:vertAlign w:val="superscript"/>
              </w:rPr>
              <w:t>32</w:t>
            </w:r>
            <w:r w:rsidRPr="0044257B">
              <w:rPr>
                <w:rFonts w:eastAsia="Times New Roman" w:cs="Times New Roman"/>
                <w:color w:val="000000"/>
                <w:szCs w:val="24"/>
              </w:rPr>
              <w:fldChar w:fldCharType="end"/>
            </w:r>
          </w:p>
        </w:tc>
      </w:tr>
    </w:tbl>
    <w:p w14:paraId="3B9CE97E" w14:textId="77777777" w:rsidR="0044257B" w:rsidRPr="0044257B" w:rsidRDefault="0044257B" w:rsidP="0044257B">
      <w:pPr>
        <w:spacing w:after="0"/>
        <w:ind w:firstLine="720"/>
        <w:rPr>
          <w:rFonts w:eastAsia="Times New Roman" w:cs="Times New Roman"/>
          <w:color w:val="000000"/>
          <w:szCs w:val="24"/>
        </w:rPr>
      </w:pPr>
    </w:p>
    <w:p w14:paraId="0DB64AA9" w14:textId="4AA0E876" w:rsidR="0044257B" w:rsidRPr="0044257B" w:rsidRDefault="0044257B" w:rsidP="0044257B">
      <w:pPr>
        <w:spacing w:after="0"/>
        <w:ind w:firstLine="720"/>
        <w:rPr>
          <w:rFonts w:eastAsia="Times New Roman" w:cs="Times New Roman"/>
          <w:color w:val="000000"/>
          <w:szCs w:val="24"/>
        </w:rPr>
      </w:pPr>
      <w:r w:rsidRPr="0044257B">
        <w:rPr>
          <w:rFonts w:eastAsia="Times New Roman" w:cs="Times New Roman"/>
          <w:color w:val="000000"/>
          <w:szCs w:val="24"/>
        </w:rPr>
        <w:t xml:space="preserve">The </w:t>
      </w:r>
      <w:r w:rsidR="00E232EA">
        <w:rPr>
          <w:rFonts w:eastAsia="Times New Roman" w:cs="Times New Roman"/>
          <w:color w:val="000000"/>
          <w:szCs w:val="24"/>
        </w:rPr>
        <w:t>spike (</w:t>
      </w:r>
      <w:r w:rsidRPr="0044257B">
        <w:rPr>
          <w:rFonts w:eastAsia="Times New Roman" w:cs="Times New Roman"/>
          <w:color w:val="000000"/>
          <w:szCs w:val="24"/>
        </w:rPr>
        <w:t>S</w:t>
      </w:r>
      <w:r w:rsidR="00E232EA">
        <w:rPr>
          <w:rFonts w:eastAsia="Times New Roman" w:cs="Times New Roman"/>
          <w:color w:val="000000"/>
          <w:szCs w:val="24"/>
        </w:rPr>
        <w:t>)</w:t>
      </w:r>
      <w:r w:rsidRPr="0044257B">
        <w:rPr>
          <w:rFonts w:eastAsia="Times New Roman" w:cs="Times New Roman"/>
          <w:color w:val="000000"/>
          <w:szCs w:val="24"/>
        </w:rPr>
        <w:t xml:space="preserve"> protein, for example, is integral to cellular entry and host infection and is one of the targets under investigation for antiviral drug discovery, especially for antibody </w:t>
      </w:r>
      <w:r w:rsidRPr="0044257B">
        <w:rPr>
          <w:rFonts w:eastAsia="Times New Roman" w:cs="Times New Roman"/>
          <w:color w:val="000000"/>
          <w:szCs w:val="24"/>
        </w:rPr>
        <w:lastRenderedPageBreak/>
        <w:t>neutralization approaches. The S protein binds to the receptor on the target cell and is the sole viral membrane protein responsible for cell entry.</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{"citationID":"03DzXLFI","properties":{"formattedCitation":"\\super 33\\nosupersub{}","plainCitation":"33","noteIndex":0},"citationItems":[{"id":797,"uris":["http://zotero.org/users/6503767/items/J58QJ9UV"],"itemData":{"id":797,"type":"article-journal","container-title":"Journal of Virology","DOI":"10.1128/JVI.77.16.8801-8811.2003","issue":"16","note":"publisher: American Society for Microbiology","page":"8801-8811","source":"journals-asm-org.ezproxy.lib.ou.edu (Atypon)","title":"The Coronavirus Spike Protein Is a Class I Virus Fusion Protein: Structural and Functional Characterization of the Fusion Core Complex","title-short":"The Coronavirus Spike Protein Is a Class I Virus Fusion Protein","volume":"77","author":[{"family":"Bosch","given":"Berend Jan"},{"family":"Zee","given":"Ruurd","non-dropping-particle":"van der"},{"family":"Haan","given":"Cornelis A. M.","non-dropping-particle":"de"},{"family":"Rottier","given":"Peter J. M."}],"issued":{"date-parts":[["2003",8,15]]}}}],"schema":"https://github.com/citation-style-language/schema/raw/master/csl-citation.json"}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33</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A defined receptor-binding domain (RBD) of the SARS-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xml:space="preserve"> spike specifically recognizes the angiotensin-converting enzyme 2 (ACE2) receptor in its host. There are 14 residues in the RBD that participate in ACE2 binding, of which 9 are fully conserved and 4 are partially conserved among SARS-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xml:space="preserve"> and SARS-CoV-2.</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{"citationID":"qcKDdOqA","properties":{"formattedCitation":"\\super 34\\nosupersub{}","plainCitation":"34","noteIndex":0},"citationItems":[{"id":802,"uris":["http://zotero.org/users/6503767/items/Z58LUDS2"],"itemData":{"id":802,"type":"article-journal","abstract":"The recent emergence of Wuhan coronavirus (2019-nCoV) puts the world on alert. 2019-nCoV is reminiscent of the SARS-CoV outbreak in 2002 to 2003. Our decade-long structural studies on the receptor recognition by SARS-CoV have identified key interactions between SARS-CoV spike protein and its host receptor angiotensin-converting enzyme 2 (ACE2), which regulate both the cross-species and human-to-human transmissions of SARS-CoV. One of the goals of SARS-CoV research was to build an atomic-level iterative framework of virus-receptor interactions to facilitate epidemic surveillance, predict species-specific receptor usage, and identify potential animal hosts and animal models of viruses. Based on the sequence of 2019-nCoV spike protein, we apply this predictive framework to provide novel insights into the receptor usage and likely host range of 2019-nCoV. This study provides a robust test of this reiterative framework, providing the basic, translational, and public health research communities with predictive insights that may help study and battle this novel 2019-nCoV.\n          , \n            ABSTRACT\n            Recently, a novel coronavirus (2019-nCoV) has emerged from Wuhan, China, causing symptoms in humans similar to those caused by severe acute respiratory syndrome coronavirus (SARS-CoV). Since the SARS-CoV outbreak in 2002, extensive structural analyses have revealed key atomic-level interactions between the SARS-CoV spike protein receptor-binding domain (RBD) and its host receptor angiotensin-converting enzyme 2 (ACE2), which regulate both the cross-species and human-to-human transmissions of SARS-CoV. Here, we analyzed the potential receptor usage by 2019-nCoV, based on the rich knowledge about SARS-CoV and the newly released sequence of 2019-nCoV. First, the sequence of 2019-nCoV RBD, including its receptor-binding motif (RBM) that directly contacts ACE2, is similar to that of SARS-CoV, strongly suggesting that 2019-nCoV uses ACE2 as its receptor. Second, several critical residues in 2019-nCoV RBM (particularly Gln493) provide favorable interactions with human ACE2, consistent with 2019-nCoV’s capacity for human cell infection. Third, several other critical residues in 2019-nCoV RBM (particularly Asn501) are compatible with, but not ideal for, binding human ACE2, suggesting that 2019-nCoV has acquired some capacity for human-to-human transmission. Last, while phylogenetic analysis indicates a bat origin of 2019-nCoV, 2019-nCoV also potentially recognizes ACE2 from a diversity of animal species (except mice and rats), implicating these animal species as possible intermediate hosts or animal models for 2019-nCoV infections. These analyses provide insights into the receptor usage, cell entry, host cell infectivity and animal origin of 2019-nCoV and may help epidemic surveillance and preventive measures against 2019-nCoV.\n            \n              IMPORTANCE\n              The recent emergence of Wuhan coronavirus (2019-nCoV) puts the world on alert. 2019-nCoV is reminiscent of the SARS-CoV outbreak in 2002 to 2003. Our decade-long structural studies on the receptor recognition by SARS-CoV have identified key interactions between SARS-CoV spike protein and its host receptor angiotensin-converting enzyme 2 (ACE2), which regulate both the cross-species and human-to-human transmissions of SARS-CoV. One of the goals of SARS-CoV research was to build an atomic-level iterative framework of virus-receptor interactions to facilitate epidemic surveillance, predict species-specific receptor usage, and identify potential animal hosts and animal models of viruses. Based on the sequence of 2019-nCoV spike protein, we apply this predictive framework to provide novel insights into the receptor usage and likely host range of 2019-nCoV. This study provides a robust test of this reiterative framework, providing the basic, translational, and public health research communities with predictive insights that may help study and battle this novel 2019-nCoV.","container-title":"Journal of Virology","DOI":"10.1128/JVI.00127-20","ISSN":"0022-538X, 1098-5514","issue":"7","journalAbbreviation":"J Virol","language":"en","page":"e00127-20","source":"DOI.org (Crossref)","title":"Receptor Recognition by the Novel Coronavirus from Wuhan: an Analysis Based on Decade-Long Structural Studies of SARS Coronavirus","title-short":"Receptor Recognition by the Novel Coronavirus from Wuhan","volume":"94","author":[{"family":"Wan","given":"Yushun"},{"family":"Shang","given":"Jian"},{"family":"Graham","given":"Rachel"},{"family":"Baric","given":"Ralph S."},{"family":"Li","given":"Fang"}],"editor":[{"family":"Gallagher","given":"Tom"}],"issued":{"date-parts":[["2020",3,17]]}}}],"schema":"https://github.com/citation-style-language/schema/raw/master/csl-citation.json"}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34</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This minor genetic variance enabled SARS-CoV-2 to efficiently bind to the receptor with enhanced affinity and specificity to human ACE2, improving the virulence compared to SARS-CoV.</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{"citationID":"6oYdiZ0s","properties":{"formattedCitation":"\\super 21\\nosupersub{}","plainCitation":"21","noteIndex":0},"citationItems":[{"id":766,"uris":["http://zotero.org/users/6503767/items/UYSWUA35"],"itemData":{"id":766,"type":"article-journal","abstract":"Coronaviruses are single stranded RNA viruses usually present in bats (reservoir hosts), and are generally lethal, highly transmissible, and pathogenic viruses causing sever morbidity and mortality rates in human. Several animals including civets, camels, etc. have been identified as intermediate hosts enabling effective recombination of these viruses to emerge as new virulent and pathogenic strains. Among the seven known human coronaviruses SARS-CoV, MERS-CoV, and SARS-CoV-2 (2019-nCoV) have evolved as severe pathogenic forms infecting the human respiratory tract. About 8096 cases and 774 deaths were reported worldwide with the SARS-CoV infection during year 2002; 2229 cases and 791 deaths were reported for the MERS-CoV that emerged during 2012. Recently ~ 33,849,737 cases and 1,012,742 deaths (data as on 30 Sep 2020) were reported from the recent evolver SARS-CoV-2 infection. Studies on epidemiology and pathogenicity have shown that the viral spread was potentially caused by the contact route especially through the droplets, aerosols, and contaminated fomites. Genomic studies have confirmed the role of the viral spike protein in virulence and pathogenicity. They target the respiratory tract of the human causing severe progressive pneumonia affecting other organs like central nervous system in case of SARS-CoV, severe renal failure in MERS-CoV, and multi-organ failure in SARS-CoV-2. Herein, with respect to current awareness and role of coronaviruses in global public health, we review the various factors involving the origin, evolution, and transmission including the genetic variations observed, epidemiology, and pathogenicity of the three potential coronaviruses variants SARS-CoV, MERS-CoV, and 2019-nCoV.","container-title":"VirusDisease","DOI":"10.1007/s13337-020-00632-9","ISSN":"2347-3584","issue":"4","journalAbbreviation":"Virusdisease","note":"PMID: 33102628\nPMCID: PMC7567416","page":"411-423","source":"PubMed Central","title":"SARS-CoV, MERS-CoV, and 2019-nCoV viruses: an overview of origin, evolution, and genetic variations","title-short":"SARS-CoV, MERS-CoV, and 2019-nCoV viruses","volume":"31","author":[{"family":"Krishnamoorthy","given":"Sarayu"},{"family":"Swain","given":"Basudev"},{"family":"Verma","given":"R. S."},{"family":"Gunthe","given":"Sachin S."}],"issued":{"date-parts":[["2020",12]]}}}],"schema":"https://github.com/citation-style-language/schema/raw/master/csl-citation.json"}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21</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Overall, the sequence similarity between the SARS-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xml:space="preserve"> and SARS-CoV-2 spike proteins is ~73 – 76% for the RBD and ~76 – 78% for the whole S protein.</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{"citationID":"zHD1cztv","properties":{"formattedCitation":"\\super 34\\nosupersub{}","plainCitation":"34","noteIndex":0},"citationItems":[{"id":802,"uris":["http://zotero.org/users/6503767/items/Z58LUDS2"],"itemData":{"id":802,"type":"article-journal","abstract":"The recent emergence of Wuhan coronavirus (2019-nCoV) puts the world on alert. 2019-nCoV is reminiscent of the SARS-CoV outbreak in 2002 to 2003. Our decade-long structural studies on the receptor recognition by SARS-CoV have identified key interactions between SARS-CoV spike protein and its host receptor angiotensin-converting enzyme 2 (ACE2), which regulate both the cross-species and human-to-human transmissions of SARS-CoV. One of the goals of SARS-CoV research was to build an atomic-level iterative framework of virus-receptor interactions to facilitate epidemic surveillance, predict species-specific receptor usage, and identify potential animal hosts and animal models of viruses. Based on the sequence of 2019-nCoV spike protein, we apply this predictive framework to provide novel insights into the receptor usage and likely host range of 2019-nCoV. This study provides a robust test of this reiterative framework, providing the basic, translational, and public health research communities with predictive insights that may help study and battle this novel 2019-nCoV.\n          , \n            ABSTRACT\n            Recently, a novel coronavirus (2019-nCoV) has emerged from Wuhan, China, causing symptoms in humans similar to those caused by severe acute respiratory syndrome coronavirus (SARS-CoV). Since the SARS-CoV outbreak in 2002, extensive structural analyses have revealed key atomic-level interactions between the SARS-CoV spike protein receptor-binding domain (RBD) and its host receptor angiotensin-converting enzyme 2 (ACE2), which regulate both the cross-species and human-to-human transmissions of SARS-CoV. Here, we analyzed the potential receptor usage by 2019-nCoV, based on the rich knowledge about SARS-CoV and the newly released sequence of 2019-nCoV. First, the sequence of 2019-nCoV RBD, including its receptor-binding motif (RBM) that directly contacts ACE2, is similar to that of SARS-CoV, strongly suggesting that 2019-nCoV uses ACE2 as its receptor. Second, several critical residues in 2019-nCoV RBM (particularly Gln493) provide favorable interactions with human ACE2, consistent with 2019-nCoV’s capacity for human cell infection. Third, several other critical residues in 2019-nCoV RBM (particularly Asn501) are compatible with, but not ideal for, binding human ACE2, suggesting that 2019-nCoV has acquired some capacity for human-to-human transmission. Last, while phylogenetic analysis indicates a bat origin of 2019-nCoV, 2019-nCoV also potentially recognizes ACE2 from a diversity of animal species (except mice and rats), implicating these animal species as possible intermediate hosts or animal models for 2019-nCoV infections. These analyses provide insights into the receptor usage, cell entry, host cell infectivity and animal origin of 2019-nCoV and may help epidemic surveillance and preventive measures against 2019-nCoV.\n            \n              IMPORTANCE\n              The recent emergence of Wuhan coronavirus (2019-nCoV) puts the world on alert. 2019-nCoV is reminiscent of the SARS-CoV outbreak in 2002 to 2003. Our decade-long structural studies on the receptor recognition by SARS-CoV have identified key interactions between SARS-CoV spike protein and its host receptor angiotensin-converting enzyme 2 (ACE2), which regulate both the cross-species and human-to-human transmissions of SARS-CoV. One of the goals of SARS-CoV research was to build an atomic-level iterative framework of virus-receptor interactions to facilitate epidemic surveillance, predict species-specific receptor usage, and identify potential animal hosts and animal models of viruses. Based on the sequence of 2019-nCoV spike protein, we apply this predictive framework to provide novel insights into the receptor usage and likely host range of 2019-nCoV. This study provides a robust test of this reiterative framework, providing the basic, translational, and public health research communities with predictive insights that may help study and battle this novel 2019-nCoV.","container-title":"Journal of Virology","DOI":"10.1128/JVI.00127-20","ISSN":"0022-538X, 1098-5514","issue":"7","journalAbbreviation":"J Virol","language":"en","page":"e00127-20","source":"DOI.org (Crossref)","title":"Receptor Recognition by the Novel Coronavirus from Wuhan: an Analysis Based on Decade-Long Structural Studies of SARS Coronavirus","title-short":"Receptor Recognition by the Novel Coronavirus from Wuhan","volume":"94","author":[{"family":"Wan","given":"Yushun"},{"family":"Shang","given":"Jian"},{"family":"Graham","given":"Rachel"},{"family":"Baric","given":"Ralph S."},{"family":"Li","given":"Fang"}],"editor":[{"family":"Gallagher","given":"Tom"}],"issued":{"date-parts":[["2020",3,17]]}}}],"schema":"https://github.com/citation-style-language/schema/raw/master/csl-citation.json"}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34</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w:t>
      </w:r>
    </w:p>
    <w:p w14:paraId="255AFE9A" w14:textId="27EAC67E" w:rsidR="0044257B" w:rsidRPr="0044257B" w:rsidRDefault="0044257B" w:rsidP="0044257B">
      <w:pPr>
        <w:spacing w:after="0"/>
        <w:ind w:firstLine="720"/>
        <w:rPr>
          <w:rFonts w:eastAsia="Times New Roman" w:cs="Times New Roman"/>
          <w:color w:val="000000"/>
          <w:szCs w:val="24"/>
        </w:rPr>
      </w:pPr>
      <w:r w:rsidRPr="0044257B">
        <w:rPr>
          <w:rFonts w:eastAsia="Times New Roman" w:cs="Times New Roman"/>
          <w:color w:val="000000"/>
          <w:szCs w:val="24"/>
        </w:rPr>
        <w:t xml:space="preserve">Notably, </w:t>
      </w:r>
      <w:proofErr w:type="spellStart"/>
      <w:r w:rsidRPr="0044257B">
        <w:rPr>
          <w:rFonts w:eastAsia="Times New Roman" w:cs="Times New Roman"/>
          <w:color w:val="000000"/>
          <w:szCs w:val="24"/>
        </w:rPr>
        <w:t>umifenovir</w:t>
      </w:r>
      <w:proofErr w:type="spellEnd"/>
      <w:r w:rsidRPr="0044257B">
        <w:rPr>
          <w:rFonts w:eastAsia="Times New Roman" w:cs="Times New Roman"/>
          <w:color w:val="000000"/>
          <w:szCs w:val="24"/>
        </w:rPr>
        <w:t xml:space="preserve"> (</w:t>
      </w:r>
      <w:r w:rsidRPr="0044257B">
        <w:rPr>
          <w:rFonts w:eastAsia="Times New Roman" w:cs="Times New Roman"/>
          <w:b/>
          <w:bCs/>
          <w:color w:val="000000"/>
          <w:szCs w:val="24"/>
        </w:rPr>
        <w:t>4.6</w:t>
      </w:r>
      <w:r w:rsidRPr="0044257B">
        <w:rPr>
          <w:rFonts w:eastAsia="Times New Roman" w:cs="Times New Roman"/>
          <w:color w:val="000000"/>
          <w:szCs w:val="24"/>
        </w:rPr>
        <w:t xml:space="preserve">), sold under the brand name </w:t>
      </w:r>
      <w:proofErr w:type="spellStart"/>
      <w:r w:rsidRPr="0044257B">
        <w:rPr>
          <w:rFonts w:eastAsia="Times New Roman" w:cs="Times New Roman"/>
          <w:color w:val="000000"/>
          <w:szCs w:val="24"/>
        </w:rPr>
        <w:t>Arbidol</w:t>
      </w:r>
      <w:proofErr w:type="spellEnd"/>
      <w:r w:rsidRPr="0044257B">
        <w:rPr>
          <w:rFonts w:eastAsia="Times New Roman" w:cs="Times New Roman"/>
          <w:color w:val="000000"/>
          <w:szCs w:val="24"/>
        </w:rPr>
        <w:t>, exhibits activity for both viral and host targets: the S protein and ACE2, respectively (</w:t>
      </w:r>
      <w:r w:rsidR="007E41F6">
        <w:rPr>
          <w:rFonts w:eastAsia="Times New Roman" w:cs="Times New Roman"/>
          <w:b/>
          <w:bCs/>
          <w:color w:val="000000"/>
          <w:szCs w:val="24"/>
        </w:rPr>
        <w:fldChar w:fldCharType="begin"/>
      </w:r>
      <w:r w:rsidR="007E41F6">
        <w:rPr>
          <w:rFonts w:eastAsia="Times New Roman" w:cs="Times New Roman"/>
          <w:color w:val="000000"/>
          <w:szCs w:val="24"/>
        </w:rPr>
        <w:instrText xml:space="preserve"> REF _Ref100745268 \h </w:instrText>
      </w:r>
      <w:r w:rsidR="007E41F6">
        <w:rPr>
          <w:rFonts w:eastAsia="Times New Roman" w:cs="Times New Roman"/>
          <w:b/>
          <w:bCs/>
          <w:color w:val="000000"/>
          <w:szCs w:val="24"/>
        </w:rPr>
      </w:r>
      <w:r w:rsidR="007E41F6">
        <w:rPr>
          <w:rFonts w:eastAsia="Times New Roman" w:cs="Times New Roman"/>
          <w:b/>
          <w:bCs/>
          <w:color w:val="000000"/>
          <w:szCs w:val="24"/>
        </w:rPr>
        <w:fldChar w:fldCharType="separate"/>
      </w:r>
      <w:r w:rsidR="00AA5AAC" w:rsidRPr="0044257B">
        <w:rPr>
          <w:b/>
          <w:iCs/>
          <w:szCs w:val="18"/>
        </w:rPr>
        <w:t>Table 4.</w:t>
      </w:r>
      <w:r w:rsidR="00AA5AAC">
        <w:rPr>
          <w:b/>
          <w:iCs/>
          <w:noProof/>
          <w:szCs w:val="18"/>
        </w:rPr>
        <w:t>1</w:t>
      </w:r>
      <w:r w:rsidR="007E41F6">
        <w:rPr>
          <w:rFonts w:eastAsia="Times New Roman" w:cs="Times New Roman"/>
          <w:b/>
          <w:bCs/>
          <w:color w:val="000000"/>
          <w:szCs w:val="24"/>
        </w:rPr>
        <w:fldChar w:fldCharType="end"/>
      </w:r>
      <w:r w:rsidRPr="0044257B">
        <w:rPr>
          <w:rFonts w:eastAsia="Times New Roman" w:cs="Times New Roman"/>
          <w:color w:val="000000"/>
          <w:szCs w:val="24"/>
        </w:rPr>
        <w:t xml:space="preserve">). </w:t>
      </w:r>
      <w:r w:rsidRPr="0044257B">
        <w:rPr>
          <w:rFonts w:eastAsia="Times New Roman" w:cs="Times New Roman"/>
          <w:b/>
          <w:bCs/>
          <w:color w:val="000000"/>
          <w:szCs w:val="24"/>
        </w:rPr>
        <w:t>4.6</w:t>
      </w:r>
      <w:r w:rsidRPr="0044257B">
        <w:rPr>
          <w:rFonts w:eastAsia="Times New Roman" w:cs="Times New Roman"/>
          <w:color w:val="000000"/>
          <w:szCs w:val="24"/>
        </w:rPr>
        <w:t xml:space="preserve"> is a broad-spectrum antiviral medication used in Russia and China to treat influenza, coronavirus, and adenovirus, among others.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{"citationID":"CEFFTSON","properties":{"formattedCitation":"\\super 35\\nosupersub{}","plainCitation":"35","noteIndex":0},"citationItems":[{"id":810,"uris":["http://zotero.org/users/6503767/items/LA3RTKPV"],"itemData":{"id":810,"type":"article-journal","abstract":"The antiviral drug arbidol (ARB), which is licensed in Russia for use against influenza, is known to inhibit early membrane fusion events in influenza A and B virus replication. To investigate in more detail the target and mechanism of ARB action we generated and studied the characteristics of ARB-resistant influenza virus mutants. Observations of the ARB susceptibility of reassortants between A/Singapore/1/57(H2N2) and A/chicken/Germany/27(H7N7, “Weybridge” strain) and of mutants of the latter virus identified the virus haemagglutinin (HA) as the major determinant of ARB sensitivity. ARB-resistant mutants, selected from the most sensitive reassortant, possessed single amino acid substitutions in the HA2 subunit which caused an increase in the pH of fusion and the associated conformational change in HA. ARB was shown to stabilize the HA by causing a 0.2 pH unit reduction in the pH of the transition to the low pH form, which was specifically abrogated by the resistance mutations. Some of the resistance mutations, which reduce acid stability and would disrupt ARB-HA interactions, are located in the vicinity of a potential ARB binding site identified using the docking programme Gold. Together, the results of these investigations indicate that ARB falls within a class of inhibitor which interacts with HA to stabilize it against the low pH transition to its fusogenic state and consequently inhibit HA-mediated membrane fusion during influenza virus infection.","container-title":"Antiviral Research","DOI":"10.1016/j.antiviral.2008.10.009","ISSN":"0166-3542","issue":"2","journalAbbreviation":"Antiviral Research","language":"en","page":"132-140","source":"ScienceDirect","title":"Characteristics of arbidol-resistant mutants of influenza virus: Implications for the mechanism of anti-influenza action of arbidol","title-short":"Characteristics of arbidol-resistant mutants of influenza virus","volume":"81","author":[{"family":"Leneva","given":"Irina A."},{"family":"Russell","given":"Rupert J."},{"family":"Boriskin","given":"Yury S."},{"family":"Hay","given":"Alan J."}],"issued":{"date-parts":[["2009",2,1]]}}}],"schema":"https://github.com/citation-style-language/schema/raw/master/csl-citation.json"}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35</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Molecular dynamics simulations by Tripathi et al. helped to elucidate the mechanism of S protein and ACE2 complex (S-ACE2) binding interface disruption by umifenovir.</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{"citationID":"lGWUqPP9","properties":{"formattedCitation":"\\super 30\\nosupersub{}","plainCitation":"30","noteIndex":0},"citationItems":[{"id":789,"uris":["http://zotero.org/users/6503767/items/L3FKGWXD"],"itemData":{"id":789,"type":"article-journal","abstract":"The COVID-19 pandemic has spread rapidly and poses an unprecedented threat to the global economy and human health. Broad-spectrum antivirals are currently being administered to treat severe acute respiratory syndrome coronavirus 2 (SARS-CoV-2). China's prevention and treatment guidelines suggest the use of an anti-influenza drug, arbidol, for the clinical treatment of COVID-19. Reports indicate that arbidol could neutralize SARS-CoV-2. Monotherapy with arbidol is superior to lopinavir-ritonavir or favipiravir for treating COVID-19. In SARS-CoV-2 infection, arbidol acts by interfering with viral binding to host cells. However, the detailed mechanism by which arbidol induces the inhibition of SARS-CoV-2 is not known. Here, we present atomistic insights into the mechanism underlying membrane fusion inhibition of SARS-CoV-2 by arbidol. Molecular dynamics (MD) simulation-based analyses demonstrate that arbidol binds and stabilizes at the receptor-binding domain (RBD)/ACE2 interface with a high affinity. It forms stronger intermolecular interactions with the RBD than ACE2. Analyses of the detailed decomposition of energy components and binding affinities revealed a substantial increase in the affinity between the RBD and ACE2 in the arbidol-bound RBD/ACE2 complex, suggesting that arbidol generates favorable interactions between them. Based on our MD simulation results, we propose that the binding of arbidol induces structural rigidity in the viral glycoprotein, thus restricting the conformational rearrangements associated with membrane fusion and virus entry. Furthermore, key residues of the RBD and ACE2 that interact with arbidol were identified, opening the door for developing therapeutic strategies and higher-efficacy arbidol derivatives or lead drug candidates., \n          \n            Image 1\n            \n          \n        , \n          \n            \n              •\n              Arbidol, an anti-influenza drug, interferes with the SARS-CoV-2 binding to host cells.\n            \n            \n              •\n              Structural dynamics studies revealed arbidol's binding to the RBD/ACE2 interface.\n            \n            \n              •\n              Arbidol binds strongly with RBD and induces structural rigidity.\n            \n            \n              •\n              Discrete regions in the RBD/ACE2 interface could be potential druggable pockets for designing better arbidol-derivatives.","container-title":"European Journal of Pharmacology","DOI":"10.1016/j.ejphar.2020.173836","ISSN":"0014-2999","journalAbbreviation":"Eur J Pharmacol","note":"PMID: 33387467\nPMCID: PMC7773528","page":"173836","source":"PubMed Central","title":"Unraveling the mechanism of arbidol binding and inhibition of SARS-CoV-2: Insights from atomistic simulations","title-short":"Unraveling the mechanism of arbidol binding and inhibition of SARS-CoV-2","volume":"894","author":[{"family":"Padhi","given":"Aditya K."},{"family":"Seal","given":"Aniruddha"},{"family":"Khan","given":"Javed Masood"},{"family":"Ahamed","given":"Maqusood"},{"family":"Tripathi","given":"Timir"}],"issued":{"date-parts":[["2021",3,5]]}}}],"schema":"https://github.com/citation-style-language/schema/raw/master/csl-citation.json"}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30</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Their results suggested that </w:t>
      </w:r>
      <w:r w:rsidRPr="0044257B">
        <w:rPr>
          <w:rFonts w:eastAsia="Times New Roman" w:cs="Times New Roman"/>
          <w:b/>
          <w:bCs/>
          <w:color w:val="000000"/>
          <w:szCs w:val="24"/>
        </w:rPr>
        <w:t>4.6</w:t>
      </w:r>
      <w:r w:rsidRPr="0044257B">
        <w:rPr>
          <w:rFonts w:eastAsia="Times New Roman" w:cs="Times New Roman"/>
          <w:color w:val="000000"/>
          <w:szCs w:val="24"/>
        </w:rPr>
        <w:t xml:space="preserve"> has higher binding affinity to the S-ACE2 interface over the separated S protein and ACE2 receptor. Since the S protein plays an integral role in host infection, and S protein-targeting drugs such as </w:t>
      </w:r>
      <w:r w:rsidRPr="0044257B">
        <w:rPr>
          <w:rFonts w:eastAsia="Times New Roman" w:cs="Times New Roman"/>
          <w:b/>
          <w:bCs/>
          <w:color w:val="000000"/>
          <w:szCs w:val="24"/>
        </w:rPr>
        <w:t>4.6</w:t>
      </w:r>
      <w:r w:rsidRPr="0044257B">
        <w:rPr>
          <w:rFonts w:eastAsia="Times New Roman" w:cs="Times New Roman"/>
          <w:color w:val="000000"/>
          <w:szCs w:val="24"/>
        </w:rPr>
        <w:t xml:space="preserve"> also induce the production of interferon and lymphocytes,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{"citationID":"iz1ZY6Fs","properties":{"formattedCitation":"\\super 36\\nosupersub{}","plainCitation":"36","noteIndex":0},"citationItems":[{"id":892,"uris":["http://zotero.org/users/6503767/items/QRM35PNP"],"itemData":{"id":892,"type":"article-journal","abstract":"The spread of COVID-19 is accelerating. At present, there is no specific antiviral drugs for COVID-19 outbreak. This is a multicenter retrospective cohort study of patients with laboratory-confirmed COVID-19 infection pneumonia from 3 hospitals in Hubei and Guangdong province, 141 adults (aged ≥18 years) without ventilation were included. Combined group patients were given Arbidol and IFN-α2b, monotherapy group patients inhaled IFN-α2b for 10–14 days. Of 141 COVID-19 patients, baseline clinical and laboratory characteristics were similar between combined group and monotherapy group, that 30% of the patients leucocytes counts were below the normal range and 36.4% of the patients experienced lymphocytopenia. The duration of viral RNA of respiratory tract in the monotherapy group was not longer than that in the combined therapy group. There was no significant differences between two groups. The absorption of pneumonia in the combined group was faster than that in the monotherapy group. We inferred that Arbidol/IFN - 2 b therapy can be used as an effective method to improve the COVID-19 pneumonia of mild patients, although it helpless with accelerating the virus clearance. These results should be verified in a larger prospective randomized environment.","container-title":"Microbes and Infection","DOI":"10.1016/j.micinf.2020.05.012","ISSN":"1286-4579","issue":"4","journalAbbreviation":"Microbes and Infection","language":"en","page":"200-205","source":"ScienceDirect","title":"Arbidol/IFN-α2b therapy for patients with corona virus disease 2019: a retrospective multicenter cohort study","title-short":"Arbidol/IFN-α2b therapy for patients with corona virus disease 2019","volume":"22","author":[{"family":"Xu","given":"Ping"},{"family":"Huang","given":"Jianping"},{"family":"Fan","given":"Zhao"},{"family":"Huang","given":"Wendi"},{"family":"Qi","given":"Minghua"},{"family":"Lin","given":"Xuwen"},{"family":"Song","given":"Weidong"},{"family":"Yi","given":"Li"}],"issued":{"date-parts":[["2020",5,1]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36</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there is a high safety risk when developing S protein-active compounds. Thus, we </w:t>
      </w:r>
      <w:r w:rsidR="00E232EA">
        <w:rPr>
          <w:rFonts w:eastAsia="Times New Roman" w:cs="Times New Roman"/>
          <w:color w:val="000000"/>
          <w:szCs w:val="24"/>
        </w:rPr>
        <w:t>decided against pursuing</w:t>
      </w:r>
      <w:r w:rsidRPr="0044257B">
        <w:rPr>
          <w:rFonts w:eastAsia="Times New Roman" w:cs="Times New Roman"/>
          <w:color w:val="000000"/>
          <w:szCs w:val="24"/>
        </w:rPr>
        <w:t xml:space="preserve"> the S protein as a target of interest in this project. </w:t>
      </w:r>
    </w:p>
    <w:p w14:paraId="2EE61F2E" w14:textId="77777777" w:rsidR="0044257B" w:rsidRPr="0044257B" w:rsidRDefault="0044257B" w:rsidP="0044257B">
      <w:pPr>
        <w:spacing w:after="0"/>
        <w:rPr>
          <w:rFonts w:eastAsia="Times New Roman" w:cs="Times New Roman"/>
          <w:color w:val="000000"/>
          <w:szCs w:val="24"/>
        </w:rPr>
      </w:pPr>
      <w:r w:rsidRPr="0044257B">
        <w:rPr>
          <w:rFonts w:eastAsia="Times New Roman" w:cs="Times New Roman"/>
          <w:noProof/>
          <w:color w:val="000000"/>
          <w:szCs w:val="24"/>
        </w:rPr>
        <w:lastRenderedPageBreak/>
        <mc:AlternateContent>
          <mc:Choice Requires="wps">
            <w:drawing>
              <wp:inline distT="0" distB="0" distL="0" distR="0" wp14:anchorId="5DFF24E8" wp14:editId="2037CC6C">
                <wp:extent cx="5943600" cy="4611757"/>
                <wp:effectExtent l="0" t="0" r="19050" b="17780"/>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611757"/>
                        </a:xfrm>
                        <a:prstGeom prst="rect">
                          <a:avLst/>
                        </a:prstGeom>
                        <a:solidFill>
                          <a:srgbClr val="FFFFFF"/>
                        </a:solidFill>
                        <a:ln w="9525">
                          <a:solidFill>
                            <a:srgbClr val="000000"/>
                          </a:solidFill>
                          <a:miter lim="800000"/>
                          <a:headEnd/>
                          <a:tailEnd/>
                        </a:ln>
                      </wps:spPr>
                      <wps:txbx>
                        <w:txbxContent>
                          <w:p w14:paraId="307FDBC4" w14:textId="77777777" w:rsidR="0044257B" w:rsidRDefault="0044257B" w:rsidP="0044257B">
                            <w:pPr>
                              <w:keepNext/>
                              <w:spacing w:after="0"/>
                              <w:jc w:val="center"/>
                            </w:pPr>
                            <w:r>
                              <w:rPr>
                                <w:noProof/>
                              </w:rPr>
                              <w:drawing>
                                <wp:inline distT="0" distB="0" distL="0" distR="0" wp14:anchorId="2FCC2C34" wp14:editId="46C88B3A">
                                  <wp:extent cx="5248656" cy="4133088"/>
                                  <wp:effectExtent l="0" t="0" r="0" b="1270"/>
                                  <wp:docPr id="317" name="Picture 31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hape&#10;&#10;Description automatically generated with low confidence"/>
                                          <pic:cNvPicPr/>
                                        </pic:nvPicPr>
                                        <pic:blipFill>
                                          <a:blip r:embed="rId405">
                                            <a:extLst>
                                              <a:ext uri="{28A0092B-C50C-407E-A947-70E740481C1C}">
                                                <a14:useLocalDpi xmlns:a14="http://schemas.microsoft.com/office/drawing/2010/main" val="0"/>
                                              </a:ext>
                                            </a:extLst>
                                          </a:blip>
                                          <a:stretch>
                                            <a:fillRect/>
                                          </a:stretch>
                                        </pic:blipFill>
                                        <pic:spPr>
                                          <a:xfrm>
                                            <a:off x="0" y="0"/>
                                            <a:ext cx="5248656" cy="4133088"/>
                                          </a:xfrm>
                                          <a:prstGeom prst="rect">
                                            <a:avLst/>
                                          </a:prstGeom>
                                        </pic:spPr>
                                      </pic:pic>
                                    </a:graphicData>
                                  </a:graphic>
                                </wp:inline>
                              </w:drawing>
                            </w:r>
                          </w:p>
                          <w:p w14:paraId="341ECDBD" w14:textId="0AAA7426" w:rsidR="0044257B" w:rsidRDefault="0044257B" w:rsidP="00DF51F5">
                            <w:pPr>
                              <w:pStyle w:val="Caption"/>
                            </w:pPr>
                            <w:bookmarkStart w:id="488" w:name="_Ref100268679"/>
                            <w:bookmarkStart w:id="489" w:name="_Toc100748328"/>
                            <w:r>
                              <w:t>Figure 4.</w:t>
                            </w:r>
                            <w:fldSimple w:instr=" SEQ Figure \* ARABIC ">
                              <w:r w:rsidR="00AA5AAC">
                                <w:rPr>
                                  <w:noProof/>
                                </w:rPr>
                                <w:t>3</w:t>
                              </w:r>
                            </w:fldSimple>
                            <w:bookmarkEnd w:id="488"/>
                            <w:r>
                              <w:t xml:space="preserve">. Structures of antiviral compounds referred to in </w:t>
                            </w:r>
                            <w:r>
                              <w:fldChar w:fldCharType="begin"/>
                            </w:r>
                            <w:r>
                              <w:instrText xml:space="preserve"> REF _Ref100258054 \h </w:instrText>
                            </w:r>
                            <w:r>
                              <w:fldChar w:fldCharType="separate"/>
                            </w:r>
                            <w:r w:rsidR="00AA5AAC" w:rsidRPr="0044257B">
                              <w:rPr>
                                <w:iCs/>
                              </w:rPr>
                              <w:t>Table 4.</w:t>
                            </w:r>
                            <w:r>
                              <w:fldChar w:fldCharType="end"/>
                            </w:r>
                            <w:r w:rsidR="004F5DA7">
                              <w:t>1</w:t>
                            </w:r>
                            <w:r>
                              <w:t>.</w:t>
                            </w:r>
                            <w:bookmarkEnd w:id="489"/>
                            <w:r>
                              <w:t xml:space="preserve"> </w:t>
                            </w:r>
                          </w:p>
                        </w:txbxContent>
                      </wps:txbx>
                      <wps:bodyPr rot="0" vert="horz" wrap="square" lIns="91440" tIns="45720" rIns="91440" bIns="45720" anchor="t" anchorCtr="0">
                        <a:noAutofit/>
                      </wps:bodyPr>
                    </wps:wsp>
                  </a:graphicData>
                </a:graphic>
              </wp:inline>
            </w:drawing>
          </mc:Choice>
          <mc:Fallback>
            <w:pict>
              <v:shape w14:anchorId="5DFF24E8" id="_x0000_s1128" type="#_x0000_t202" style="width:468pt;height:3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">
                <v:textbox>
                  <w:txbxContent>
                    <w:p w14:paraId="307FDBC4" w14:textId="77777777" w:rsidR="0044257B" w:rsidRDefault="0044257B" w:rsidP="0044257B">
                      <w:pPr>
                        <w:keepNext/>
                        <w:spacing w:after="0"/>
                        <w:jc w:val="center"/>
                      </w:pPr>
                      <w:r>
                        <w:rPr>
                          <w:noProof/>
                        </w:rPr>
                        <w:drawing>
                          <wp:inline distT="0" distB="0" distL="0" distR="0" wp14:anchorId="2FCC2C34" wp14:editId="46C88B3A">
                            <wp:extent cx="5248656" cy="4133088"/>
                            <wp:effectExtent l="0" t="0" r="0" b="1270"/>
                            <wp:docPr id="317" name="Picture 31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hape&#10;&#10;Description automatically generated with low confidence"/>
                                    <pic:cNvPicPr/>
                                  </pic:nvPicPr>
                                  <pic:blipFill>
                                    <a:blip r:embed="rId405">
                                      <a:extLst>
                                        <a:ext uri="{28A0092B-C50C-407E-A947-70E740481C1C}">
                                          <a14:useLocalDpi xmlns:a14="http://schemas.microsoft.com/office/drawing/2010/main" val="0"/>
                                        </a:ext>
                                      </a:extLst>
                                    </a:blip>
                                    <a:stretch>
                                      <a:fillRect/>
                                    </a:stretch>
                                  </pic:blipFill>
                                  <pic:spPr>
                                    <a:xfrm>
                                      <a:off x="0" y="0"/>
                                      <a:ext cx="5248656" cy="4133088"/>
                                    </a:xfrm>
                                    <a:prstGeom prst="rect">
                                      <a:avLst/>
                                    </a:prstGeom>
                                  </pic:spPr>
                                </pic:pic>
                              </a:graphicData>
                            </a:graphic>
                          </wp:inline>
                        </w:drawing>
                      </w:r>
                    </w:p>
                    <w:p w14:paraId="341ECDBD" w14:textId="0AAA7426" w:rsidR="0044257B" w:rsidRDefault="0044257B" w:rsidP="00DF51F5">
                      <w:pPr>
                        <w:pStyle w:val="Caption"/>
                      </w:pPr>
                      <w:bookmarkStart w:id="490" w:name="_Ref100268679"/>
                      <w:bookmarkStart w:id="491" w:name="_Toc100748328"/>
                      <w:r>
                        <w:t>Figure 4.</w:t>
                      </w:r>
                      <w:fldSimple w:instr=" SEQ Figure \* ARABIC ">
                        <w:r w:rsidR="00AA5AAC">
                          <w:rPr>
                            <w:noProof/>
                          </w:rPr>
                          <w:t>3</w:t>
                        </w:r>
                      </w:fldSimple>
                      <w:bookmarkEnd w:id="490"/>
                      <w:r>
                        <w:t xml:space="preserve">. Structures of antiviral compounds referred to in </w:t>
                      </w:r>
                      <w:r>
                        <w:fldChar w:fldCharType="begin"/>
                      </w:r>
                      <w:r>
                        <w:instrText xml:space="preserve"> REF _Ref100258054 \h </w:instrText>
                      </w:r>
                      <w:r>
                        <w:fldChar w:fldCharType="separate"/>
                      </w:r>
                      <w:r w:rsidR="00AA5AAC" w:rsidRPr="0044257B">
                        <w:rPr>
                          <w:iCs/>
                        </w:rPr>
                        <w:t>Table 4.</w:t>
                      </w:r>
                      <w:r>
                        <w:fldChar w:fldCharType="end"/>
                      </w:r>
                      <w:r w:rsidR="004F5DA7">
                        <w:t>1</w:t>
                      </w:r>
                      <w:r>
                        <w:t>.</w:t>
                      </w:r>
                      <w:bookmarkEnd w:id="491"/>
                      <w:r>
                        <w:t xml:space="preserve"> </w:t>
                      </w:r>
                    </w:p>
                  </w:txbxContent>
                </v:textbox>
                <w10:anchorlock/>
              </v:shape>
            </w:pict>
          </mc:Fallback>
        </mc:AlternateContent>
      </w:r>
    </w:p>
    <w:p w14:paraId="3721DAC2" w14:textId="75FF3240" w:rsidR="0044257B" w:rsidRPr="0044257B" w:rsidRDefault="0044257B" w:rsidP="00210498">
      <w:pPr>
        <w:spacing w:after="0"/>
        <w:ind w:firstLine="720"/>
        <w:rPr>
          <w:rFonts w:eastAsia="Times New Roman" w:cs="Times New Roman"/>
          <w:color w:val="000000"/>
          <w:szCs w:val="24"/>
        </w:rPr>
      </w:pPr>
      <w:r w:rsidRPr="0044257B">
        <w:rPr>
          <w:rFonts w:eastAsia="Times New Roman" w:cs="Times New Roman"/>
          <w:color w:val="000000"/>
          <w:szCs w:val="24"/>
        </w:rPr>
        <w:t>Two proteases within the SARS-CoV-2 genome were more attractive targets for our compounds, especially since several compounds in our small molecule library engage bacterial protease targets. The SARS-CoV-2 genome encodes two polyproteins, pp1a and pp1ab, and four structural proteins.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{"citationID":"WUuw9YOV","properties":{"formattedCitation":"\\super 37\\nosupersub{}","plainCitation":"37","noteIndex":0},"citationItems":[{"id":852,"uris":["http://zotero.org/users/6503767/items/MZDZSWDB"],"itemData":{"id":852,"type":"article-journal","abstract":"SARS-CoV-2 is an extremely contagious respiratory virus causing adult atypical pneumonia COVID-19 with severe acute respiratory syndrome (SARS). SARS-CoV-2 has a single-stranded, positive-sense RNA (+RNA) genome of ~ 29.9 kb and exhibits significant genetic shift from different isolates. After entering the susceptible cells expressing both ACE2 and TMPRSS2, the SARS-CoV-2 genome directly functions as an mRNA to translate two polyproteins from the ORF1a and ORF1b region, which are cleaved by two viral proteases into sixteen non-structural proteins (nsp1-16) to initiate viral genome replication and transcription. The SARS-CoV-2 genome also encodes four structural (S, E, M and N) and up to six accessory (3a, 6, 7a, 7b, 8, and 9b) proteins, but their translation requires newly synthesized individual subgenomic RNAs (sgRNA) in the infected cells. Synthesis of the full-length viral genomic RNA (gRNA) and sgRNAs are conducted inside double-membrane vesicles (DMVs) by the viral replication and transcription complex (RTC), which comprises nsp7, nsp8, nsp9, nsp12, nsp13 and a short RNA primer. To produce sgRNAs, RTC starts RNA synthesis from the highly structured gRNA 3' end and switches template at various transcription regulatory sequence (TRSB) sites along the gRNA body probably mediated by a long-distance RNA–RNA interaction. The TRS motif in the gRNA 5' leader (TRSL) is responsible for the RNA–RNA interaction with the TRSB upstream of each ORF and skipping of the viral genome in between them to produce individual sgRNAs. Abundance of individual sgRNAs and viral gRNA synthesized in the infected cells depend on the location and read-through efficiency of each TRSB. Although more studies are needed, the unprecedented COVID-19 pandemic has taught the world a painful lesson that is to invest and proactively prepare future emergence of other types of coronaviruses and any other possible biological horrors.","container-title":"Cell &amp; Bioscience","DOI":"10.1186/s13578-021-00643-z","ISSN":"2045-3701","issue":"1","journalAbbreviation":"Cell &amp; Bioscience","page":"136","source":"BioMed Central","title":"SARS-CoV-2: from its discovery to genome structure, transcription, and replication","title-short":"SARS-CoV-2","volume":"11","author":[{"family":"Brant","given":"Ayslan Castro"},{"family":"Tian","given":"Wei"},{"family":"Majerciak","given":"Vladimir"},{"family":"Yang","given":"Wei"},{"family":"Zheng","given":"Zhi-Ming"}],"issued":{"date-parts":[["2021",7,19]]}}}],"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37</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The polyproteins are cleaved by proteases for the generation of non-structural proteins essential for viral replication.</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{"citationID":"RUgjMTyV","properties":{"formattedCitation":"\\super 38\\nosupersub{}","plainCitation":"38","noteIndex":0},"citationItems":[{"id":28,"uris":["http://zotero.org/users/6503767/items/FDS3E84Q"],"itemData":{"id":28,"type":"article-journal","abstract":"Severe acute respiratory syndrome (SARS) led to a life-threatening form of atypical pneumonia in late 2002. Following that, Middle East Respiratory Syndrome (MERS-CoV) has recently emerged, killing about 36% of patients infected globally, mainly in Saudi Arabia and South Korea. Based on a scaffold we reported for inhibiting neuraminidase (NA), we synthesized the analogues and identiﬁed compounds with low micromolar inhibitory activity against 3CLpro of SARS-CoV and MERS-CoV. Docking studies show that a carboxylate present at either R1 or R4 destabilizes the oxyanion hole in the 3CLpro. Interestingly, 3f, 3g and 3m could inhibit both NA and 3CLpro and serve as a starting point to develop broad-spectrum antiviral agents.","container-title":"Bioorganic &amp; Medicinal Chemistry","DOI":"10.1016/j.bmc.2016.05.013","ISSN":"09680896","issue":"13","journalAbbreviation":"Bioorganic &amp; Medicinal Chemistry","language":"en","page":"3035-3042","source":"DOI.org (Crossref)","title":"Identification, synthesis and evaluation of SARS-CoV and MERS-CoV 3C-like protease inhibitors","volume":"24","author":[{"family":"Kumar","given":"Vathan"},{"family":"Tan","given":"Kian-Pin"},{"family":"Wang","given":"Ying-Ming"},{"family":"Lin","given":"Sheng-Wei"},{"family":"Liang","given":"Po-Huang"}],"issued":{"date-parts":[["2016",7]]}}}],"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38</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These two proteases involved in viral replication are the </w:t>
      </w:r>
      <w:r w:rsidRPr="0044257B">
        <w:rPr>
          <w:rFonts w:cs="Times New Roman"/>
          <w:szCs w:val="24"/>
        </w:rPr>
        <w:t>main protease (</w:t>
      </w:r>
      <w:proofErr w:type="spellStart"/>
      <w:r w:rsidRPr="0044257B">
        <w:rPr>
          <w:rFonts w:cs="Times New Roman"/>
          <w:szCs w:val="24"/>
        </w:rPr>
        <w:t>M</w:t>
      </w:r>
      <w:r w:rsidRPr="0044257B">
        <w:rPr>
          <w:rFonts w:cs="Times New Roman"/>
          <w:szCs w:val="24"/>
          <w:vertAlign w:val="superscript"/>
        </w:rPr>
        <w:t>pro</w:t>
      </w:r>
      <w:proofErr w:type="spellEnd"/>
      <w:r w:rsidRPr="0044257B">
        <w:rPr>
          <w:rFonts w:cs="Times New Roman"/>
          <w:szCs w:val="24"/>
        </w:rPr>
        <w:t>), which is frequently also called 3-chymotrypsin-like protease (3CL</w:t>
      </w:r>
      <w:r w:rsidRPr="0044257B">
        <w:rPr>
          <w:rFonts w:cs="Times New Roman"/>
          <w:szCs w:val="24"/>
          <w:vertAlign w:val="superscript"/>
        </w:rPr>
        <w:t>pro</w:t>
      </w:r>
      <w:r w:rsidRPr="0044257B">
        <w:rPr>
          <w:rFonts w:cs="Times New Roman"/>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{"citationID":"9e5nFZJh","properties":{"formattedCitation":"\\super 3\\nosupersub{}","plainCitation":"3","noteIndex":0},"citationItems":[{"id":24,"uris":["http://zotero.org/users/6503767/items/Y7K44RN3"],"itemData":{"id":24,"type":"article-journal","abstract":"The COVID-19 pandemic caused by SARS-CoV-2 is a global health emergency. An attractive drug target among coronaviruses is the main protease (M\n              pro\n              , 3CL\n              pro\n              ), due to its essential role in processing the polyproteins that are translated from the viral RNA. We report the X-ray structures of the unliganded SARS-CoV-2 M\n              pro\n              and its complex with an α-ketoamide inhibitor. This was derived from a previously designed inhibitor but with the P3-P2 amide bond incorporated into a pyridone ring to enhance the half-life of the compound in plasma. Based on the structure, we developed the lead compound into a potent inhibitor of the SARS-CoV-2 M\n              pro\n              . The pharmacokinetic characterization of the optimized inhibitor reveals a pronounced lung tropism and suitability for administration by the inhalative route.","container-title":"Science","DOI":"10.1126/science.abb3405","ISSN":"0036-8075, 1095-9203","journalAbbreviation":"Science","language":"en","page":"eabb3405","source":"DOI.org (Crossref)","title":"Crystal structure of SARS-CoV-2 main protease provides a basis for design of improved α-ketoamide inhibitors","author":[{"family":"Zhang","given":"Linlin"},{"family":"Lin","given":"Daizong"},{"family":"Sun","given":"Xinyuanyuan"},{"family":"Curth","given":"Ute"},{"family":"Drosten","given":"Christian"},{"family":"Sauerhering","given":"Lucie"},{"family":"Becker","given":"Stephan"},{"family":"Rox","given":"Katharina"},{"family":"Hilgenfeld","given":"Rolf"}],"issued":{"date-parts":[["2020",3,20]]}}}],"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and the papain-like protease (</w:t>
      </w:r>
      <w:proofErr w:type="spellStart"/>
      <w:r w:rsidRPr="0044257B">
        <w:rPr>
          <w:rFonts w:eastAsia="Times New Roman" w:cs="Times New Roman"/>
          <w:color w:val="000000"/>
          <w:szCs w:val="24"/>
        </w:rPr>
        <w:t>PL</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{"citationID":"aTOKq1ik","properties":{"formattedCitation":"\\super 39\\nosupersub{}","plainCitation":"39","noteIndex":0},"citationItems":[{"id":2,"uris":["http://zotero.org/users/6503767/items/6I87C3FJ"],"itemData":{"id":2,"type":"article-journal","abstract":"The cases of 2019 novel coronavirus (SARS-CoV-2) infection have been continuously increasing ever since its outbreak in China last December. Currently, there are no approved drugs to treat the infection. In this scenario, there is a need to utilize the existing repertoire of FDA approved drugs to treat the disease. The rational selection of these drugs could be made by testing their ability to inhibit any SARS-CoV-2 proteins essential for viral life-cycle. We chose one such crucial viral protein, the papain-like protease (PLpro), to screen the FDA approved drugs in silico. The homology model of the protease was built based on the SARS-coronavirus PLpro structure, and the drugs were docked in S3/S4 pockets of the active site of the enzyme. In our docking studies, sixteen FDA approved drugs, including chloroquine and formoterol, was found to bind the target enzyme with significant affinity and good geometry, suggesting their potential to be utilized against the virus.","language":"en","page":"8","source":"Zotero","title":"Potential inhibitors against papain-like protease of novel coronavirus (SARS-CoV-2) from FDA approved drugs","author":[{"family":"Arya","given":"Rimanshee"},{"family":"Das","given":"Amit"},{"family":"Prashar","given":"Vishal"},{"family":"Kumar","given":"Mukesh"}]}}],"schema":"https://github.com/citation-style-language/schema/raw/master/csl-citation.json"}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39</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A comparison of the MERS-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SARS-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xml:space="preserve">, and SARS-CoV-2 </w:t>
      </w:r>
      <w:proofErr w:type="spellStart"/>
      <w:r w:rsidRPr="0044257B">
        <w:rPr>
          <w:rFonts w:eastAsia="Times New Roman" w:cs="Times New Roman"/>
          <w:color w:val="000000"/>
          <w:szCs w:val="24"/>
        </w:rPr>
        <w:t>M</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sequence revealed that the SARS-CoV-2 </w:t>
      </w:r>
      <w:proofErr w:type="spellStart"/>
      <w:r w:rsidRPr="0044257B">
        <w:rPr>
          <w:rFonts w:eastAsia="Times New Roman" w:cs="Times New Roman"/>
          <w:color w:val="000000"/>
          <w:szCs w:val="24"/>
        </w:rPr>
        <w:t>M</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is 96% and 51% similar to SARS-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xml:space="preserve"> and MERS-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respectively.</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{"citationID":"1VkH0uPW","properties":{"formattedCitation":"\\super 40\\nosupersub{}","plainCitation":"40","noteIndex":0},"citationItems":[{"id":855,"uris":["http://zotero.org/users/6503767/items/YWCSE7HM"],"itemData":{"id":855,"type":"article-journal","abstract":"β-coronavirus (CoVs) alone has been responsible for three major global outbreaks in the 21st century. The current crisis has led to an urgent requirement to develop therapeutics. Even though a number of vaccines are available, alternative strategies targeting essential viral components are required as a backup against the emergence of lethal viral variants. One such target is the main protease (Mpro) that plays an indispensable role in viral replication. The availability of over 270 Mpro X-ray structures in complex with inhibitors provides unique insights into ligand–protein interactions. Herein, we provide a comprehensive comparison of all nonredundant ligand-binding sites available for SARS-CoV2, SARS-CoV, and MERS-CoV Mpro. Extensive adaptive sampling has been used to investigate structural conservation of ligand-binding sites using Markov state models (MSMs) and compare conformational dynamics employing convolutional variational auto-encoder-based deep learning. Our results indicate that not all ligand-binding sites are dynamically conserved despite high sequence and structural conservation across β-CoV homologs. This highlights the complexity in targeting all three Mpro enzymes with a single pan inhibitor.","container-title":"Journal of Chemical Information and Modeling","DOI":"10.1021/acs.jcim.1c00449","ISSN":"1549-9596","issue":"6","journalAbbreviation":"J. Chem. Inf. Model.","note":"publisher: American Chemical Society","page":"3058-3073","source":"ACS Publications","title":"Dynamic Profiling of β-Coronavirus 3CL Mpro Protease Ligand-Binding Sites","volume":"61","author":[{"family":"Cho","given":"Eunice"},{"family":"Rosa","given":"Margarida"},{"family":"Anjum","given":"Ruhi"},{"family":"Mehmood","given":"Saman"},{"family":"Soban","given":"Mariya"},{"family":"Mujtaba","given":"Moniza"},{"family":"Bux","given":"Khair"},{"family":"Moin","given":"Syed T."},{"family":"Tanweer","given":"Mohammad"},{"family":"Dantu","given":"Sarath"},{"family":"Pandini","given":"Alessandro"},{"family":"Yin","given":"Junqi"},{"family":"Ma","given":"Heng"},{"family":"Ramanathan","given":"Arvind"},{"family":"Islam","given":"Barira"},{"family":"Mey","given":"Antonia S. J. S."},{"family":"Bhowmik","given":"Debsindhu"},{"family":"Haider","given":"Shozeb"}],"issued":{"date-parts":[["2021",6,28]]}}}],"schema":"https://github.com/citation-style-language/schema/raw/master/csl-citation.json"}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40</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Our preliminary work towards expanding the chemical space of coronavirus protease inhibitors</w:t>
      </w:r>
      <w:r w:rsidR="00E232EA">
        <w:rPr>
          <w:rFonts w:eastAsia="Times New Roman" w:cs="Times New Roman"/>
          <w:color w:val="000000"/>
          <w:szCs w:val="24"/>
        </w:rPr>
        <w:t xml:space="preserve"> of</w:t>
      </w:r>
      <w:r w:rsidRPr="0044257B">
        <w:rPr>
          <w:rFonts w:eastAsia="Times New Roman" w:cs="Times New Roman"/>
          <w:color w:val="000000"/>
          <w:szCs w:val="24"/>
        </w:rPr>
        <w:t xml:space="preserve"> </w:t>
      </w:r>
      <w:proofErr w:type="spellStart"/>
      <w:r w:rsidR="00E232EA" w:rsidRPr="0044257B">
        <w:rPr>
          <w:rFonts w:eastAsia="Times New Roman" w:cs="Times New Roman"/>
          <w:color w:val="000000"/>
          <w:szCs w:val="24"/>
        </w:rPr>
        <w:t>M</w:t>
      </w:r>
      <w:r w:rsidR="00E232EA" w:rsidRPr="0044257B">
        <w:rPr>
          <w:rFonts w:eastAsia="Times New Roman" w:cs="Times New Roman"/>
          <w:color w:val="000000"/>
          <w:szCs w:val="24"/>
          <w:vertAlign w:val="superscript"/>
        </w:rPr>
        <w:t>pro</w:t>
      </w:r>
      <w:proofErr w:type="spellEnd"/>
      <w:r w:rsidR="00E232EA" w:rsidRPr="0044257B">
        <w:rPr>
          <w:rFonts w:eastAsia="Times New Roman" w:cs="Times New Roman"/>
          <w:color w:val="000000"/>
          <w:szCs w:val="24"/>
        </w:rPr>
        <w:t xml:space="preserve"> </w:t>
      </w:r>
      <w:r w:rsidRPr="0044257B">
        <w:rPr>
          <w:rFonts w:eastAsia="Times New Roman" w:cs="Times New Roman"/>
          <w:color w:val="000000"/>
          <w:szCs w:val="24"/>
        </w:rPr>
        <w:t xml:space="preserve">will be discussed in this chapter. </w:t>
      </w:r>
    </w:p>
    <w:p w14:paraId="28D21EC4" w14:textId="77777777" w:rsidR="0044257B" w:rsidRPr="0044257B" w:rsidRDefault="0044257B" w:rsidP="00595321">
      <w:pPr>
        <w:pStyle w:val="Section"/>
      </w:pPr>
      <w:bookmarkStart w:id="492" w:name="_Toc100241933"/>
      <w:bookmarkStart w:id="493" w:name="_Toc102586297"/>
      <w:r w:rsidRPr="0044257B">
        <w:lastRenderedPageBreak/>
        <w:t>4.2 Results and discussion</w:t>
      </w:r>
      <w:bookmarkEnd w:id="492"/>
      <w:bookmarkEnd w:id="493"/>
    </w:p>
    <w:p w14:paraId="1FF31A53" w14:textId="77777777" w:rsidR="0044257B" w:rsidRPr="0044257B" w:rsidRDefault="0044257B" w:rsidP="00595321">
      <w:pPr>
        <w:pStyle w:val="Subsection"/>
      </w:pPr>
      <w:bookmarkStart w:id="494" w:name="_Toc102586298"/>
      <w:bookmarkStart w:id="495" w:name="_Toc100241934"/>
      <w:r w:rsidRPr="0044257B">
        <w:t>4.2.1 Structural comparisons inspire viral replication inhibition screen of existing compounds in the Duerfeldt lab library.</w:t>
      </w:r>
      <w:bookmarkEnd w:id="494"/>
      <w:r w:rsidRPr="0044257B">
        <w:t xml:space="preserve"> </w:t>
      </w:r>
      <w:bookmarkEnd w:id="495"/>
    </w:p>
    <w:p w14:paraId="4C45A2D1" w14:textId="30996ACE" w:rsidR="0044257B" w:rsidRPr="0044257B" w:rsidRDefault="0044257B" w:rsidP="000B03CD">
      <w:pPr>
        <w:ind w:firstLine="720"/>
        <w:rPr>
          <w:rFonts w:eastAsia="Times New Roman" w:cs="Times New Roman"/>
          <w:color w:val="000000"/>
          <w:szCs w:val="24"/>
        </w:rPr>
      </w:pPr>
      <w:r w:rsidRPr="0044257B">
        <w:rPr>
          <w:rFonts w:eastAsia="Times New Roman" w:cs="Times New Roman"/>
          <w:color w:val="000000"/>
          <w:szCs w:val="24"/>
        </w:rPr>
        <w:t xml:space="preserve">Several known coronavirus </w:t>
      </w:r>
      <w:proofErr w:type="spellStart"/>
      <w:r w:rsidRPr="0044257B">
        <w:rPr>
          <w:rFonts w:eastAsia="Times New Roman" w:cs="Times New Roman"/>
          <w:color w:val="000000"/>
          <w:szCs w:val="24"/>
        </w:rPr>
        <w:t>M</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and </w:t>
      </w:r>
      <w:proofErr w:type="spellStart"/>
      <w:r w:rsidRPr="0044257B">
        <w:rPr>
          <w:rFonts w:eastAsia="Times New Roman" w:cs="Times New Roman"/>
          <w:color w:val="000000"/>
          <w:szCs w:val="24"/>
        </w:rPr>
        <w:t>PL</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inhibitors contain structural similarities to existing compounds in the Duerfeldt lab small molecule library. We hypothesized that screening </w:t>
      </w:r>
      <w:r w:rsidR="00E232EA">
        <w:rPr>
          <w:rFonts w:eastAsia="Times New Roman" w:cs="Times New Roman"/>
          <w:color w:val="000000"/>
          <w:szCs w:val="24"/>
        </w:rPr>
        <w:t xml:space="preserve">a representative subset of </w:t>
      </w:r>
      <w:r w:rsidRPr="0044257B">
        <w:rPr>
          <w:rFonts w:eastAsia="Times New Roman" w:cs="Times New Roman"/>
          <w:color w:val="000000"/>
          <w:szCs w:val="24"/>
        </w:rPr>
        <w:t xml:space="preserve">our compound library, which features structurally diverse scaffolds, some of which </w:t>
      </w:r>
      <w:r w:rsidR="00E232EA">
        <w:rPr>
          <w:rFonts w:eastAsia="Times New Roman" w:cs="Times New Roman"/>
          <w:color w:val="000000"/>
          <w:szCs w:val="24"/>
        </w:rPr>
        <w:t>include</w:t>
      </w:r>
      <w:r w:rsidRPr="0044257B">
        <w:rPr>
          <w:rFonts w:eastAsia="Times New Roman" w:cs="Times New Roman"/>
          <w:color w:val="000000"/>
          <w:szCs w:val="24"/>
        </w:rPr>
        <w:t xml:space="preserve"> chemotypes identified in reported screens,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{"citationID":"eHhNoRra","properties":{"formattedCitation":"\\super 41,42\\nosupersub{}","plainCitation":"41,42","noteIndex":0},"citationItems":[{"id":12,"uris":["http://zotero.org/users/6503767/items/8YF6ZUBS"],"itemData":{"id":12,"type":"article-journal","container-title":"Drug Discovery Today","DOI":"10.1016/j.drudis.2020.01.015","ISSN":"13596446","journalAbbreviation":"Drug Discovery Today","language":"en","page":"S1359644620300416","source":"DOI.org (Crossref)","title":"Recent discovery and development of inhibitors targeting coronaviruses","author":[{"family":"Pillaiyar","given":"Thanigaimalai"},{"family":"Meenakshisundaram","given":"Sangeetha"},{"family":"Manickam","given":"Manoj"}],"issued":{"date-parts":[["2020",1]]}}},{"id":812,"uris":["http://zotero.org/users/6503767/items/FDTHRM79"],"itemData":{"id":812,"type":"article-journal","abstract":"SARS-CoV-2 has caused tens of thousands of infections and more than one thousand deaths. There are currently no registered therapies for treating coronavirus infections. Because of time consuming process of new drug development, drug repositioning may be the only solution to the epidemic of sudden infectious diseases. We systematically analyzed all the proteins encoded by SARS-CoV-2 genes, compared them with proteins from other coronaviruses, predicted their structures, and built 19 structures that could be done by homology modeling. By performing target-based virtual ligand screening, a total of 21 targets (including two human targets) were screened against compound libraries including ZINC drug database and our own database of natural products. Structure and screening results of important targets such as 3-chymotrypsin-like protease (3CLpro), Spike, RNA-dependent RNA polymerase (RdRp), and papain like protease (PLpro) were discussed in detail. In addition, a database of 78 commonly used anti-viral drugs including those currently on the market and undergoing clinical trials for SARS-CoV-2 was constructed. Possible targets of these compounds and potential drugs acting on a certain target were predicted. This study will provide new lead compounds and targets for further in vitro and in vivo studies of SARS-CoV-2, new insights for those drugs currently ongoing clinical studies, and also possible new strategies for drug repositioning to treat SARS-CoV-2 infections.","container-title":"Acta Pharmaceutica Sinica B","DOI":"10.1016/j.apsb.2020.02.008","ISSN":"2211-3835","issue":"5","journalAbbreviation":"Acta Pharmaceutica Sinica B","language":"en","page":"766-788","source":"ScienceDirect","title":"Analysis of therapeutic targets for SARS-CoV-2 and discovery of potential drugs by computational methods","volume":"10","author":[{"family":"Wu","given":"Canrong"},{"family":"Liu","given":"Yang"},{"family":"Yang","given":"Yueying"},{"family":"Zhang","given":"Peng"},{"family":"Zhong","given":"Wu"},{"family":"Wang","given":"Yali"},{"family":"Wang","given":"Qiqi"},{"family":"Xu","given":"Yang"},{"family":"Li","given":"Mingxue"},{"family":"Li","given":"Xingzhou"},{"family":"Zheng","given":"Mengzhu"},{"family":"Chen","given":"Lixia"},{"family":"Li","given":"Hua"}],"issued":{"date-parts":[["2020",5,1]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41,42</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could potentially expand the chemical space being explored in the search of SARS-CoV-2 replication inhibitors. Some representative examples of anti-coronavirus compounds are shown in</w:t>
      </w:r>
      <w:r w:rsidRPr="0044257B">
        <w:rPr>
          <w:rFonts w:eastAsia="Times New Roman" w:cs="Times New Roman"/>
          <w:b/>
          <w:bCs/>
          <w:color w:val="000000"/>
          <w:szCs w:val="24"/>
        </w:rPr>
        <w:t xml:space="preserve"> </w:t>
      </w:r>
      <w:r w:rsidRPr="0044257B">
        <w:rPr>
          <w:rFonts w:eastAsia="Times New Roman" w:cs="Times New Roman"/>
          <w:b/>
          <w:bCs/>
          <w:color w:val="000000"/>
          <w:szCs w:val="24"/>
        </w:rPr>
        <w:fldChar w:fldCharType="begin"/>
      </w:r>
      <w:r w:rsidRPr="0044257B">
        <w:rPr>
          <w:rFonts w:eastAsia="Times New Roman" w:cs="Times New Roman"/>
          <w:b/>
          <w:bCs/>
          <w:color w:val="000000"/>
          <w:szCs w:val="24"/>
        </w:rPr>
        <w:instrText xml:space="preserve"> REF _Ref100281421 \h  \* MERGEFORMAT </w:instrText>
      </w:r>
      <w:r w:rsidRPr="0044257B">
        <w:rPr>
          <w:rFonts w:eastAsia="Times New Roman" w:cs="Times New Roman"/>
          <w:b/>
          <w:bCs/>
          <w:color w:val="000000"/>
          <w:szCs w:val="24"/>
        </w:rPr>
      </w:r>
      <w:r w:rsidRPr="0044257B">
        <w:rPr>
          <w:rFonts w:eastAsia="Times New Roman" w:cs="Times New Roman"/>
          <w:b/>
          <w:bCs/>
          <w:color w:val="000000"/>
          <w:szCs w:val="24"/>
        </w:rPr>
        <w:fldChar w:fldCharType="separate"/>
      </w:r>
      <w:r w:rsidR="00AA5AAC" w:rsidRPr="00AA5AAC">
        <w:rPr>
          <w:b/>
          <w:bCs/>
        </w:rPr>
        <w:t>Figure 4.4</w:t>
      </w:r>
      <w:r w:rsidRPr="0044257B">
        <w:rPr>
          <w:rFonts w:eastAsia="Times New Roman" w:cs="Times New Roman"/>
          <w:b/>
          <w:bCs/>
          <w:color w:val="000000"/>
          <w:szCs w:val="24"/>
        </w:rPr>
        <w:fldChar w:fldCharType="end"/>
      </w:r>
      <w:r w:rsidRPr="0044257B">
        <w:rPr>
          <w:rFonts w:eastAsia="Times New Roman" w:cs="Times New Roman"/>
          <w:color w:val="000000"/>
          <w:szCs w:val="24"/>
        </w:rPr>
        <w:t>. The rationale behind our motivation for submitting compounds from our library to evaluate for viral replication inhibition is described here</w:t>
      </w:r>
      <w:r w:rsidR="00E232EA">
        <w:rPr>
          <w:rFonts w:eastAsia="Times New Roman" w:cs="Times New Roman"/>
          <w:color w:val="000000"/>
          <w:szCs w:val="24"/>
        </w:rPr>
        <w:t>in</w:t>
      </w:r>
      <w:r w:rsidRPr="0044257B">
        <w:rPr>
          <w:rFonts w:eastAsia="Times New Roman" w:cs="Times New Roman"/>
          <w:color w:val="000000"/>
          <w:szCs w:val="24"/>
        </w:rPr>
        <w:t xml:space="preserve">. </w:t>
      </w:r>
    </w:p>
    <w:p w14:paraId="783FD61B" w14:textId="75341A47" w:rsidR="00210498" w:rsidRPr="0044257B" w:rsidRDefault="0044257B" w:rsidP="0047406E">
      <w:pPr>
        <w:ind w:firstLine="720"/>
        <w:rPr>
          <w:rFonts w:eastAsia="Times New Roman" w:cs="Times New Roman"/>
          <w:color w:val="000000"/>
          <w:szCs w:val="24"/>
        </w:rPr>
      </w:pPr>
      <w:r w:rsidRPr="0044257B">
        <w:rPr>
          <w:rFonts w:eastAsia="Times New Roman" w:cs="Times New Roman"/>
          <w:color w:val="000000"/>
          <w:szCs w:val="24"/>
        </w:rPr>
        <w:t xml:space="preserve">The </w:t>
      </w:r>
      <w:proofErr w:type="spellStart"/>
      <w:r w:rsidRPr="0044257B">
        <w:rPr>
          <w:rFonts w:eastAsia="Times New Roman" w:cs="Times New Roman"/>
          <w:color w:val="000000"/>
          <w:szCs w:val="24"/>
        </w:rPr>
        <w:t>M</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inhibitors include antiretrovirals typically prescribed for human immunodeficiency virus (HIV) such as lopinavir (</w:t>
      </w:r>
      <w:r w:rsidRPr="0044257B">
        <w:rPr>
          <w:rFonts w:eastAsia="Times New Roman" w:cs="Times New Roman"/>
          <w:b/>
          <w:bCs/>
          <w:color w:val="000000"/>
          <w:szCs w:val="24"/>
        </w:rPr>
        <w:t>4.1</w:t>
      </w:r>
      <w:r w:rsidRPr="0044257B">
        <w:rPr>
          <w:rFonts w:eastAsia="Times New Roman" w:cs="Times New Roman"/>
          <w:color w:val="000000"/>
          <w:szCs w:val="24"/>
        </w:rPr>
        <w:t xml:space="preserve">) in combination with ritonavir (structure not shown), which inhibits </w:t>
      </w:r>
      <w:proofErr w:type="spellStart"/>
      <w:r w:rsidRPr="0044257B">
        <w:rPr>
          <w:rFonts w:eastAsia="Times New Roman" w:cs="Times New Roman"/>
          <w:color w:val="000000"/>
          <w:szCs w:val="24"/>
        </w:rPr>
        <w:t>M</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activity of both SARS-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xml:space="preserve"> and MERS-CoV.</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{"citationID":"akpsL6Ac","properties":{"formattedCitation":"\\super 43\\nosupersub{}","plainCitation":"43","noteIndex":0},"citationItems":[{"id":910,"uris":["http://zotero.org/users/6503767/items/EB4DGG2W"],"itemData":{"id":910,"type":"article-journal","abstract":"In the past few decades, coronaviruses have risen as a global threat to public health. Currently, the outbreak of coronavirus disease-19 (COVID-19) from Wuhan caused a worldwide panic. There are no specific antiviral therapies for COVID-19. However, there are agents that were used during the severe acute respiratory syndrome (SARS) and Middle East respiratory syndrome (MERS) epidemics. We could learn from SARS and MERS. Lopinavir (LPV) is an effective agent that inhibits the protease activity of coronavirus. In this review, we discuss the literature on the efficacy of LPV in vitro and in vivo, especially in patients with SARS and MERS, so that we might clarify the potential for the use of LPV in patients with COVID-19.","container-title":"Journal of Medical Virology","DOI":"10.1002/jmv.25729","ISSN":"1096-9071","issue":"6","journalAbbreviation":"J Med Virol","language":"eng","note":"PMID: 32104907\nPMCID: PMC7217143","page":"556-563","source":"PubMed","title":"A systematic review of lopinavir therapy for SARS coronavirus and MERS coronavirus-A possible reference for coronavirus disease-19 treatment option","volume":"92","author":[{"family":"Yao","given":"Tian-Tian"},{"family":"Qian","given":"Jian-Dan"},{"family":"Zhu","given":"Wen-Yan"},{"family":"Wang","given":"Yan"},{"family":"Wang","given":"Gui-Qiang"}],"issued":{"date-parts":[["2020",6]]}}}],"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43</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However, in a systematic review of randomized controlled trials employing lopinavir-ritonavir in COVID-19 patients found that this combination did not improve mortality rate and exhibited a significantly high risk of adverse events when compared to supportive care or placebo.</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{"citationID":"nBrtH0Ka","properties":{"formattedCitation":"\\super 44\\nosupersub{}","plainCitation":"44","noteIndex":0},"citationItems":[{"id":930,"uris":["http://zotero.org/users/6503767/items/3MWJV9IF"],"itemData":{"id":930,"type":"article-journal","abstract":"Background\nLopinavir-ritonavir is a repurposed drug for coronavirus disease-2019 (COVID-19). In this study, a pooled effect of lopinavir-ritonavir on mortality, virological cure, radiological improvement and safety profile in COVID-19 patients has been evaluated.\n\nMethods\nThe databases were searched for comparative randomized controlled studies evaluating the efficacy and/or safety of lopinavir-ritonavir in COVID-19 patients. The mortality outcome was pooled as a risk difference (RD) with 95% CI. The virological cure, radiological improvement and adverse events were pooled as risk ratio (RR) with 95% CI. All outcomes were pooled using the Mantle-Hanzle method random effect model. The heterogeneity was assessed using the I2 test.\n\nResults\nOut of 82 full text assessed, seven studies were included in the analysis. The included studies had five different control interventions: supportive care (n = 4), umifenovir (arbidol) (n = 2), navaferon (recombinant anti-tumour and anti-virus protein) (n = 1), lopinavir-ritonavir + novaferon (n = 1) and lopinavir-ritonavir + interferon beta 1b + ribavirin (n = 1). Lopinavir-ritonavir group did not show significant difference in mortality [RD: 0.00 (95% CI: −0.01, 0.02), I2 = 0], virological cure [RR: 1.06 (95% CI: 0.85, 1.31), I2 = 0%], radiological improvement [RR: 0.81 (95% CI: 0.62, 1.05)] and adverse events [RR: 2.59 (95% CI: 0.17, 38.90), I2 = 75%] than supportive care. Similarly, no difference was observed for any efficacy outcomes between lopinavir-ritonavir and other control interventions. We observed significantly high risk of adverse events with lopinavir-ritonavir as compared to umifenovir [RR: 2.96 (95% CI: 1.42–6.18); I2 = 0%].\n\nConclusion\nThere is no benefit of the addition of lopinavir-ritonavir to the standard care in COVID-19 patients.","container-title":"Journal of Infection and Public Health","DOI":"10.1016/j.jiph.2021.03.015","ISSN":"1876-0341","issue":"6","journalAbbreviation":"J Infect Public Health","note":"PMID: 34020215\nPMCID: PMC8056786","page":"740-748","source":"PubMed Central","title":"Efficacy and safety of lopinavir-ritonavir in COVID-19: A systematic review of randomized controlled trials","title-short":"Efficacy and safety of lopinavir-ritonavir in COVID-19","volume":"14","author":[{"family":"Patel","given":"Tejas K."},{"family":"Patel","given":"Parvati B."},{"family":"Barvaliya","given":"Manish"},{"family":"Saurabh","given":"Manoj Kumar"},{"family":"Bhalla","given":"Hira Lal"},{"family":"Khosla","given":"Prem Parkash"}],"issued":{"date-parts":[["2021",6]]}}}],"schema":"https://github.com/citation-style-language/schema/raw/master/csl-citation.json"}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44</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Additionally, </w:t>
      </w:r>
      <w:proofErr w:type="spellStart"/>
      <w:r w:rsidRPr="0044257B">
        <w:rPr>
          <w:rFonts w:eastAsia="Times New Roman" w:cs="Times New Roman"/>
          <w:color w:val="000000"/>
          <w:szCs w:val="24"/>
        </w:rPr>
        <w:t>chloropyridyl</w:t>
      </w:r>
      <w:proofErr w:type="spellEnd"/>
      <w:r w:rsidRPr="0044257B">
        <w:rPr>
          <w:rFonts w:eastAsia="Times New Roman" w:cs="Times New Roman"/>
          <w:color w:val="000000"/>
          <w:szCs w:val="24"/>
        </w:rPr>
        <w:t xml:space="preserve"> ester </w:t>
      </w:r>
      <w:r w:rsidRPr="0044257B">
        <w:rPr>
          <w:rFonts w:eastAsia="Times New Roman" w:cs="Times New Roman"/>
          <w:b/>
          <w:bCs/>
          <w:color w:val="000000"/>
          <w:szCs w:val="24"/>
        </w:rPr>
        <w:t>4.9</w:t>
      </w:r>
      <w:r w:rsidRPr="0044257B">
        <w:rPr>
          <w:rFonts w:eastAsia="Times New Roman" w:cs="Times New Roman"/>
          <w:color w:val="000000"/>
          <w:szCs w:val="24"/>
        </w:rPr>
        <w:t xml:space="preserve"> exhibits SARS-</w:t>
      </w:r>
      <w:proofErr w:type="spellStart"/>
      <w:r w:rsidRPr="0044257B">
        <w:rPr>
          <w:rFonts w:eastAsia="Times New Roman" w:cs="Times New Roman"/>
          <w:color w:val="000000"/>
          <w:szCs w:val="24"/>
        </w:rPr>
        <w:t>CoV</w:t>
      </w:r>
      <w:proofErr w:type="spellEnd"/>
      <w:r w:rsidRPr="0044257B">
        <w:rPr>
          <w:rFonts w:eastAsia="Times New Roman" w:cs="Times New Roman"/>
          <w:color w:val="000000"/>
          <w:szCs w:val="24"/>
        </w:rPr>
        <w:t xml:space="preserve"> </w:t>
      </w:r>
      <w:proofErr w:type="spellStart"/>
      <w:r w:rsidRPr="0044257B">
        <w:rPr>
          <w:rFonts w:eastAsia="Times New Roman" w:cs="Times New Roman"/>
          <w:color w:val="000000"/>
          <w:szCs w:val="24"/>
        </w:rPr>
        <w:t>M</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enzymatic inhibitory activity (IC</w:t>
      </w:r>
      <w:r w:rsidRPr="0044257B">
        <w:rPr>
          <w:rFonts w:eastAsia="Times New Roman" w:cs="Times New Roman"/>
          <w:color w:val="000000"/>
          <w:szCs w:val="24"/>
          <w:vertAlign w:val="subscript"/>
        </w:rPr>
        <w:t>50</w:t>
      </w:r>
      <w:r w:rsidRPr="0044257B">
        <w:rPr>
          <w:rFonts w:eastAsia="Times New Roman" w:cs="Times New Roman"/>
          <w:color w:val="000000"/>
          <w:szCs w:val="24"/>
        </w:rPr>
        <w:t xml:space="preserve"> = 30 </w:t>
      </w:r>
      <w:proofErr w:type="spellStart"/>
      <w:r w:rsidRPr="0044257B">
        <w:rPr>
          <w:rFonts w:eastAsia="Times New Roman" w:cs="Times New Roman"/>
          <w:color w:val="000000"/>
          <w:szCs w:val="24"/>
        </w:rPr>
        <w:t>nM</w:t>
      </w:r>
      <w:proofErr w:type="spellEnd"/>
      <w:r w:rsidRPr="0044257B">
        <w:rPr>
          <w:rFonts w:eastAsia="Times New Roman" w:cs="Times New Roman"/>
          <w:color w:val="000000"/>
          <w:szCs w:val="24"/>
        </w:rPr>
        <w:t>),</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{"citationID":"Om2NDgs0","properties":{"formattedCitation":"\\super 45\\nosupersub{}","plainCitation":"45","noteIndex":0},"citationItems":[{"id":921,"uris":["http://zotero.org/users/6503767/items/YA9I7LXK"],"itemData":{"id":921,"type":"article-journal","abstract":"Design, synthesis and biological evaluation of a series of 5-chloropyridine ester-derived severe acute respiratory syndrome-coronavirus chymotrypsin-like protease inhibitors is described. Position of the carboxylate functionality is critical to potency. Inhibitor 10 with a 5-chloropyridinyl ester at position 4 of the indole ring is the most potent inhibitor with a SARS-CoV 3CLpro IC50 value of 30nM and an antiviral EC50 value of 6.9μM. Molecular docking studies have provided possible binding modes of these inhibitors.","container-title":"Bioorganic &amp; Medicinal Chemistry Letters","DOI":"10.1016/j.bmcl.2008.08.082","ISSN":"0960-894X","issue":"20","journalAbbreviation":"Bioorganic &amp; Medicinal Chemistry Letters","language":"en","page":"5684-5688","source":"ScienceDirect","title":"Design, synthesis and antiviral efficacy of a series of potent chloropyridyl ester-derived SARS-CoV 3CLpro inhibitors","volume":"18","author":[{"family":"Ghosh","given":"Arun K."},{"family":"Gong","given":"Gangli"},{"family":"Grum-Tokars","given":"Valerie"},{"family":"Mulhearn","given":"Debbie C."},{"family":"Baker","given":"Susan C."},{"family":"Coughlin","given":"Melissa"},{"family":"Prabhakar","given":"Bellur S."},{"family":"Sleeman","given":"Katrina"},{"family":"Johnson","given":"Michael E."},{"family":"Mesecar","given":"Andrew D."}],"issued":{"date-parts":[["2008",10,15]]}}}],"schema":"https://github.com/citation-style-language/schema/raw/master/csl-citation.json"}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45</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but was found to have inconsistent cellular stability in cell-based assays.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{"citationID":"pGC72Nph","properties":{"formattedCitation":"\\super 46\\nosupersub{}","plainCitation":"46","noteIndex":0},"citationItems":[{"id":924,"uris":["http://zotero.org/users/6503767/items/4UYSECS8"],"itemData":{"id":924,"type":"article-journal","abstract":"As an essential enzyme of SARS-CoV-2, main protease (MPro) triggers acute toxicity to its human cell host, an effect that can be alleviated by an MPro inhibitor. Using this toxicity alleviation, we developed an effective method that allows a bulk analysis of the cellular potency of MPro inhibitors. This novel assay is advantageous over an antiviral assay in providing precise cellular MPro inhibition information to assess an MPro inhibitor. We used this assay to analyze 30 known MPro inhibitors. Contrary to their strong antiviral effects and up to 10 μM, 11a, calpain inhibitor II, calpain XII, ebselen, bepridil, chloroquine, and hydroxychloroquine showed relatively weak to undetectable cellular MPro inhibition potency implicating their roles in interfering with key steps other than just the MPro catalysis in the SARS-CoV-2 life cycle. Our results also revealed that MPI5, MPI6, MPI7, and MPI8 have high cellular and antiviral potency. As the one with the highest cellular and antiviral potency among all tested compounds, MPI8 has a remarkable cellular MPro inhibition IC50 value of 31 nM that matches closely to its strong antiviral effect with an EC50 value of 30 nM. Therefore, we cautiously suggest exploring MPI8 further for COVID-19 preclinical tests.","container-title":"ACS Central Science","DOI":"10.1021/acscentsci.1c00910","ISSN":"2374-7943","issue":"2","journalAbbreviation":"ACS Cent. Sci.","note":"publisher: American Chemical Society","page":"192-204","source":"ACS Publications","title":"Evaluation of SARS-CoV-2 Main Protease Inhibitors Using a Novel Cell-Based Assay","volume":"8","author":[{"family":"Cao","given":"Wenyue"},{"family":"Cho","given":"Chia-Chuan Dean"},{"family":"Geng","given":"Zhi Zachary"},{"family":"Shaabani","given":"Namir"},{"family":"Ma","given":"Xinyu R."},{"family":"Vatansever","given":"Erol C."},{"family":"Alugubelli","given":"Yugendar R."},{"family":"Ma","given":"Yuying"},{"family":"Chaki","given":"Sankar P."},{"family":"Ellenburg","given":"William H."},{"family":"Yang","given":"Kai S."},{"family":"Qiao","given":"Yuchen"},{"family":"Allen","given":"Robert"},{"family":"Neuman","given":"Benjamin W."},{"family":"Ji","given":"Henry"},{"family":"Xu","given":"Shiqing"},{"family":"Liu","given":"Wenshe Ray"}],"issued":{"date-parts":[["2022",2,23]]}},"locator":"-2"}],"schema":"https://github.com/citation-style-language/schema/raw/master/csl-citation.json"}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46</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w:t>
      </w:r>
      <w:r w:rsidRPr="0044257B">
        <w:rPr>
          <w:rFonts w:eastAsia="Times New Roman" w:cs="Times New Roman"/>
          <w:b/>
          <w:bCs/>
          <w:color w:val="000000"/>
          <w:szCs w:val="24"/>
        </w:rPr>
        <w:t>4.13</w:t>
      </w:r>
      <w:r w:rsidRPr="0044257B">
        <w:rPr>
          <w:rFonts w:eastAsia="Times New Roman" w:cs="Times New Roman"/>
          <w:color w:val="000000"/>
          <w:szCs w:val="24"/>
        </w:rPr>
        <w:t xml:space="preserve"> is also a neuraminidase inhibitor for influenza and has been explored as a broad-spectrum antiviral.</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{"citationID":"vEjntHEf","properties":{"formattedCitation":"\\super 38\\nosupersub{}","plainCitation":"38","noteIndex":0},"citationItems":[{"id":28,"uris":["http://zotero.org/users/6503767/items/FDS3E84Q"],"itemData":{"id":28,"type":"article-journal","abstract":"Severe acute respiratory syndrome (SARS) led to a life-threatening form of atypical pneumonia in late 2002. Following that, Middle East Respiratory Syndrome (MERS-CoV) has recently emerged, killing about 36% of patients infected globally, mainly in Saudi Arabia and South Korea. Based on a scaffold we reported for inhibiting neuraminidase (NA), we synthesized the analogues and identiﬁed compounds with low micromolar inhibitory activity against 3CLpro of SARS-CoV and MERS-CoV. Docking studies show that a carboxylate present at either R1 or R4 destabilizes the oxyanion hole in the 3CLpro. Interestingly, 3f, 3g and 3m could inhibit both NA and 3CLpro and serve as a starting point to develop broad-spectrum antiviral agents.","container-title":"Bioorganic &amp; Medicinal Chemistry","DOI":"10.1016/j.bmc.2016.05.013","ISSN":"09680896","issue":"13","journalAbbreviation":"Bioorganic &amp; Medicinal Chemistry","language":"en","page":"3035-3042","source":"DOI.org (Crossref)","title":"Identification, synthesis and evaluation of SARS-CoV and MERS-CoV 3C-like protease inhibitors","volume":"24","author":[{"family":"Kumar","given":"Vathan"},{"family":"Tan","given":"Kian-Pin"},{"family":"Wang","given":"Ying-Ming"},{"family":"Lin","given":"Sheng-Wei"},{"family":"Liang","given":"Po-Huang"}],"issued":{"date-parts":[["2016",7]]}}}],"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38</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Notably, </w:t>
      </w:r>
      <w:r w:rsidRPr="0044257B">
        <w:rPr>
          <w:rFonts w:eastAsia="Times New Roman" w:cs="Times New Roman"/>
          <w:b/>
          <w:bCs/>
          <w:color w:val="000000"/>
          <w:szCs w:val="24"/>
        </w:rPr>
        <w:t>4.1</w:t>
      </w:r>
      <w:r w:rsidRPr="0044257B">
        <w:rPr>
          <w:rFonts w:eastAsia="Times New Roman" w:cs="Times New Roman"/>
          <w:color w:val="000000"/>
          <w:szCs w:val="24"/>
        </w:rPr>
        <w:t xml:space="preserve"> is a peptide-based structure that includes a key pyrimidinone moiety, and </w:t>
      </w:r>
      <w:r w:rsidRPr="0044257B">
        <w:rPr>
          <w:rFonts w:eastAsia="Times New Roman" w:cs="Times New Roman"/>
          <w:b/>
          <w:bCs/>
          <w:color w:val="000000"/>
          <w:szCs w:val="24"/>
        </w:rPr>
        <w:t>4.13</w:t>
      </w:r>
      <w:r w:rsidRPr="0044257B">
        <w:rPr>
          <w:rFonts w:eastAsia="Times New Roman" w:cs="Times New Roman"/>
          <w:color w:val="000000"/>
          <w:szCs w:val="24"/>
        </w:rPr>
        <w:t xml:space="preserve"> contains a </w:t>
      </w:r>
      <w:proofErr w:type="spellStart"/>
      <w:r w:rsidRPr="0044257B">
        <w:rPr>
          <w:rFonts w:eastAsia="Times New Roman" w:cs="Times New Roman"/>
          <w:color w:val="000000"/>
          <w:szCs w:val="24"/>
        </w:rPr>
        <w:t>pyrazolone</w:t>
      </w:r>
      <w:proofErr w:type="spellEnd"/>
      <w:r w:rsidRPr="0044257B">
        <w:rPr>
          <w:rFonts w:eastAsia="Times New Roman" w:cs="Times New Roman"/>
          <w:color w:val="000000"/>
          <w:szCs w:val="24"/>
        </w:rPr>
        <w:t xml:space="preserve"> core, both of which fall under the </w:t>
      </w:r>
      <w:proofErr w:type="spellStart"/>
      <w:r w:rsidRPr="0044257B">
        <w:rPr>
          <w:rFonts w:eastAsia="Times New Roman" w:cs="Times New Roman"/>
          <w:color w:val="000000"/>
          <w:szCs w:val="24"/>
        </w:rPr>
        <w:t>aza</w:t>
      </w:r>
      <w:proofErr w:type="spellEnd"/>
      <w:r w:rsidRPr="0044257B">
        <w:rPr>
          <w:rFonts w:eastAsia="Times New Roman" w:cs="Times New Roman"/>
          <w:color w:val="000000"/>
          <w:szCs w:val="24"/>
        </w:rPr>
        <w:t>-lactam structural umbrella (red,</w:t>
      </w:r>
      <w:r w:rsidR="0047406E">
        <w:rPr>
          <w:rFonts w:eastAsia="Times New Roman" w:cs="Times New Roman"/>
          <w:color w:val="000000"/>
          <w:szCs w:val="24"/>
        </w:rPr>
        <w:t xml:space="preserve"> </w:t>
      </w:r>
      <w:r w:rsidRPr="0044257B">
        <w:rPr>
          <w:rFonts w:eastAsia="Times New Roman" w:cs="Times New Roman"/>
          <w:b/>
          <w:bCs/>
          <w:color w:val="000000"/>
          <w:szCs w:val="24"/>
        </w:rPr>
        <w:lastRenderedPageBreak/>
        <w:fldChar w:fldCharType="begin"/>
      </w:r>
      <w:r w:rsidRPr="0044257B">
        <w:rPr>
          <w:rFonts w:eastAsia="Times New Roman" w:cs="Times New Roman"/>
          <w:b/>
          <w:bCs/>
          <w:color w:val="000000"/>
          <w:szCs w:val="24"/>
        </w:rPr>
        <w:instrText xml:space="preserve"> REF _Ref100281421 \h  \* MERGEFORMAT </w:instrText>
      </w:r>
      <w:r w:rsidRPr="0044257B">
        <w:rPr>
          <w:rFonts w:eastAsia="Times New Roman" w:cs="Times New Roman"/>
          <w:b/>
          <w:bCs/>
          <w:color w:val="000000"/>
          <w:szCs w:val="24"/>
        </w:rPr>
      </w:r>
      <w:r w:rsidRPr="0044257B">
        <w:rPr>
          <w:rFonts w:eastAsia="Times New Roman" w:cs="Times New Roman"/>
          <w:b/>
          <w:bCs/>
          <w:color w:val="000000"/>
          <w:szCs w:val="24"/>
        </w:rPr>
        <w:fldChar w:fldCharType="separate"/>
      </w:r>
      <w:r w:rsidR="00AA5AAC" w:rsidRPr="00AA5AAC">
        <w:rPr>
          <w:b/>
          <w:bCs/>
        </w:rPr>
        <w:t>Figure 4.4</w:t>
      </w:r>
      <w:r w:rsidRPr="0044257B">
        <w:rPr>
          <w:rFonts w:eastAsia="Times New Roman" w:cs="Times New Roman"/>
          <w:b/>
          <w:bCs/>
          <w:color w:val="000000"/>
          <w:szCs w:val="24"/>
        </w:rPr>
        <w:fldChar w:fldCharType="end"/>
      </w:r>
      <w:r w:rsidRPr="0044257B">
        <w:rPr>
          <w:rFonts w:eastAsia="Times New Roman" w:cs="Times New Roman"/>
          <w:b/>
          <w:bCs/>
          <w:color w:val="000000"/>
          <w:szCs w:val="24"/>
        </w:rPr>
        <w:t>A</w:t>
      </w:r>
      <w:r w:rsidRPr="0044257B">
        <w:rPr>
          <w:rFonts w:eastAsia="Times New Roman" w:cs="Times New Roman"/>
          <w:color w:val="000000"/>
          <w:szCs w:val="24"/>
        </w:rPr>
        <w:t>).</w:t>
      </w:r>
      <w:r w:rsidR="0047406E">
        <w:rPr>
          <w:rFonts w:eastAsia="Times New Roman" w:cs="Times New Roman"/>
          <w:color w:val="000000"/>
          <w:szCs w:val="24"/>
        </w:rPr>
        <w:t xml:space="preserve"> </w:t>
      </w:r>
      <w:r w:rsidRPr="0044257B">
        <w:rPr>
          <w:rFonts w:eastAsia="Times New Roman" w:cs="Times New Roman"/>
          <w:color w:val="000000"/>
          <w:szCs w:val="24"/>
        </w:rPr>
        <w:t xml:space="preserve">Similarly, the </w:t>
      </w:r>
      <w:proofErr w:type="spellStart"/>
      <w:r w:rsidRPr="0044257B">
        <w:rPr>
          <w:rFonts w:eastAsia="Times New Roman" w:cs="Times New Roman"/>
          <w:color w:val="000000"/>
          <w:szCs w:val="24"/>
        </w:rPr>
        <w:t>aza</w:t>
      </w:r>
      <w:proofErr w:type="spellEnd"/>
      <w:r w:rsidRPr="0044257B">
        <w:rPr>
          <w:rFonts w:eastAsia="Times New Roman" w:cs="Times New Roman"/>
          <w:color w:val="000000"/>
          <w:szCs w:val="24"/>
        </w:rPr>
        <w:t xml:space="preserve">-lactam scaffold within the piperazinone compounds in our library motivated us to submit compounds </w:t>
      </w:r>
      <w:r w:rsidRPr="0044257B">
        <w:rPr>
          <w:rFonts w:eastAsia="Times New Roman" w:cs="Times New Roman"/>
          <w:b/>
          <w:bCs/>
          <w:color w:val="000000"/>
          <w:szCs w:val="24"/>
        </w:rPr>
        <w:t>4.42</w:t>
      </w:r>
      <w:r w:rsidRPr="0044257B">
        <w:rPr>
          <w:rFonts w:eastAsia="Times New Roman" w:cs="Times New Roman"/>
          <w:color w:val="000000"/>
          <w:szCs w:val="24"/>
        </w:rPr>
        <w:t xml:space="preserve"> – </w:t>
      </w:r>
      <w:r w:rsidRPr="0044257B">
        <w:rPr>
          <w:rFonts w:eastAsia="Times New Roman" w:cs="Times New Roman"/>
          <w:b/>
          <w:bCs/>
          <w:color w:val="000000"/>
          <w:szCs w:val="24"/>
        </w:rPr>
        <w:t>4.44</w:t>
      </w:r>
      <w:r w:rsidRPr="0044257B">
        <w:rPr>
          <w:rFonts w:eastAsia="Times New Roman" w:cs="Times New Roman"/>
          <w:color w:val="000000"/>
          <w:szCs w:val="24"/>
        </w:rPr>
        <w:t xml:space="preserve"> (</w:t>
      </w:r>
      <w:r w:rsidRPr="0044257B">
        <w:rPr>
          <w:rFonts w:eastAsia="Times New Roman" w:cs="Times New Roman"/>
          <w:b/>
          <w:bCs/>
          <w:color w:val="000000"/>
          <w:szCs w:val="24"/>
        </w:rPr>
        <w:fldChar w:fldCharType="begin"/>
      </w:r>
      <w:r w:rsidRPr="0044257B">
        <w:rPr>
          <w:rFonts w:eastAsia="Times New Roman" w:cs="Times New Roman"/>
          <w:b/>
          <w:bCs/>
          <w:color w:val="000000"/>
          <w:szCs w:val="24"/>
        </w:rPr>
        <w:instrText xml:space="preserve"> REF _Ref100281587 \h  \* MERGEFORMAT </w:instrText>
      </w:r>
      <w:r w:rsidRPr="0044257B">
        <w:rPr>
          <w:rFonts w:eastAsia="Times New Roman" w:cs="Times New Roman"/>
          <w:b/>
          <w:bCs/>
          <w:color w:val="000000"/>
          <w:szCs w:val="24"/>
        </w:rPr>
      </w:r>
      <w:r w:rsidRPr="0044257B">
        <w:rPr>
          <w:rFonts w:eastAsia="Times New Roman" w:cs="Times New Roman"/>
          <w:b/>
          <w:bCs/>
          <w:color w:val="000000"/>
          <w:szCs w:val="24"/>
        </w:rPr>
        <w:fldChar w:fldCharType="separate"/>
      </w:r>
      <w:r w:rsidR="00AA5AAC" w:rsidRPr="00AA5AAC">
        <w:rPr>
          <w:b/>
          <w:bCs/>
        </w:rPr>
        <w:t>Figure 4.5</w:t>
      </w:r>
      <w:r w:rsidRPr="0044257B">
        <w:rPr>
          <w:rFonts w:eastAsia="Times New Roman" w:cs="Times New Roman"/>
          <w:b/>
          <w:bCs/>
          <w:color w:val="000000"/>
          <w:szCs w:val="24"/>
        </w:rPr>
        <w:fldChar w:fldCharType="end"/>
      </w:r>
      <w:r w:rsidRPr="0044257B">
        <w:rPr>
          <w:rFonts w:eastAsia="Times New Roman" w:cs="Times New Roman"/>
          <w:b/>
          <w:bCs/>
          <w:color w:val="000000"/>
          <w:szCs w:val="24"/>
        </w:rPr>
        <w:t>E</w:t>
      </w:r>
      <w:r w:rsidRPr="0044257B">
        <w:rPr>
          <w:rFonts w:eastAsia="Times New Roman" w:cs="Times New Roman"/>
          <w:color w:val="000000"/>
          <w:szCs w:val="24"/>
        </w:rPr>
        <w:t xml:space="preserve">) for biological evaluation. </w:t>
      </w:r>
    </w:p>
    <w:p w14:paraId="3076B20B" w14:textId="77777777" w:rsidR="0044257B" w:rsidRPr="0044257B" w:rsidRDefault="0044257B" w:rsidP="0044257B">
      <w:pPr>
        <w:rPr>
          <w:rFonts w:eastAsia="Times New Roman" w:cs="Times New Roman"/>
          <w:color w:val="000000"/>
          <w:szCs w:val="24"/>
        </w:rPr>
      </w:pPr>
      <w:r w:rsidRPr="0044257B">
        <w:rPr>
          <w:rFonts w:eastAsia="Times New Roman" w:cs="Times New Roman"/>
          <w:noProof/>
          <w:color w:val="000000"/>
          <w:szCs w:val="24"/>
        </w:rPr>
        <mc:AlternateContent>
          <mc:Choice Requires="wps">
            <w:drawing>
              <wp:inline distT="0" distB="0" distL="0" distR="0" wp14:anchorId="17AA138B" wp14:editId="26E1A725">
                <wp:extent cx="5943600" cy="6973910"/>
                <wp:effectExtent l="0" t="0" r="19050" b="17780"/>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973910"/>
                        </a:xfrm>
                        <a:prstGeom prst="rect">
                          <a:avLst/>
                        </a:prstGeom>
                        <a:solidFill>
                          <a:srgbClr val="FFFFFF"/>
                        </a:solidFill>
                        <a:ln w="9525">
                          <a:solidFill>
                            <a:srgbClr val="000000"/>
                          </a:solidFill>
                          <a:miter lim="800000"/>
                          <a:headEnd/>
                          <a:tailEnd/>
                        </a:ln>
                      </wps:spPr>
                      <wps:txbx>
                        <w:txbxContent>
                          <w:p w14:paraId="1691FCBA" w14:textId="0B1CFF77" w:rsidR="0044257B" w:rsidRDefault="000B03CD" w:rsidP="0047406E">
                            <w:pPr>
                              <w:keepNext/>
                              <w:spacing w:after="0" w:line="240" w:lineRule="auto"/>
                              <w:jc w:val="center"/>
                            </w:pPr>
                            <w:r>
                              <w:rPr>
                                <w:noProof/>
                              </w:rPr>
                              <w:drawing>
                                <wp:inline distT="0" distB="0" distL="0" distR="0" wp14:anchorId="72812DCD" wp14:editId="39090DEA">
                                  <wp:extent cx="4654296" cy="6044184"/>
                                  <wp:effectExtent l="0" t="0" r="0" b="0"/>
                                  <wp:docPr id="49" name="Picture 4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background pattern&#10;&#10;Description automatically generated"/>
                                          <pic:cNvPicPr/>
                                        </pic:nvPicPr>
                                        <pic:blipFill>
                                          <a:blip r:embed="rId406">
                                            <a:extLst>
                                              <a:ext uri="{28A0092B-C50C-407E-A947-70E740481C1C}">
                                                <a14:useLocalDpi xmlns:a14="http://schemas.microsoft.com/office/drawing/2010/main" val="0"/>
                                              </a:ext>
                                            </a:extLst>
                                          </a:blip>
                                          <a:stretch>
                                            <a:fillRect/>
                                          </a:stretch>
                                        </pic:blipFill>
                                        <pic:spPr>
                                          <a:xfrm>
                                            <a:off x="0" y="0"/>
                                            <a:ext cx="4654296" cy="6044184"/>
                                          </a:xfrm>
                                          <a:prstGeom prst="rect">
                                            <a:avLst/>
                                          </a:prstGeom>
                                        </pic:spPr>
                                      </pic:pic>
                                    </a:graphicData>
                                  </a:graphic>
                                </wp:inline>
                              </w:drawing>
                            </w:r>
                          </w:p>
                          <w:p w14:paraId="79991813" w14:textId="78615ABE" w:rsidR="0044257B" w:rsidRDefault="0044257B" w:rsidP="00DF51F5">
                            <w:pPr>
                              <w:pStyle w:val="Caption"/>
                            </w:pPr>
                            <w:bookmarkStart w:id="496" w:name="_Ref100281421"/>
                            <w:bookmarkStart w:id="497" w:name="_Toc100243276"/>
                            <w:bookmarkStart w:id="498" w:name="_Toc100748329"/>
                            <w:r>
                              <w:t>Figure 4.</w:t>
                            </w:r>
                            <w:fldSimple w:instr=" SEQ Figure \* ARABIC ">
                              <w:r w:rsidR="00AA5AAC">
                                <w:rPr>
                                  <w:noProof/>
                                </w:rPr>
                                <w:t>4</w:t>
                              </w:r>
                            </w:fldSimple>
                            <w:bookmarkEnd w:id="496"/>
                            <w:r>
                              <w:t>. Compounds with reported antiviral activity in coronaviruses.</w:t>
                            </w:r>
                            <w:bookmarkEnd w:id="497"/>
                            <w:bookmarkEnd w:id="498"/>
                            <w:r>
                              <w:t xml:space="preserve"> </w:t>
                            </w:r>
                          </w:p>
                          <w:p w14:paraId="013D8D10" w14:textId="77777777" w:rsidR="0044257B" w:rsidRDefault="0044257B" w:rsidP="0044257B">
                            <w:pPr>
                              <w:spacing w:line="240" w:lineRule="auto"/>
                            </w:pPr>
                            <w:r>
                              <w:t>Notable functional groups are highlighted in blue (naphthalene), light blue (aldehyde), light green (amide), dark green (sulfonamide), red (</w:t>
                            </w:r>
                            <w:proofErr w:type="spellStart"/>
                            <w:r>
                              <w:t>aza</w:t>
                            </w:r>
                            <w:proofErr w:type="spellEnd"/>
                            <w:r>
                              <w:t xml:space="preserve">-lactam), orange (oxazolidinone), and magenta (nitrogen heterocycles). </w:t>
                            </w:r>
                          </w:p>
                        </w:txbxContent>
                      </wps:txbx>
                      <wps:bodyPr rot="0" vert="horz" wrap="square" lIns="91440" tIns="45720" rIns="91440" bIns="45720" anchor="t" anchorCtr="0">
                        <a:noAutofit/>
                      </wps:bodyPr>
                    </wps:wsp>
                  </a:graphicData>
                </a:graphic>
              </wp:inline>
            </w:drawing>
          </mc:Choice>
          <mc:Fallback>
            <w:pict>
              <v:shape w14:anchorId="17AA138B" id="_x0000_s1129" type="#_x0000_t202" style="width:468pt;height:54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f2HFwIAACk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">
                <v:textbox>
                  <w:txbxContent>
                    <w:p w14:paraId="1691FCBA" w14:textId="0B1CFF77" w:rsidR="0044257B" w:rsidRDefault="000B03CD" w:rsidP="0047406E">
                      <w:pPr>
                        <w:keepNext/>
                        <w:spacing w:after="0" w:line="240" w:lineRule="auto"/>
                        <w:jc w:val="center"/>
                      </w:pPr>
                      <w:r>
                        <w:rPr>
                          <w:noProof/>
                        </w:rPr>
                        <w:drawing>
                          <wp:inline distT="0" distB="0" distL="0" distR="0" wp14:anchorId="72812DCD" wp14:editId="39090DEA">
                            <wp:extent cx="4654296" cy="6044184"/>
                            <wp:effectExtent l="0" t="0" r="0" b="0"/>
                            <wp:docPr id="49" name="Picture 4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background pattern&#10;&#10;Description automatically generated"/>
                                    <pic:cNvPicPr/>
                                  </pic:nvPicPr>
                                  <pic:blipFill>
                                    <a:blip r:embed="rId406">
                                      <a:extLst>
                                        <a:ext uri="{28A0092B-C50C-407E-A947-70E740481C1C}">
                                          <a14:useLocalDpi xmlns:a14="http://schemas.microsoft.com/office/drawing/2010/main" val="0"/>
                                        </a:ext>
                                      </a:extLst>
                                    </a:blip>
                                    <a:stretch>
                                      <a:fillRect/>
                                    </a:stretch>
                                  </pic:blipFill>
                                  <pic:spPr>
                                    <a:xfrm>
                                      <a:off x="0" y="0"/>
                                      <a:ext cx="4654296" cy="6044184"/>
                                    </a:xfrm>
                                    <a:prstGeom prst="rect">
                                      <a:avLst/>
                                    </a:prstGeom>
                                  </pic:spPr>
                                </pic:pic>
                              </a:graphicData>
                            </a:graphic>
                          </wp:inline>
                        </w:drawing>
                      </w:r>
                    </w:p>
                    <w:p w14:paraId="79991813" w14:textId="78615ABE" w:rsidR="0044257B" w:rsidRDefault="0044257B" w:rsidP="00DF51F5">
                      <w:pPr>
                        <w:pStyle w:val="Caption"/>
                      </w:pPr>
                      <w:bookmarkStart w:id="499" w:name="_Ref100281421"/>
                      <w:bookmarkStart w:id="500" w:name="_Toc100243276"/>
                      <w:bookmarkStart w:id="501" w:name="_Toc100748329"/>
                      <w:r>
                        <w:t>Figure 4.</w:t>
                      </w:r>
                      <w:fldSimple w:instr=" SEQ Figure \* ARABIC ">
                        <w:r w:rsidR="00AA5AAC">
                          <w:rPr>
                            <w:noProof/>
                          </w:rPr>
                          <w:t>4</w:t>
                        </w:r>
                      </w:fldSimple>
                      <w:bookmarkEnd w:id="499"/>
                      <w:r>
                        <w:t>. Compounds with reported antiviral activity in coronaviruses.</w:t>
                      </w:r>
                      <w:bookmarkEnd w:id="500"/>
                      <w:bookmarkEnd w:id="501"/>
                      <w:r>
                        <w:t xml:space="preserve"> </w:t>
                      </w:r>
                    </w:p>
                    <w:p w14:paraId="013D8D10" w14:textId="77777777" w:rsidR="0044257B" w:rsidRDefault="0044257B" w:rsidP="0044257B">
                      <w:pPr>
                        <w:spacing w:line="240" w:lineRule="auto"/>
                      </w:pPr>
                      <w:r>
                        <w:t>Notable functional groups are highlighted in blue (naphthalene), light blue (aldehyde), light green (amide), dark green (sulfonamide), red (</w:t>
                      </w:r>
                      <w:proofErr w:type="spellStart"/>
                      <w:r>
                        <w:t>aza</w:t>
                      </w:r>
                      <w:proofErr w:type="spellEnd"/>
                      <w:r>
                        <w:t xml:space="preserve">-lactam), orange (oxazolidinone), and magenta (nitrogen heterocycles). </w:t>
                      </w:r>
                    </w:p>
                  </w:txbxContent>
                </v:textbox>
                <w10:anchorlock/>
              </v:shape>
            </w:pict>
          </mc:Fallback>
        </mc:AlternateContent>
      </w:r>
    </w:p>
    <w:p w14:paraId="5499136E" w14:textId="6E61180F" w:rsidR="0044257B" w:rsidRPr="0044257B" w:rsidRDefault="007157EC" w:rsidP="007157EC">
      <w:pPr>
        <w:rPr>
          <w:rFonts w:eastAsia="Times New Roman" w:cs="Times New Roman"/>
          <w:color w:val="000000"/>
          <w:szCs w:val="24"/>
        </w:rPr>
      </w:pPr>
      <w:r w:rsidRPr="0044257B">
        <w:rPr>
          <w:noProof/>
        </w:rPr>
        <w:lastRenderedPageBreak/>
        <mc:AlternateContent>
          <mc:Choice Requires="wps">
            <w:drawing>
              <wp:inline distT="0" distB="0" distL="0" distR="0" wp14:anchorId="200EC26C" wp14:editId="317EDA87">
                <wp:extent cx="5943600" cy="8229600"/>
                <wp:effectExtent l="0" t="0" r="19050" b="19050"/>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solidFill>
                          <a:srgbClr val="FFFFFF"/>
                        </a:solidFill>
                        <a:ln w="9525">
                          <a:solidFill>
                            <a:srgbClr val="000000"/>
                          </a:solidFill>
                          <a:miter lim="800000"/>
                          <a:headEnd/>
                          <a:tailEnd/>
                        </a:ln>
                      </wps:spPr>
                      <wps:txbx>
                        <w:txbxContent>
                          <w:p w14:paraId="5D1F6397" w14:textId="77777777" w:rsidR="007157EC" w:rsidRDefault="007157EC" w:rsidP="007157EC">
                            <w:pPr>
                              <w:keepNext/>
                              <w:spacing w:after="0"/>
                            </w:pPr>
                            <w:r>
                              <w:rPr>
                                <w:noProof/>
                              </w:rPr>
                              <w:drawing>
                                <wp:inline distT="0" distB="0" distL="0" distR="0" wp14:anchorId="6801E7D1" wp14:editId="2C27326A">
                                  <wp:extent cx="5751576" cy="7050024"/>
                                  <wp:effectExtent l="0" t="0" r="1905" b="0"/>
                                  <wp:docPr id="319" name="Picture 319"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Background pattern&#10;&#10;Description automatically generated"/>
                                          <pic:cNvPicPr/>
                                        </pic:nvPicPr>
                                        <pic:blipFill>
                                          <a:blip r:embed="rId407">
                                            <a:extLst>
                                              <a:ext uri="{28A0092B-C50C-407E-A947-70E740481C1C}">
                                                <a14:useLocalDpi xmlns:a14="http://schemas.microsoft.com/office/drawing/2010/main" val="0"/>
                                              </a:ext>
                                            </a:extLst>
                                          </a:blip>
                                          <a:stretch>
                                            <a:fillRect/>
                                          </a:stretch>
                                        </pic:blipFill>
                                        <pic:spPr>
                                          <a:xfrm>
                                            <a:off x="0" y="0"/>
                                            <a:ext cx="5751576" cy="7050024"/>
                                          </a:xfrm>
                                          <a:prstGeom prst="rect">
                                            <a:avLst/>
                                          </a:prstGeom>
                                        </pic:spPr>
                                      </pic:pic>
                                    </a:graphicData>
                                  </a:graphic>
                                </wp:inline>
                              </w:drawing>
                            </w:r>
                          </w:p>
                          <w:p w14:paraId="183C90A5" w14:textId="58D1038D" w:rsidR="007157EC" w:rsidRDefault="007157EC" w:rsidP="007157EC">
                            <w:pPr>
                              <w:pStyle w:val="Caption"/>
                            </w:pPr>
                            <w:bookmarkStart w:id="502" w:name="_Ref100281587"/>
                            <w:bookmarkStart w:id="503" w:name="_Toc100243277"/>
                            <w:bookmarkStart w:id="504" w:name="_Toc100748330"/>
                            <w:r>
                              <w:t>Figure 4.</w:t>
                            </w:r>
                            <w:fldSimple w:instr=" SEQ Figure \* ARABIC ">
                              <w:r w:rsidR="00AA5AAC">
                                <w:rPr>
                                  <w:noProof/>
                                </w:rPr>
                                <w:t>5</w:t>
                              </w:r>
                            </w:fldSimple>
                            <w:bookmarkEnd w:id="502"/>
                            <w:r>
                              <w:t>. Structurally diverse molecules from the existing Duerfeldt Lab library.</w:t>
                            </w:r>
                            <w:bookmarkEnd w:id="503"/>
                            <w:bookmarkEnd w:id="504"/>
                            <w:r>
                              <w:t xml:space="preserve"> </w:t>
                            </w:r>
                          </w:p>
                          <w:p w14:paraId="6685B5EC" w14:textId="77777777" w:rsidR="007157EC" w:rsidRDefault="007157EC" w:rsidP="007157EC">
                            <w:pPr>
                              <w:spacing w:line="240" w:lineRule="auto"/>
                            </w:pPr>
                            <w:r>
                              <w:t>Notable functional groups are highlighted in blue (naphthalene), light blue (aldehyde), light green (amide), dark green (sulfonamide), red (</w:t>
                            </w:r>
                            <w:proofErr w:type="spellStart"/>
                            <w:r>
                              <w:t>aza</w:t>
                            </w:r>
                            <w:proofErr w:type="spellEnd"/>
                            <w:r>
                              <w:t xml:space="preserve">-lactam), orange (oxazolidinone), and magenta (nitrogen heterocycles). </w:t>
                            </w:r>
                          </w:p>
                          <w:p w14:paraId="32A1107A" w14:textId="77777777" w:rsidR="007157EC" w:rsidRPr="003A0DA5" w:rsidRDefault="007157EC" w:rsidP="007157EC"/>
                        </w:txbxContent>
                      </wps:txbx>
                      <wps:bodyPr rot="0" vert="horz" wrap="square" lIns="91440" tIns="45720" rIns="91440" bIns="45720" anchor="t" anchorCtr="0">
                        <a:noAutofit/>
                      </wps:bodyPr>
                    </wps:wsp>
                  </a:graphicData>
                </a:graphic>
              </wp:inline>
            </w:drawing>
          </mc:Choice>
          <mc:Fallback>
            <w:pict>
              <v:shape w14:anchorId="200EC26C" id="_x0000_s1130"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">
                <v:textbox>
                  <w:txbxContent>
                    <w:p w14:paraId="5D1F6397" w14:textId="77777777" w:rsidR="007157EC" w:rsidRDefault="007157EC" w:rsidP="007157EC">
                      <w:pPr>
                        <w:keepNext/>
                        <w:spacing w:after="0"/>
                      </w:pPr>
                      <w:r>
                        <w:rPr>
                          <w:noProof/>
                        </w:rPr>
                        <w:drawing>
                          <wp:inline distT="0" distB="0" distL="0" distR="0" wp14:anchorId="6801E7D1" wp14:editId="2C27326A">
                            <wp:extent cx="5751576" cy="7050024"/>
                            <wp:effectExtent l="0" t="0" r="1905" b="0"/>
                            <wp:docPr id="319" name="Picture 319"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Background pattern&#10;&#10;Description automatically generated"/>
                                    <pic:cNvPicPr/>
                                  </pic:nvPicPr>
                                  <pic:blipFill>
                                    <a:blip r:embed="rId407">
                                      <a:extLst>
                                        <a:ext uri="{28A0092B-C50C-407E-A947-70E740481C1C}">
                                          <a14:useLocalDpi xmlns:a14="http://schemas.microsoft.com/office/drawing/2010/main" val="0"/>
                                        </a:ext>
                                      </a:extLst>
                                    </a:blip>
                                    <a:stretch>
                                      <a:fillRect/>
                                    </a:stretch>
                                  </pic:blipFill>
                                  <pic:spPr>
                                    <a:xfrm>
                                      <a:off x="0" y="0"/>
                                      <a:ext cx="5751576" cy="7050024"/>
                                    </a:xfrm>
                                    <a:prstGeom prst="rect">
                                      <a:avLst/>
                                    </a:prstGeom>
                                  </pic:spPr>
                                </pic:pic>
                              </a:graphicData>
                            </a:graphic>
                          </wp:inline>
                        </w:drawing>
                      </w:r>
                    </w:p>
                    <w:p w14:paraId="183C90A5" w14:textId="58D1038D" w:rsidR="007157EC" w:rsidRDefault="007157EC" w:rsidP="007157EC">
                      <w:pPr>
                        <w:pStyle w:val="Caption"/>
                      </w:pPr>
                      <w:bookmarkStart w:id="505" w:name="_Ref100281587"/>
                      <w:bookmarkStart w:id="506" w:name="_Toc100243277"/>
                      <w:bookmarkStart w:id="507" w:name="_Toc100748330"/>
                      <w:r>
                        <w:t>Figure 4.</w:t>
                      </w:r>
                      <w:fldSimple w:instr=" SEQ Figure \* ARABIC ">
                        <w:r w:rsidR="00AA5AAC">
                          <w:rPr>
                            <w:noProof/>
                          </w:rPr>
                          <w:t>5</w:t>
                        </w:r>
                      </w:fldSimple>
                      <w:bookmarkEnd w:id="505"/>
                      <w:r>
                        <w:t>. Structurally diverse molecules from the existing Duerfeldt Lab library.</w:t>
                      </w:r>
                      <w:bookmarkEnd w:id="506"/>
                      <w:bookmarkEnd w:id="507"/>
                      <w:r>
                        <w:t xml:space="preserve"> </w:t>
                      </w:r>
                    </w:p>
                    <w:p w14:paraId="6685B5EC" w14:textId="77777777" w:rsidR="007157EC" w:rsidRDefault="007157EC" w:rsidP="007157EC">
                      <w:pPr>
                        <w:spacing w:line="240" w:lineRule="auto"/>
                      </w:pPr>
                      <w:r>
                        <w:t>Notable functional groups are highlighted in blue (naphthalene), light blue (aldehyde), light green (amide), dark green (sulfonamide), red (</w:t>
                      </w:r>
                      <w:proofErr w:type="spellStart"/>
                      <w:r>
                        <w:t>aza</w:t>
                      </w:r>
                      <w:proofErr w:type="spellEnd"/>
                      <w:r>
                        <w:t xml:space="preserve">-lactam), orange (oxazolidinone), and magenta (nitrogen heterocycles). </w:t>
                      </w:r>
                    </w:p>
                    <w:p w14:paraId="32A1107A" w14:textId="77777777" w:rsidR="007157EC" w:rsidRPr="003A0DA5" w:rsidRDefault="007157EC" w:rsidP="007157EC"/>
                  </w:txbxContent>
                </v:textbox>
                <w10:anchorlock/>
              </v:shape>
            </w:pict>
          </mc:Fallback>
        </mc:AlternateContent>
      </w:r>
      <w:r w:rsidR="0044257B" w:rsidRPr="0044257B">
        <w:rPr>
          <w:rFonts w:eastAsia="Times New Roman" w:cs="Times New Roman"/>
          <w:color w:val="000000"/>
          <w:szCs w:val="24"/>
        </w:rPr>
        <w:lastRenderedPageBreak/>
        <w:t xml:space="preserve">Amide-containing compounds </w:t>
      </w:r>
      <w:r w:rsidR="0044257B" w:rsidRPr="0044257B">
        <w:rPr>
          <w:rFonts w:eastAsia="Times New Roman" w:cs="Times New Roman"/>
          <w:b/>
          <w:bCs/>
          <w:color w:val="000000"/>
          <w:szCs w:val="24"/>
        </w:rPr>
        <w:t>4.10</w:t>
      </w:r>
      <w:r w:rsidR="0044257B" w:rsidRPr="0044257B">
        <w:rPr>
          <w:rFonts w:eastAsia="Times New Roman" w:cs="Times New Roman"/>
          <w:color w:val="000000"/>
          <w:szCs w:val="24"/>
        </w:rPr>
        <w:t xml:space="preserve">, </w:t>
      </w:r>
      <w:r w:rsidR="0044257B" w:rsidRPr="0044257B">
        <w:rPr>
          <w:rFonts w:eastAsia="Times New Roman" w:cs="Times New Roman"/>
          <w:b/>
          <w:bCs/>
          <w:color w:val="000000"/>
          <w:szCs w:val="24"/>
        </w:rPr>
        <w:t>4.11</w:t>
      </w:r>
      <w:r w:rsidR="0044257B" w:rsidRPr="0044257B">
        <w:rPr>
          <w:rFonts w:eastAsia="Times New Roman" w:cs="Times New Roman"/>
          <w:color w:val="000000"/>
          <w:szCs w:val="24"/>
        </w:rPr>
        <w:t xml:space="preserve">, and </w:t>
      </w:r>
      <w:r w:rsidR="0044257B" w:rsidRPr="0044257B">
        <w:rPr>
          <w:rFonts w:eastAsia="Times New Roman" w:cs="Times New Roman"/>
          <w:b/>
          <w:bCs/>
          <w:color w:val="000000"/>
          <w:szCs w:val="24"/>
        </w:rPr>
        <w:t>4.12</w:t>
      </w:r>
      <w:r w:rsidR="0044257B" w:rsidRPr="0044257B">
        <w:rPr>
          <w:rFonts w:eastAsia="Times New Roman" w:cs="Times New Roman"/>
          <w:color w:val="000000"/>
          <w:szCs w:val="24"/>
        </w:rPr>
        <w:t xml:space="preserve"> are representative examples of peptidomimetic </w:t>
      </w:r>
      <w:proofErr w:type="spellStart"/>
      <w:r w:rsidR="0044257B" w:rsidRPr="0044257B">
        <w:rPr>
          <w:rFonts w:eastAsia="Times New Roman" w:cs="Times New Roman"/>
          <w:color w:val="000000"/>
          <w:szCs w:val="24"/>
        </w:rPr>
        <w:t>M</w:t>
      </w:r>
      <w:r w:rsidR="0044257B" w:rsidRPr="0044257B">
        <w:rPr>
          <w:rFonts w:eastAsia="Times New Roman" w:cs="Times New Roman"/>
          <w:color w:val="000000"/>
          <w:szCs w:val="24"/>
          <w:vertAlign w:val="superscript"/>
        </w:rPr>
        <w:t>pro</w:t>
      </w:r>
      <w:proofErr w:type="spellEnd"/>
      <w:r w:rsidR="0044257B" w:rsidRPr="0044257B">
        <w:rPr>
          <w:rFonts w:eastAsia="Times New Roman" w:cs="Times New Roman"/>
          <w:color w:val="000000"/>
          <w:szCs w:val="24"/>
        </w:rPr>
        <w:t xml:space="preserve"> inhibitors.</w:t>
      </w:r>
      <w:r w:rsidR="0044257B" w:rsidRPr="0044257B">
        <w:rPr>
          <w:rFonts w:eastAsia="Times New Roman" w:cs="Times New Roman"/>
          <w:color w:val="000000"/>
          <w:szCs w:val="24"/>
        </w:rPr>
        <w:fldChar w:fldCharType="begin"/>
      </w:r>
      <w:r w:rsidR="0044257B" w:rsidRPr="0044257B">
        <w:rPr>
          <w:rFonts w:eastAsia="Times New Roman" w:cs="Times New Roman"/>
          <w:color w:val="000000"/>
          <w:szCs w:val="24"/>
        </w:rPr>
        <w:instrText xml:space="preserve"> ADDIN ZOTERO_ITEM CSL_CITATION {"citationID":"tdyZxhct","properties":{"formattedCitation":"\\super 47,48\\nosupersub{}","plainCitation":"47,48","noteIndex":0},"citationItems":[{"id":927,"uris":["http://zotero.org/users/6503767/items/QUBZAFMZ"],"itemData":{"id":927,"type":"article-journal","abstract":"There are currently no approved vaccines or small molecule therapeutics available for the prophylaxis or treatment of Middle East Respiratory Syndrome coronavirus (MERS-CoV) infections. MERS-CoV 3CL protease is essential for viral replication; consequently, it is an attractive target that provides a potentially effective means of developing small molecule therapeutics for combatting MERS-CoV. We describe herein the structure-guided design and evaluation of a novel class of inhibitors of MERS-CoV 3CL protease that embody a piperidine moiety as a design element that is well-suited to exploiting favorable subsite binding interactions to attain optimal pharmacological activity and PK properties. The mechanism of action of the compounds and the structural determinants associated with binding were illuminated using X-ray crystallography.","container-title":"European Journal of Medicinal Chemistry","DOI":"10.1016/j.ejmech.2018.03.004","ISSN":"0223-5234","journalAbbreviation":"European Journal of Medicinal Chemistry","language":"en","page":"334-346","source":"ScienceDirect","title":"Structure-guided design of potent and permeable inhibitors of MERS coronavirus 3CL protease that utilize a piperidine moiety as a novel design element","volume":"150","author":[{"family":"Galasiti Kankanamalage","given":"Anushka C."},{"family":"Kim","given":"Yunjeong"},{"family":"Damalanka","given":"Vishnu C."},{"family":"Rathnayake","given":"Athri D."},{"family":"Fehr","given":"Anthony R."},{"family":"Mehzabeen","given":"Nurjahan"},{"family":"Battaile","given":"Kevin P."},{"family":"Lovell","given":"Scott"},{"family":"Lushington","given":"Gerald H."},{"family":"Perlman","given":"Stanley"},{"family":"Chang","given":"Kyeong-Ok"},{"family":"Groutas","given":"William C."}],"issued":{"date-parts":[["2018",4,25]]}}},{"id":419,"uris":["http://zotero.org/users/6503767/items/FZJRUIXU"],"itemData":{"id":419,"type":"article-journal","abstract":"A high-throughput screen of the NIH molecular libraries sample collection and subsequent optimization of a lead dipeptide-like series of severe acute respiratory syndrome (SARS) main protease (3CLpro) inhibitors led to the identiﬁcation of probe compound ML188 (16-(R), (R)-N-(4-(tertbutyl)phenyl)-N-(2-(tert-butylamino)-2-oxo-1-(pyridin-3-yl)ethyl)furan-2-carboxamide, Pubchem CID: 46897844). Unlike the majority of reported coronavirus 3CLpro inhibitors that act via covalent modiﬁcation of the enzyme, 16-(R) is a noncovalent SARS-CoV 3CLpro inhibitor with moderate MW and good enzyme and antiviral inhibitory activity. A multicomponent Ugi reaction was utilized to rapidly explore structure−activity relationships within S1′, S1, and S2 enzyme binding pockets. The X-ray structure of SARS-CoV 3CLpro bound with 16-(R) was instrumental in guiding subsequent rounds of chemistry optimization. 16-(R) provides an excellent starting point for the further design and reﬁnement of 3CLpro inhibitors that act by a noncovalent mechanism of action.","container-title":"Journal of Medicinal Chemistry","DOI":"10.1021/jm301580n","ISSN":"0022-2623, 1520-4804","issue":"2","journalAbbreviation":"J. Med. Chem.","language":"en","page":"534-546","source":"DOI.org (Crossref)","title":"Discovery, Synthesis, And Structure-Based Optimization of a Series of &lt;i&gt;N&lt;/i&gt; -( &lt;i&gt;tert&lt;/i&gt; -Butyl)-2-( &lt;i&gt;N&lt;/i&gt; -arylamido)-2-(pyridin-3-yl) Acetamides (ML188) as Potent Noncovalent Small Molecule Inhibitors of the Severe Acute Respiratory Syndrome Coronavirus (SARS-CoV) 3CL Protease","volume":"56","author":[{"family":"Jacobs","given":"Jon"},{"family":"Grum-Tokars","given":"Valerie"},{"family":"Zhou","given":"Ya"},{"family":"Turlington","given":"Mark"},{"family":"Saldanha","given":"S. Adrian"},{"family":"Chase","given":"Peter"},{"family":"Eggler","given":"Aimee"},{"family":"Dawson","given":"Eric S."},{"family":"Baez-Santos","given":"Yahira M."},{"family":"Tomar","given":"Sakshi"},{"family":"Mielech","given":"Anna M."},{"family":"Baker","given":"Susan C."},{"family":"Lindsley","given":"Craig W."},{"family":"Hodder","given":"Peter"},{"family":"Mesecar","given":"Andrew"},{"family":"Stauffer","given":"Shaun R."}],"issued":{"date-parts":[["2013",1,24]]}}}],"schema":"https://github.com/citation-style-language/schema/raw/master/csl-citation.json"} </w:instrText>
      </w:r>
      <w:r w:rsidR="0044257B" w:rsidRPr="0044257B">
        <w:rPr>
          <w:rFonts w:eastAsia="Times New Roman" w:cs="Times New Roman"/>
          <w:color w:val="000000"/>
          <w:szCs w:val="24"/>
        </w:rPr>
        <w:fldChar w:fldCharType="separate"/>
      </w:r>
      <w:r w:rsidR="0044257B" w:rsidRPr="0044257B">
        <w:rPr>
          <w:rFonts w:cs="Times New Roman"/>
          <w:szCs w:val="24"/>
          <w:vertAlign w:val="superscript"/>
        </w:rPr>
        <w:t>47,48</w:t>
      </w:r>
      <w:r w:rsidR="0044257B" w:rsidRPr="0044257B">
        <w:rPr>
          <w:rFonts w:eastAsia="Times New Roman" w:cs="Times New Roman"/>
          <w:color w:val="000000"/>
          <w:szCs w:val="24"/>
        </w:rPr>
        <w:fldChar w:fldCharType="end"/>
      </w:r>
      <w:r w:rsidR="0044257B" w:rsidRPr="0044257B">
        <w:rPr>
          <w:rFonts w:eastAsia="Times New Roman" w:cs="Times New Roman"/>
          <w:color w:val="000000"/>
          <w:szCs w:val="24"/>
        </w:rPr>
        <w:t xml:space="preserve"> Other peptide-like anti-coronavirus compounds include </w:t>
      </w:r>
      <w:proofErr w:type="spellStart"/>
      <w:r w:rsidR="0044257B" w:rsidRPr="0044257B">
        <w:rPr>
          <w:rFonts w:eastAsia="Times New Roman" w:cs="Times New Roman"/>
          <w:color w:val="000000"/>
          <w:szCs w:val="24"/>
        </w:rPr>
        <w:t>PL</w:t>
      </w:r>
      <w:r w:rsidR="0044257B" w:rsidRPr="0044257B">
        <w:rPr>
          <w:rFonts w:eastAsia="Times New Roman" w:cs="Times New Roman"/>
          <w:color w:val="000000"/>
          <w:szCs w:val="24"/>
          <w:vertAlign w:val="superscript"/>
        </w:rPr>
        <w:t>pro</w:t>
      </w:r>
      <w:proofErr w:type="spellEnd"/>
      <w:r w:rsidR="0044257B" w:rsidRPr="0044257B">
        <w:rPr>
          <w:rFonts w:eastAsia="Times New Roman" w:cs="Times New Roman"/>
          <w:color w:val="000000"/>
          <w:szCs w:val="24"/>
        </w:rPr>
        <w:t xml:space="preserve"> inhibitors </w:t>
      </w:r>
      <w:r w:rsidR="0044257B" w:rsidRPr="0044257B">
        <w:rPr>
          <w:rFonts w:eastAsia="Times New Roman" w:cs="Times New Roman"/>
          <w:b/>
          <w:bCs/>
          <w:color w:val="000000"/>
          <w:szCs w:val="24"/>
        </w:rPr>
        <w:t>4.2</w:t>
      </w:r>
      <w:r w:rsidR="0044257B" w:rsidRPr="0044257B">
        <w:rPr>
          <w:rFonts w:eastAsia="Times New Roman" w:cs="Times New Roman"/>
          <w:color w:val="000000"/>
          <w:szCs w:val="24"/>
        </w:rPr>
        <w:t xml:space="preserve"> and </w:t>
      </w:r>
      <w:r w:rsidR="0044257B" w:rsidRPr="0044257B">
        <w:rPr>
          <w:rFonts w:eastAsia="Times New Roman" w:cs="Times New Roman"/>
          <w:b/>
          <w:bCs/>
          <w:color w:val="000000"/>
          <w:szCs w:val="24"/>
        </w:rPr>
        <w:t>4.14</w:t>
      </w:r>
      <w:r w:rsidR="0044257B" w:rsidRPr="0044257B">
        <w:rPr>
          <w:rFonts w:eastAsia="Times New Roman" w:cs="Times New Roman"/>
          <w:color w:val="000000"/>
          <w:szCs w:val="24"/>
        </w:rPr>
        <w:t xml:space="preserve"> – </w:t>
      </w:r>
      <w:r w:rsidR="0044257B" w:rsidRPr="0044257B">
        <w:rPr>
          <w:rFonts w:eastAsia="Times New Roman" w:cs="Times New Roman"/>
          <w:b/>
          <w:bCs/>
          <w:color w:val="000000"/>
          <w:szCs w:val="24"/>
        </w:rPr>
        <w:t>4.15</w:t>
      </w:r>
      <w:r w:rsidR="0044257B" w:rsidRPr="0044257B">
        <w:rPr>
          <w:rFonts w:eastAsia="Times New Roman" w:cs="Times New Roman"/>
          <w:color w:val="000000"/>
          <w:szCs w:val="24"/>
        </w:rPr>
        <w:t xml:space="preserve">. Naphthalene amides </w:t>
      </w:r>
      <w:r w:rsidR="0044257B" w:rsidRPr="0044257B">
        <w:rPr>
          <w:rFonts w:eastAsia="Times New Roman" w:cs="Times New Roman"/>
          <w:b/>
          <w:bCs/>
          <w:color w:val="000000"/>
          <w:szCs w:val="24"/>
        </w:rPr>
        <w:t>4.14</w:t>
      </w:r>
      <w:r w:rsidR="0044257B" w:rsidRPr="0044257B">
        <w:rPr>
          <w:rFonts w:eastAsia="Times New Roman" w:cs="Times New Roman"/>
          <w:color w:val="000000"/>
          <w:szCs w:val="24"/>
        </w:rPr>
        <w:t xml:space="preserve"> and </w:t>
      </w:r>
      <w:r w:rsidR="0044257B" w:rsidRPr="0044257B">
        <w:rPr>
          <w:rFonts w:eastAsia="Times New Roman" w:cs="Times New Roman"/>
          <w:b/>
          <w:bCs/>
          <w:color w:val="000000"/>
          <w:szCs w:val="24"/>
        </w:rPr>
        <w:t>4.15</w:t>
      </w:r>
      <w:r w:rsidR="0044257B" w:rsidRPr="0044257B">
        <w:rPr>
          <w:rFonts w:eastAsia="Times New Roman" w:cs="Times New Roman"/>
          <w:color w:val="000000"/>
          <w:szCs w:val="24"/>
        </w:rPr>
        <w:t xml:space="preserve"> exhibit potent SARS-</w:t>
      </w:r>
      <w:proofErr w:type="spellStart"/>
      <w:r w:rsidR="0044257B" w:rsidRPr="0044257B">
        <w:rPr>
          <w:rFonts w:eastAsia="Times New Roman" w:cs="Times New Roman"/>
          <w:color w:val="000000"/>
          <w:szCs w:val="24"/>
        </w:rPr>
        <w:t>CoV</w:t>
      </w:r>
      <w:proofErr w:type="spellEnd"/>
      <w:r w:rsidR="0044257B" w:rsidRPr="0044257B">
        <w:rPr>
          <w:rFonts w:eastAsia="Times New Roman" w:cs="Times New Roman"/>
          <w:color w:val="000000"/>
          <w:szCs w:val="24"/>
        </w:rPr>
        <w:t xml:space="preserve"> </w:t>
      </w:r>
      <w:proofErr w:type="spellStart"/>
      <w:r w:rsidR="0044257B" w:rsidRPr="0044257B">
        <w:rPr>
          <w:rFonts w:eastAsia="Times New Roman" w:cs="Times New Roman"/>
          <w:color w:val="000000"/>
          <w:szCs w:val="24"/>
        </w:rPr>
        <w:t>PL</w:t>
      </w:r>
      <w:r w:rsidR="0044257B" w:rsidRPr="0044257B">
        <w:rPr>
          <w:rFonts w:eastAsia="Times New Roman" w:cs="Times New Roman"/>
          <w:color w:val="000000"/>
          <w:szCs w:val="24"/>
          <w:vertAlign w:val="superscript"/>
        </w:rPr>
        <w:t>pro</w:t>
      </w:r>
      <w:proofErr w:type="spellEnd"/>
      <w:r w:rsidR="0044257B" w:rsidRPr="0044257B">
        <w:rPr>
          <w:rFonts w:eastAsia="Times New Roman" w:cs="Times New Roman"/>
          <w:color w:val="000000"/>
          <w:szCs w:val="24"/>
        </w:rPr>
        <w:t xml:space="preserve"> activity where IC</w:t>
      </w:r>
      <w:r w:rsidR="0044257B" w:rsidRPr="0044257B">
        <w:rPr>
          <w:rFonts w:eastAsia="Times New Roman" w:cs="Times New Roman"/>
          <w:color w:val="000000"/>
          <w:szCs w:val="24"/>
          <w:vertAlign w:val="subscript"/>
        </w:rPr>
        <w:t>50</w:t>
      </w:r>
      <w:r w:rsidR="0044257B" w:rsidRPr="0044257B">
        <w:rPr>
          <w:rFonts w:eastAsia="Times New Roman" w:cs="Times New Roman"/>
          <w:color w:val="000000"/>
          <w:szCs w:val="24"/>
        </w:rPr>
        <w:t xml:space="preserve"> = 0.60 and 0.67 </w:t>
      </w:r>
      <w:proofErr w:type="spellStart"/>
      <w:r w:rsidR="0044257B" w:rsidRPr="0044257B">
        <w:rPr>
          <w:rFonts w:ascii="Calibri" w:eastAsia="Times New Roman" w:hAnsi="Calibri" w:cs="Calibri"/>
          <w:color w:val="000000"/>
          <w:szCs w:val="24"/>
        </w:rPr>
        <w:t>μ</w:t>
      </w:r>
      <w:r w:rsidR="0044257B" w:rsidRPr="0044257B">
        <w:rPr>
          <w:rFonts w:eastAsia="Times New Roman" w:cs="Times New Roman"/>
          <w:color w:val="000000"/>
          <w:szCs w:val="24"/>
        </w:rPr>
        <w:t>M</w:t>
      </w:r>
      <w:proofErr w:type="spellEnd"/>
      <w:r w:rsidR="0044257B" w:rsidRPr="0044257B">
        <w:rPr>
          <w:rFonts w:eastAsia="Times New Roman" w:cs="Times New Roman"/>
          <w:color w:val="000000"/>
          <w:szCs w:val="24"/>
        </w:rPr>
        <w:t>, respectively.</w:t>
      </w:r>
      <w:r w:rsidR="0044257B" w:rsidRPr="0044257B">
        <w:rPr>
          <w:rFonts w:eastAsia="Times New Roman" w:cs="Times New Roman"/>
          <w:color w:val="000000"/>
          <w:szCs w:val="24"/>
        </w:rPr>
        <w:fldChar w:fldCharType="begin"/>
      </w:r>
      <w:r w:rsidR="0044257B" w:rsidRPr="0044257B">
        <w:rPr>
          <w:rFonts w:eastAsia="Times New Roman" w:cs="Times New Roman"/>
          <w:color w:val="000000"/>
          <w:szCs w:val="24"/>
        </w:rPr>
        <w:instrText xml:space="preserve"> ADDIN ZOTERO_ITEM CSL_CITATION {"citationID":"QEqNkxde","properties":{"formattedCitation":"\\super 49\\nosupersub{}","plainCitation":"49","noteIndex":0},"citationItems":[{"id":916,"uris":["http://zotero.org/users/6503767/items/MIY9V6D3"],"itemData":{"id":916,"type":"article-journal","abstract":"Structure-guided design was used to generate a series of noncovalent inhibitors with nanomolar potency against the papain-like protease (PLpro) from the SARS coronavirus (CoV). A number of inhibitors exhibit antiviral activity against SARS-CoV infected Vero E6 cells and broadened specificity toward the homologous PLP2 enzyme from the human coronavirus NL63. Selectivity and cytotoxicity studies established a more than 100-fold preference for the coronaviral enzyme over homologous human deubiquitinating enzymes (DUBs), and no significant cytotoxicity in Vero E6 and HEK293 cell lines is observed. X-ray structural analyses of inhibitor-bound crystal structures revealed subtle differences between binding modes of the initial benzodioxolane lead (15g) and the most potent analogues 3k and 3j, featuring a monofluoro substitution at para and meta positions of the benzyl ring, respectively. Finally, the less lipophilic bis(amide) 3e and methoxypyridine 5c exhibit significantly improved metabolic stability and are viable candidates for advancing to in vivo studies.","container-title":"Journal of Medicinal Chemistry","DOI":"10.1021/jm401712t","ISSN":"0022-2623","issue":"6","journalAbbreviation":"J. Med. Chem.","note":"publisher: American Chemical Society","page":"2393-2412","source":"ACS Publications","title":"X-ray Structural and Biological Evaluation of a Series of Potent and Highly Selective Inhibitors of Human Coronavirus Papain-like Proteases","volume":"57","author":[{"family":"Báez-Santos","given":"Yahira M."},{"family":"Barraza","given":"Scott J."},{"family":"Wilson","given":"Michael W."},{"family":"Agius","given":"Michael P."},{"family":"Mielech","given":"Anna M."},{"family":"Davis","given":"Nicole M."},{"family":"Baker","given":"Susan C."},{"family":"Larsen","given":"Scott D."},{"family":"Mesecar","given":"Andrew D."}],"issued":{"date-parts":[["2014",3,27]]}}}],"schema":"https://github.com/citation-style-language/schema/raw/master/csl-citation.json"} </w:instrText>
      </w:r>
      <w:r w:rsidR="0044257B" w:rsidRPr="0044257B">
        <w:rPr>
          <w:rFonts w:eastAsia="Times New Roman" w:cs="Times New Roman"/>
          <w:color w:val="000000"/>
          <w:szCs w:val="24"/>
        </w:rPr>
        <w:fldChar w:fldCharType="separate"/>
      </w:r>
      <w:r w:rsidR="0044257B" w:rsidRPr="0044257B">
        <w:rPr>
          <w:rFonts w:cs="Times New Roman"/>
          <w:szCs w:val="24"/>
          <w:vertAlign w:val="superscript"/>
        </w:rPr>
        <w:t>49</w:t>
      </w:r>
      <w:r w:rsidR="0044257B" w:rsidRPr="0044257B">
        <w:rPr>
          <w:rFonts w:eastAsia="Times New Roman" w:cs="Times New Roman"/>
          <w:color w:val="000000"/>
          <w:szCs w:val="24"/>
        </w:rPr>
        <w:fldChar w:fldCharType="end"/>
      </w:r>
      <w:r w:rsidR="0044257B" w:rsidRPr="0044257B">
        <w:rPr>
          <w:rFonts w:eastAsia="Times New Roman" w:cs="Times New Roman"/>
          <w:color w:val="000000"/>
          <w:szCs w:val="24"/>
        </w:rPr>
        <w:t xml:space="preserve"> Interestingly, they did not show any inhibitory activity against MERS-</w:t>
      </w:r>
      <w:proofErr w:type="spellStart"/>
      <w:r w:rsidR="0044257B" w:rsidRPr="0044257B">
        <w:rPr>
          <w:rFonts w:eastAsia="Times New Roman" w:cs="Times New Roman"/>
          <w:color w:val="000000"/>
          <w:szCs w:val="24"/>
        </w:rPr>
        <w:t>CoV</w:t>
      </w:r>
      <w:proofErr w:type="spellEnd"/>
      <w:r w:rsidR="0044257B" w:rsidRPr="0044257B">
        <w:rPr>
          <w:rFonts w:eastAsia="Times New Roman" w:cs="Times New Roman"/>
          <w:color w:val="000000"/>
          <w:szCs w:val="24"/>
        </w:rPr>
        <w:t xml:space="preserve"> </w:t>
      </w:r>
      <w:proofErr w:type="spellStart"/>
      <w:r w:rsidR="0044257B" w:rsidRPr="0044257B">
        <w:rPr>
          <w:rFonts w:eastAsia="Times New Roman" w:cs="Times New Roman"/>
          <w:color w:val="000000"/>
          <w:szCs w:val="24"/>
        </w:rPr>
        <w:t>PL</w:t>
      </w:r>
      <w:r w:rsidR="0044257B" w:rsidRPr="0044257B">
        <w:rPr>
          <w:rFonts w:eastAsia="Times New Roman" w:cs="Times New Roman"/>
          <w:color w:val="000000"/>
          <w:szCs w:val="24"/>
          <w:vertAlign w:val="superscript"/>
        </w:rPr>
        <w:t>pro</w:t>
      </w:r>
      <w:proofErr w:type="spellEnd"/>
      <w:r w:rsidR="0044257B" w:rsidRPr="0044257B">
        <w:rPr>
          <w:rFonts w:eastAsia="Times New Roman" w:cs="Times New Roman"/>
          <w:color w:val="000000"/>
          <w:szCs w:val="24"/>
        </w:rPr>
        <w:t>, suggesting that inhibitor recognition specificity of MERS-</w:t>
      </w:r>
      <w:proofErr w:type="spellStart"/>
      <w:r w:rsidR="0044257B" w:rsidRPr="0044257B">
        <w:rPr>
          <w:rFonts w:eastAsia="Times New Roman" w:cs="Times New Roman"/>
          <w:color w:val="000000"/>
          <w:szCs w:val="24"/>
        </w:rPr>
        <w:t>CoV</w:t>
      </w:r>
      <w:proofErr w:type="spellEnd"/>
      <w:r w:rsidR="0044257B" w:rsidRPr="0044257B">
        <w:rPr>
          <w:rFonts w:eastAsia="Times New Roman" w:cs="Times New Roman"/>
          <w:color w:val="000000"/>
          <w:szCs w:val="24"/>
        </w:rPr>
        <w:t xml:space="preserve"> and SARS-</w:t>
      </w:r>
      <w:proofErr w:type="spellStart"/>
      <w:r w:rsidR="0044257B" w:rsidRPr="0044257B">
        <w:rPr>
          <w:rFonts w:eastAsia="Times New Roman" w:cs="Times New Roman"/>
          <w:color w:val="000000"/>
          <w:szCs w:val="24"/>
        </w:rPr>
        <w:t>CoV</w:t>
      </w:r>
      <w:proofErr w:type="spellEnd"/>
      <w:r w:rsidR="0044257B" w:rsidRPr="0044257B">
        <w:rPr>
          <w:rFonts w:eastAsia="Times New Roman" w:cs="Times New Roman"/>
          <w:color w:val="000000"/>
          <w:szCs w:val="24"/>
        </w:rPr>
        <w:t xml:space="preserve"> </w:t>
      </w:r>
      <w:proofErr w:type="spellStart"/>
      <w:r w:rsidR="0044257B" w:rsidRPr="0044257B">
        <w:rPr>
          <w:rFonts w:eastAsia="Times New Roman" w:cs="Times New Roman"/>
          <w:color w:val="000000"/>
          <w:szCs w:val="24"/>
        </w:rPr>
        <w:t>PL</w:t>
      </w:r>
      <w:r w:rsidR="0044257B" w:rsidRPr="0044257B">
        <w:rPr>
          <w:rFonts w:eastAsia="Times New Roman" w:cs="Times New Roman"/>
          <w:color w:val="000000"/>
          <w:szCs w:val="24"/>
          <w:vertAlign w:val="superscript"/>
        </w:rPr>
        <w:t>pro</w:t>
      </w:r>
      <w:proofErr w:type="spellEnd"/>
      <w:r w:rsidR="0044257B" w:rsidRPr="0044257B">
        <w:rPr>
          <w:rFonts w:eastAsia="Times New Roman" w:cs="Times New Roman"/>
          <w:color w:val="000000"/>
          <w:szCs w:val="24"/>
        </w:rPr>
        <w:t xml:space="preserve"> may differ significantly.</w:t>
      </w:r>
      <w:r w:rsidR="0044257B" w:rsidRPr="0044257B">
        <w:rPr>
          <w:rFonts w:eastAsia="Times New Roman" w:cs="Times New Roman"/>
          <w:color w:val="000000"/>
          <w:szCs w:val="24"/>
        </w:rPr>
        <w:fldChar w:fldCharType="begin"/>
      </w:r>
      <w:r w:rsidR="0044257B" w:rsidRPr="0044257B">
        <w:rPr>
          <w:rFonts w:eastAsia="Times New Roman" w:cs="Times New Roman"/>
          <w:color w:val="000000"/>
          <w:szCs w:val="24"/>
        </w:rPr>
        <w:instrText xml:space="preserve"> ADDIN ZOTERO_ITEM CSL_CITATION {"citationID":"xntSLViC","properties":{"formattedCitation":"\\super 50\\nosupersub{}","plainCitation":"50","noteIndex":0},"citationItems":[{"id":913,"uris":["http://zotero.org/users/6503767/items/SSVNZYL4"],"itemData":{"id":913,"type":"article-journal","abstract":"The Middle East Respiratory Syndrome coronavirus (MERS-CoV) papain-like protease (PLpro) blocking loop 2 (BL2) structure differs significantly from that of SARS-CoV PLpro, where it has been proven to play a crucial role in SARS-CoV PLpro inhibitor binding. Four SARS-CoV PLpro lead inhibitors were tested against MERS-CoV PLpro, none of which were effective against MERS-CoV PLpro. Structure and sequence alignments revealed that two residues, Y269 and Q270, responsible for inhibitor binding to SARS-CoV PLpro, were replaced by T274 and A275 in MERS-CoV PLpro, making critical binding interactions difficult to form for similar types of inhibitors. High-throughput screening (HTS) of 25 000 compounds against both PLpro enzymes identified a small fragment-like noncovalent dual inhibitor. Mode of inhibition studies by enzyme kinetics and competition surface plasmon resonance (SPR) analyses suggested that this compound acts as a competitive inhibitor with an IC50 of 6 μM against MERS-CoV PLpro, indicating that it binds to the active site, whereas it acts as an allosteric inhibitor against SARS-CoV PLpro with an IC50 of 11 μM. These results raised the possibility that inhibitor recognition specificity of MERS-CoV PLpro may differ from that of SARS-CoV PLpro. In addition, inhibitory activity of this compound was selective for SARS-CoV and MERS-CoV PLpro enzymes over two human homologues, the ubiquitin C-terminal hydrolases 1 and 3 (hUCH-L1 and hUCH-L3).","container-title":"ACS Chemical Biology","DOI":"10.1021/cb500917m","ISSN":"1554-8929","issue":"6","journalAbbreviation":"ACS Chem. Biol.","note":"publisher: American Chemical Society","page":"1456-1465","source":"ACS Publications","title":"Inhibitor Recognition Specificity of MERS-CoV Papain-like Protease May Differ from That of SARS-CoV","volume":"10","author":[{"family":"Lee","given":"Hyun"},{"family":"Lei","given":"Hao"},{"family":"Santarsiero","given":"Bernard D."},{"family":"Gatuz","given":"Joseph L."},{"family":"Cao","given":"Shuyi"},{"family":"Rice","given":"Amy J."},{"family":"Patel","given":"Kavankumar"},{"family":"Szypulinski","given":"Michael Z."},{"family":"Ojeda","given":"Isabel"},{"family":"Ghosh","given":"Arun K."},{"family":"Johnson","given":"Michael E."}],"issued":{"date-parts":[["2015",6,19]]}}}],"schema":"https://github.com/citation-style-language/schema/raw/master/csl-citation.json"} </w:instrText>
      </w:r>
      <w:r w:rsidR="0044257B" w:rsidRPr="0044257B">
        <w:rPr>
          <w:rFonts w:eastAsia="Times New Roman" w:cs="Times New Roman"/>
          <w:color w:val="000000"/>
          <w:szCs w:val="24"/>
        </w:rPr>
        <w:fldChar w:fldCharType="separate"/>
      </w:r>
      <w:r w:rsidR="0044257B" w:rsidRPr="0044257B">
        <w:rPr>
          <w:rFonts w:cs="Times New Roman"/>
          <w:szCs w:val="24"/>
          <w:vertAlign w:val="superscript"/>
        </w:rPr>
        <w:t>50</w:t>
      </w:r>
      <w:r w:rsidR="0044257B" w:rsidRPr="0044257B">
        <w:rPr>
          <w:rFonts w:eastAsia="Times New Roman" w:cs="Times New Roman"/>
          <w:color w:val="000000"/>
          <w:szCs w:val="24"/>
        </w:rPr>
        <w:fldChar w:fldCharType="end"/>
      </w:r>
      <w:r w:rsidR="0044257B" w:rsidRPr="0044257B">
        <w:rPr>
          <w:rFonts w:eastAsia="Times New Roman" w:cs="Times New Roman"/>
          <w:color w:val="000000"/>
          <w:szCs w:val="24"/>
        </w:rPr>
        <w:t xml:space="preserve"> The peptide-like nature of these coronavirus protease inhibitors motivated us to submit amide-containing compounds </w:t>
      </w:r>
      <w:r w:rsidR="0044257B" w:rsidRPr="0044257B">
        <w:rPr>
          <w:rFonts w:eastAsia="Times New Roman" w:cs="Times New Roman"/>
          <w:b/>
          <w:bCs/>
          <w:color w:val="000000"/>
          <w:szCs w:val="24"/>
        </w:rPr>
        <w:t>4.33</w:t>
      </w:r>
      <w:r w:rsidR="0044257B" w:rsidRPr="0044257B">
        <w:rPr>
          <w:rFonts w:eastAsia="Times New Roman" w:cs="Times New Roman"/>
          <w:color w:val="000000"/>
          <w:szCs w:val="24"/>
        </w:rPr>
        <w:t xml:space="preserve"> – </w:t>
      </w:r>
      <w:r w:rsidR="0044257B" w:rsidRPr="0044257B">
        <w:rPr>
          <w:rFonts w:eastAsia="Times New Roman" w:cs="Times New Roman"/>
          <w:b/>
          <w:bCs/>
          <w:color w:val="000000"/>
          <w:szCs w:val="24"/>
        </w:rPr>
        <w:t xml:space="preserve">4.37 </w:t>
      </w:r>
      <w:r w:rsidR="0044257B" w:rsidRPr="0044257B">
        <w:rPr>
          <w:rFonts w:eastAsia="Times New Roman" w:cs="Times New Roman"/>
          <w:color w:val="000000"/>
          <w:szCs w:val="24"/>
        </w:rPr>
        <w:t>from our library for biological evaluation (</w:t>
      </w:r>
      <w:r w:rsidR="0044257B" w:rsidRPr="0044257B">
        <w:rPr>
          <w:rFonts w:eastAsia="Times New Roman" w:cs="Times New Roman"/>
          <w:b/>
          <w:bCs/>
          <w:color w:val="000000"/>
          <w:szCs w:val="24"/>
        </w:rPr>
        <w:fldChar w:fldCharType="begin"/>
      </w:r>
      <w:r w:rsidR="0044257B" w:rsidRPr="0044257B">
        <w:rPr>
          <w:rFonts w:eastAsia="Times New Roman" w:cs="Times New Roman"/>
          <w:b/>
          <w:bCs/>
          <w:color w:val="000000"/>
          <w:szCs w:val="24"/>
        </w:rPr>
        <w:instrText xml:space="preserve"> REF _Ref100281587 \h  \* MERGEFORMAT </w:instrText>
      </w:r>
      <w:r w:rsidR="0044257B" w:rsidRPr="0044257B">
        <w:rPr>
          <w:rFonts w:eastAsia="Times New Roman" w:cs="Times New Roman"/>
          <w:b/>
          <w:bCs/>
          <w:color w:val="000000"/>
          <w:szCs w:val="24"/>
        </w:rPr>
      </w:r>
      <w:r w:rsidR="0044257B" w:rsidRPr="0044257B">
        <w:rPr>
          <w:rFonts w:eastAsia="Times New Roman" w:cs="Times New Roman"/>
          <w:b/>
          <w:bCs/>
          <w:color w:val="000000"/>
          <w:szCs w:val="24"/>
        </w:rPr>
        <w:fldChar w:fldCharType="separate"/>
      </w:r>
      <w:r w:rsidR="00AA5AAC" w:rsidRPr="00AA5AAC">
        <w:rPr>
          <w:b/>
          <w:bCs/>
        </w:rPr>
        <w:t>Figure 4.5</w:t>
      </w:r>
      <w:r w:rsidR="0044257B" w:rsidRPr="0044257B">
        <w:rPr>
          <w:rFonts w:eastAsia="Times New Roman" w:cs="Times New Roman"/>
          <w:b/>
          <w:bCs/>
          <w:color w:val="000000"/>
          <w:szCs w:val="24"/>
        </w:rPr>
        <w:fldChar w:fldCharType="end"/>
      </w:r>
      <w:r w:rsidR="0044257B" w:rsidRPr="0044257B">
        <w:rPr>
          <w:rFonts w:eastAsia="Times New Roman" w:cs="Times New Roman"/>
          <w:b/>
          <w:bCs/>
          <w:color w:val="000000"/>
          <w:szCs w:val="24"/>
        </w:rPr>
        <w:t>C</w:t>
      </w:r>
      <w:r w:rsidR="0044257B" w:rsidRPr="0044257B">
        <w:rPr>
          <w:rFonts w:eastAsia="Times New Roman" w:cs="Times New Roman"/>
          <w:color w:val="000000"/>
          <w:szCs w:val="24"/>
        </w:rPr>
        <w:t>).</w:t>
      </w:r>
    </w:p>
    <w:p w14:paraId="6E65B696" w14:textId="1CDEA44B" w:rsidR="0044257B" w:rsidRPr="0044257B" w:rsidRDefault="0044257B" w:rsidP="007157EC">
      <w:pPr>
        <w:ind w:firstLine="720"/>
        <w:rPr>
          <w:rFonts w:eastAsia="Times New Roman" w:cs="Times New Roman"/>
          <w:color w:val="000000"/>
          <w:szCs w:val="24"/>
        </w:rPr>
      </w:pPr>
      <w:r w:rsidRPr="0044257B">
        <w:rPr>
          <w:rFonts w:eastAsia="Times New Roman" w:cs="Times New Roman"/>
          <w:color w:val="000000"/>
          <w:szCs w:val="24"/>
        </w:rPr>
        <w:t xml:space="preserve">Markedly, several nitrogen-containing heterocycles (magenta, </w:t>
      </w:r>
      <w:r w:rsidRPr="0044257B">
        <w:rPr>
          <w:rFonts w:eastAsia="Times New Roman" w:cs="Times New Roman"/>
          <w:b/>
          <w:bCs/>
          <w:color w:val="000000"/>
          <w:szCs w:val="24"/>
        </w:rPr>
        <w:fldChar w:fldCharType="begin"/>
      </w:r>
      <w:r w:rsidRPr="0044257B">
        <w:rPr>
          <w:rFonts w:eastAsia="Times New Roman" w:cs="Times New Roman"/>
          <w:b/>
          <w:bCs/>
          <w:color w:val="000000"/>
          <w:szCs w:val="24"/>
        </w:rPr>
        <w:instrText xml:space="preserve"> REF _Ref100281421 \h  \* MERGEFORMAT </w:instrText>
      </w:r>
      <w:r w:rsidRPr="0044257B">
        <w:rPr>
          <w:rFonts w:eastAsia="Times New Roman" w:cs="Times New Roman"/>
          <w:b/>
          <w:bCs/>
          <w:color w:val="000000"/>
          <w:szCs w:val="24"/>
        </w:rPr>
      </w:r>
      <w:r w:rsidRPr="0044257B">
        <w:rPr>
          <w:rFonts w:eastAsia="Times New Roman" w:cs="Times New Roman"/>
          <w:b/>
          <w:bCs/>
          <w:color w:val="000000"/>
          <w:szCs w:val="24"/>
        </w:rPr>
        <w:fldChar w:fldCharType="separate"/>
      </w:r>
      <w:r w:rsidR="00AA5AAC" w:rsidRPr="00AA5AAC">
        <w:rPr>
          <w:b/>
          <w:bCs/>
        </w:rPr>
        <w:t>Figure 4.4</w:t>
      </w:r>
      <w:r w:rsidRPr="0044257B">
        <w:rPr>
          <w:rFonts w:eastAsia="Times New Roman" w:cs="Times New Roman"/>
          <w:b/>
          <w:bCs/>
          <w:color w:val="000000"/>
          <w:szCs w:val="24"/>
        </w:rPr>
        <w:fldChar w:fldCharType="end"/>
      </w:r>
      <w:r w:rsidRPr="0044257B">
        <w:rPr>
          <w:rFonts w:eastAsia="Times New Roman" w:cs="Times New Roman"/>
          <w:color w:val="000000"/>
          <w:szCs w:val="24"/>
        </w:rPr>
        <w:t xml:space="preserve">) can be found in a number of anti-coronavirus compounds. For example, </w:t>
      </w:r>
      <w:r w:rsidRPr="0044257B">
        <w:rPr>
          <w:rFonts w:eastAsia="Times New Roman" w:cs="Times New Roman"/>
          <w:b/>
          <w:bCs/>
          <w:color w:val="000000"/>
          <w:szCs w:val="24"/>
        </w:rPr>
        <w:t>4.16</w:t>
      </w:r>
      <w:r w:rsidRPr="0044257B">
        <w:rPr>
          <w:rFonts w:eastAsia="Times New Roman" w:cs="Times New Roman"/>
          <w:color w:val="000000"/>
          <w:szCs w:val="24"/>
        </w:rPr>
        <w:t xml:space="preserve"> is a trifluoromethyl derivative of purine that was first synthesized in 1958 as a potent anti-cancer drug,</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{"citationID":"1mqKrCFN","properties":{"formattedCitation":"\\super 51\\nosupersub{}","plainCitation":"51","noteIndex":0},"citationItems":[{"id":919,"uris":["http://zotero.org/users/6503767/items/7ECBLERR"],"itemData":{"id":919,"type":"article-journal","container-title":"Journal of the American Chemical Society","DOI":"10.1021/ja01554a041","ISSN":"0002-7863","issue":"21","journalAbbreviation":"J. Am. Chem. Soc.","note":"publisher: American Chemical Society","page":"5744-5752","source":"ACS Publications","title":"Fluorine-containing Pyrimidines and Purines: Synthesis and Properties of Trifluoromethyl Pyrimidines and Purines1","title-short":"Fluorine-containing Pyrimidines and Purines","volume":"80","author":[{"family":"Giner-Sorolla","given":"Alfredo"},{"family":"Bendich","given":"Aaron"}],"issued":{"date-parts":[["1958",11,1]]}}}],"schema":"https://github.com/citation-style-language/schema/raw/master/csl-citation.json"}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51</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but was also found to be a non-selective </w:t>
      </w:r>
      <w:proofErr w:type="spellStart"/>
      <w:r w:rsidRPr="0044257B">
        <w:rPr>
          <w:rFonts w:eastAsia="Times New Roman" w:cs="Times New Roman"/>
          <w:color w:val="000000"/>
          <w:szCs w:val="24"/>
        </w:rPr>
        <w:t>PL</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inhibitor during a high-throughput screen of 25,000 compounds with similar inhibitory strength for both SARS- and MERS-CoV.</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{"citationID":"ZrzuTimf","properties":{"formattedCitation":"\\super 50\\nosupersub{}","plainCitation":"50","noteIndex":0},"citationItems":[{"id":913,"uris":["http://zotero.org/users/6503767/items/SSVNZYL4"],"itemData":{"id":913,"type":"article-journal","abstract":"The Middle East Respiratory Syndrome coronavirus (MERS-CoV) papain-like protease (PLpro) blocking loop 2 (BL2) structure differs significantly from that of SARS-CoV PLpro, where it has been proven to play a crucial role in SARS-CoV PLpro inhibitor binding. Four SARS-CoV PLpro lead inhibitors were tested against MERS-CoV PLpro, none of which were effective against MERS-CoV PLpro. Structure and sequence alignments revealed that two residues, Y269 and Q270, responsible for inhibitor binding to SARS-CoV PLpro, were replaced by T274 and A275 in MERS-CoV PLpro, making critical binding interactions difficult to form for similar types of inhibitors. High-throughput screening (HTS) of 25 000 compounds against both PLpro enzymes identified a small fragment-like noncovalent dual inhibitor. Mode of inhibition studies by enzyme kinetics and competition surface plasmon resonance (SPR) analyses suggested that this compound acts as a competitive inhibitor with an IC50 of 6 μM against MERS-CoV PLpro, indicating that it binds to the active site, whereas it acts as an allosteric inhibitor against SARS-CoV PLpro with an IC50 of 11 μM. These results raised the possibility that inhibitor recognition specificity of MERS-CoV PLpro may differ from that of SARS-CoV PLpro. In addition, inhibitory activity of this compound was selective for SARS-CoV and MERS-CoV PLpro enzymes over two human homologues, the ubiquitin C-terminal hydrolases 1 and 3 (hUCH-L1 and hUCH-L3).","container-title":"ACS Chemical Biology","DOI":"10.1021/cb500917m","ISSN":"1554-8929","issue":"6","journalAbbreviation":"ACS Chem. Biol.","note":"publisher: American Chemical Society","page":"1456-1465","source":"ACS Publications","title":"Inhibitor Recognition Specificity of MERS-CoV Papain-like Protease May Differ from That of SARS-CoV","volume":"10","author":[{"family":"Lee","given":"Hyun"},{"family":"Lei","given":"Hao"},{"family":"Santarsiero","given":"Bernard D."},{"family":"Gatuz","given":"Joseph L."},{"family":"Cao","given":"Shuyi"},{"family":"Rice","given":"Amy J."},{"family":"Patel","given":"Kavankumar"},{"family":"Szypulinski","given":"Michael Z."},{"family":"Ojeda","given":"Isabel"},{"family":"Ghosh","given":"Arun K."},{"family":"Johnson","given":"Michael E."}],"issued":{"date-parts":[["2015",6,19]]}}}],"schema":"https://github.com/citation-style-language/schema/raw/master/csl-citation.json"}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50</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This, in addition to the diverse nitrogen heterocycles within compounds </w:t>
      </w:r>
      <w:r w:rsidRPr="0044257B">
        <w:rPr>
          <w:rFonts w:eastAsia="Times New Roman" w:cs="Times New Roman"/>
          <w:b/>
          <w:bCs/>
          <w:color w:val="000000"/>
          <w:szCs w:val="24"/>
        </w:rPr>
        <w:t>4.6</w:t>
      </w:r>
      <w:r w:rsidRPr="0044257B">
        <w:rPr>
          <w:rFonts w:eastAsia="Times New Roman" w:cs="Times New Roman"/>
          <w:color w:val="000000"/>
          <w:szCs w:val="24"/>
        </w:rPr>
        <w:t xml:space="preserve">, </w:t>
      </w:r>
      <w:r w:rsidRPr="0044257B">
        <w:rPr>
          <w:rFonts w:eastAsia="Times New Roman" w:cs="Times New Roman"/>
          <w:b/>
          <w:bCs/>
          <w:color w:val="000000"/>
          <w:szCs w:val="24"/>
        </w:rPr>
        <w:t>4.7</w:t>
      </w:r>
      <w:r w:rsidRPr="0044257B">
        <w:rPr>
          <w:rFonts w:eastAsia="Times New Roman" w:cs="Times New Roman"/>
          <w:color w:val="000000"/>
          <w:szCs w:val="24"/>
        </w:rPr>
        <w:t xml:space="preserve">, and </w:t>
      </w:r>
      <w:r w:rsidRPr="0044257B">
        <w:rPr>
          <w:rFonts w:eastAsia="Times New Roman" w:cs="Times New Roman"/>
          <w:b/>
          <w:bCs/>
          <w:color w:val="000000"/>
          <w:szCs w:val="24"/>
        </w:rPr>
        <w:t>4.9</w:t>
      </w:r>
      <w:r w:rsidRPr="0044257B">
        <w:rPr>
          <w:rFonts w:eastAsia="Times New Roman" w:cs="Times New Roman"/>
          <w:color w:val="000000"/>
          <w:szCs w:val="24"/>
        </w:rPr>
        <w:t>, led to our submission of indole and β-carboline compounds (</w:t>
      </w:r>
      <w:r w:rsidRPr="0044257B">
        <w:rPr>
          <w:rFonts w:eastAsia="Times New Roman" w:cs="Times New Roman"/>
          <w:b/>
          <w:bCs/>
          <w:color w:val="000000"/>
          <w:szCs w:val="24"/>
        </w:rPr>
        <w:fldChar w:fldCharType="begin"/>
      </w:r>
      <w:r w:rsidRPr="0044257B">
        <w:rPr>
          <w:rFonts w:eastAsia="Times New Roman" w:cs="Times New Roman"/>
          <w:b/>
          <w:bCs/>
          <w:color w:val="000000"/>
          <w:szCs w:val="24"/>
        </w:rPr>
        <w:instrText xml:space="preserve"> REF _Ref100281587 \h  \* MERGEFORMAT </w:instrText>
      </w:r>
      <w:r w:rsidRPr="0044257B">
        <w:rPr>
          <w:rFonts w:eastAsia="Times New Roman" w:cs="Times New Roman"/>
          <w:b/>
          <w:bCs/>
          <w:color w:val="000000"/>
          <w:szCs w:val="24"/>
        </w:rPr>
      </w:r>
      <w:r w:rsidRPr="0044257B">
        <w:rPr>
          <w:rFonts w:eastAsia="Times New Roman" w:cs="Times New Roman"/>
          <w:b/>
          <w:bCs/>
          <w:color w:val="000000"/>
          <w:szCs w:val="24"/>
        </w:rPr>
        <w:fldChar w:fldCharType="separate"/>
      </w:r>
      <w:r w:rsidR="00AA5AAC" w:rsidRPr="00AA5AAC">
        <w:rPr>
          <w:b/>
          <w:bCs/>
        </w:rPr>
        <w:t>Figure 4.5</w:t>
      </w:r>
      <w:r w:rsidRPr="0044257B">
        <w:rPr>
          <w:rFonts w:eastAsia="Times New Roman" w:cs="Times New Roman"/>
          <w:b/>
          <w:bCs/>
          <w:color w:val="000000"/>
          <w:szCs w:val="24"/>
        </w:rPr>
        <w:fldChar w:fldCharType="end"/>
      </w:r>
      <w:r w:rsidRPr="0044257B">
        <w:rPr>
          <w:rFonts w:eastAsia="Times New Roman" w:cs="Times New Roman"/>
          <w:b/>
          <w:bCs/>
          <w:color w:val="000000"/>
          <w:szCs w:val="24"/>
        </w:rPr>
        <w:t>D</w:t>
      </w:r>
      <w:r w:rsidRPr="0044257B">
        <w:rPr>
          <w:rFonts w:eastAsia="Times New Roman" w:cs="Times New Roman"/>
          <w:color w:val="000000"/>
          <w:szCs w:val="24"/>
        </w:rPr>
        <w:t xml:space="preserve">) for biological evaluation. </w:t>
      </w:r>
    </w:p>
    <w:p w14:paraId="4F1A9027" w14:textId="729CAD13" w:rsidR="0044257B" w:rsidRPr="0044257B" w:rsidRDefault="0044257B" w:rsidP="0044257B">
      <w:pPr>
        <w:ind w:firstLine="720"/>
        <w:rPr>
          <w:rFonts w:eastAsia="Times New Roman" w:cs="Times New Roman"/>
          <w:color w:val="000000"/>
          <w:szCs w:val="24"/>
        </w:rPr>
      </w:pPr>
      <w:r w:rsidRPr="0044257B">
        <w:rPr>
          <w:rFonts w:eastAsia="Times New Roman" w:cs="Times New Roman"/>
          <w:color w:val="000000"/>
          <w:szCs w:val="24"/>
        </w:rPr>
        <w:t xml:space="preserve">Other notable functional groups include </w:t>
      </w:r>
      <w:proofErr w:type="spellStart"/>
      <w:r w:rsidRPr="0044257B">
        <w:rPr>
          <w:rFonts w:eastAsia="Times New Roman" w:cs="Times New Roman"/>
          <w:color w:val="000000"/>
          <w:szCs w:val="24"/>
        </w:rPr>
        <w:t>naphthalenes</w:t>
      </w:r>
      <w:proofErr w:type="spellEnd"/>
      <w:r w:rsidRPr="0044257B">
        <w:rPr>
          <w:rFonts w:eastAsia="Times New Roman" w:cs="Times New Roman"/>
          <w:color w:val="000000"/>
          <w:szCs w:val="24"/>
        </w:rPr>
        <w:t xml:space="preserve"> (blue, </w:t>
      </w:r>
      <w:r w:rsidRPr="0044257B">
        <w:rPr>
          <w:rFonts w:eastAsia="Times New Roman" w:cs="Times New Roman"/>
          <w:b/>
          <w:bCs/>
          <w:color w:val="000000"/>
          <w:szCs w:val="24"/>
        </w:rPr>
        <w:fldChar w:fldCharType="begin"/>
      </w:r>
      <w:r w:rsidRPr="0044257B">
        <w:rPr>
          <w:rFonts w:eastAsia="Times New Roman" w:cs="Times New Roman"/>
          <w:b/>
          <w:bCs/>
          <w:color w:val="000000"/>
          <w:szCs w:val="24"/>
        </w:rPr>
        <w:instrText xml:space="preserve"> REF _Ref100281421 \h  \* MERGEFORMAT </w:instrText>
      </w:r>
      <w:r w:rsidRPr="0044257B">
        <w:rPr>
          <w:rFonts w:eastAsia="Times New Roman" w:cs="Times New Roman"/>
          <w:b/>
          <w:bCs/>
          <w:color w:val="000000"/>
          <w:szCs w:val="24"/>
        </w:rPr>
      </w:r>
      <w:r w:rsidRPr="0044257B">
        <w:rPr>
          <w:rFonts w:eastAsia="Times New Roman" w:cs="Times New Roman"/>
          <w:b/>
          <w:bCs/>
          <w:color w:val="000000"/>
          <w:szCs w:val="24"/>
        </w:rPr>
        <w:fldChar w:fldCharType="separate"/>
      </w:r>
      <w:r w:rsidR="00AA5AAC" w:rsidRPr="00AA5AAC">
        <w:rPr>
          <w:b/>
          <w:bCs/>
        </w:rPr>
        <w:t>Figure 4.4</w:t>
      </w:r>
      <w:r w:rsidRPr="0044257B">
        <w:rPr>
          <w:rFonts w:eastAsia="Times New Roman" w:cs="Times New Roman"/>
          <w:b/>
          <w:bCs/>
          <w:color w:val="000000"/>
          <w:szCs w:val="24"/>
        </w:rPr>
        <w:fldChar w:fldCharType="end"/>
      </w:r>
      <w:r w:rsidRPr="0044257B">
        <w:rPr>
          <w:rFonts w:eastAsia="Times New Roman" w:cs="Times New Roman"/>
          <w:color w:val="000000"/>
          <w:szCs w:val="24"/>
        </w:rPr>
        <w:t>), which can be found in a number of compounds in our library, and sulfonamide (dark green,</w:t>
      </w:r>
      <w:r w:rsidRPr="0044257B">
        <w:rPr>
          <w:rFonts w:eastAsia="Times New Roman" w:cs="Times New Roman"/>
          <w:b/>
          <w:bCs/>
          <w:color w:val="000000"/>
          <w:szCs w:val="24"/>
        </w:rPr>
        <w:t xml:space="preserve"> </w:t>
      </w:r>
      <w:r w:rsidRPr="0044257B">
        <w:rPr>
          <w:rFonts w:eastAsia="Times New Roman" w:cs="Times New Roman"/>
          <w:b/>
          <w:bCs/>
          <w:color w:val="000000"/>
          <w:szCs w:val="24"/>
        </w:rPr>
        <w:fldChar w:fldCharType="begin"/>
      </w:r>
      <w:r w:rsidRPr="0044257B">
        <w:rPr>
          <w:rFonts w:eastAsia="Times New Roman" w:cs="Times New Roman"/>
          <w:b/>
          <w:bCs/>
          <w:color w:val="000000"/>
          <w:szCs w:val="24"/>
        </w:rPr>
        <w:instrText xml:space="preserve"> REF _Ref100281421 \h  \* MERGEFORMAT </w:instrText>
      </w:r>
      <w:r w:rsidRPr="0044257B">
        <w:rPr>
          <w:rFonts w:eastAsia="Times New Roman" w:cs="Times New Roman"/>
          <w:b/>
          <w:bCs/>
          <w:color w:val="000000"/>
          <w:szCs w:val="24"/>
        </w:rPr>
      </w:r>
      <w:r w:rsidRPr="0044257B">
        <w:rPr>
          <w:rFonts w:eastAsia="Times New Roman" w:cs="Times New Roman"/>
          <w:b/>
          <w:bCs/>
          <w:color w:val="000000"/>
          <w:szCs w:val="24"/>
        </w:rPr>
        <w:fldChar w:fldCharType="separate"/>
      </w:r>
      <w:r w:rsidR="00AA5AAC" w:rsidRPr="00AA5AAC">
        <w:rPr>
          <w:b/>
          <w:bCs/>
        </w:rPr>
        <w:t>Figure 4.4</w:t>
      </w:r>
      <w:r w:rsidRPr="0044257B">
        <w:rPr>
          <w:rFonts w:eastAsia="Times New Roman" w:cs="Times New Roman"/>
          <w:b/>
          <w:bCs/>
          <w:color w:val="000000"/>
          <w:szCs w:val="24"/>
        </w:rPr>
        <w:fldChar w:fldCharType="end"/>
      </w:r>
      <w:r w:rsidRPr="0044257B">
        <w:rPr>
          <w:rFonts w:eastAsia="Times New Roman" w:cs="Times New Roman"/>
          <w:color w:val="000000"/>
          <w:szCs w:val="24"/>
        </w:rPr>
        <w:t xml:space="preserve">) derivatives which are structurally similar to compounds </w:t>
      </w:r>
      <w:r w:rsidRPr="0044257B">
        <w:rPr>
          <w:rFonts w:eastAsia="Times New Roman" w:cs="Times New Roman"/>
          <w:b/>
          <w:bCs/>
          <w:color w:val="000000"/>
          <w:szCs w:val="24"/>
        </w:rPr>
        <w:t>4.20</w:t>
      </w:r>
      <w:r w:rsidRPr="0044257B">
        <w:rPr>
          <w:rFonts w:eastAsia="Times New Roman" w:cs="Times New Roman"/>
          <w:color w:val="000000"/>
          <w:szCs w:val="24"/>
        </w:rPr>
        <w:t xml:space="preserve"> – </w:t>
      </w:r>
      <w:r w:rsidRPr="0044257B">
        <w:rPr>
          <w:rFonts w:eastAsia="Times New Roman" w:cs="Times New Roman"/>
          <w:b/>
          <w:bCs/>
          <w:color w:val="000000"/>
          <w:szCs w:val="24"/>
        </w:rPr>
        <w:t>4.24</w:t>
      </w:r>
      <w:r w:rsidRPr="0044257B">
        <w:rPr>
          <w:rFonts w:eastAsia="Times New Roman" w:cs="Times New Roman"/>
          <w:color w:val="000000"/>
          <w:szCs w:val="24"/>
        </w:rPr>
        <w:t xml:space="preserve"> from our library (</w:t>
      </w:r>
      <w:r w:rsidRPr="0044257B">
        <w:rPr>
          <w:rFonts w:eastAsia="Times New Roman" w:cs="Times New Roman"/>
          <w:b/>
          <w:bCs/>
          <w:color w:val="000000"/>
          <w:szCs w:val="24"/>
        </w:rPr>
        <w:fldChar w:fldCharType="begin"/>
      </w:r>
      <w:r w:rsidRPr="0044257B">
        <w:rPr>
          <w:rFonts w:eastAsia="Times New Roman" w:cs="Times New Roman"/>
          <w:b/>
          <w:bCs/>
          <w:color w:val="000000"/>
          <w:szCs w:val="24"/>
        </w:rPr>
        <w:instrText xml:space="preserve"> REF _Ref100281587 \h  \* MERGEFORMAT </w:instrText>
      </w:r>
      <w:r w:rsidRPr="0044257B">
        <w:rPr>
          <w:rFonts w:eastAsia="Times New Roman" w:cs="Times New Roman"/>
          <w:b/>
          <w:bCs/>
          <w:color w:val="000000"/>
          <w:szCs w:val="24"/>
        </w:rPr>
      </w:r>
      <w:r w:rsidRPr="0044257B">
        <w:rPr>
          <w:rFonts w:eastAsia="Times New Roman" w:cs="Times New Roman"/>
          <w:b/>
          <w:bCs/>
          <w:color w:val="000000"/>
          <w:szCs w:val="24"/>
        </w:rPr>
        <w:fldChar w:fldCharType="separate"/>
      </w:r>
      <w:r w:rsidR="00AA5AAC" w:rsidRPr="00AA5AAC">
        <w:rPr>
          <w:b/>
          <w:bCs/>
        </w:rPr>
        <w:t>Figure 4.5</w:t>
      </w:r>
      <w:r w:rsidRPr="0044257B">
        <w:rPr>
          <w:rFonts w:eastAsia="Times New Roman" w:cs="Times New Roman"/>
          <w:b/>
          <w:bCs/>
          <w:color w:val="000000"/>
          <w:szCs w:val="24"/>
        </w:rPr>
        <w:fldChar w:fldCharType="end"/>
      </w:r>
      <w:r w:rsidRPr="0044257B">
        <w:rPr>
          <w:rFonts w:eastAsia="Times New Roman" w:cs="Times New Roman"/>
          <w:b/>
          <w:bCs/>
          <w:color w:val="000000"/>
          <w:szCs w:val="24"/>
        </w:rPr>
        <w:t>A</w:t>
      </w:r>
      <w:r w:rsidRPr="0044257B">
        <w:rPr>
          <w:rFonts w:eastAsia="Times New Roman" w:cs="Times New Roman"/>
          <w:color w:val="000000"/>
          <w:szCs w:val="24"/>
        </w:rPr>
        <w:t xml:space="preserve">). Specifically, compound </w:t>
      </w:r>
      <w:r w:rsidRPr="0044257B">
        <w:rPr>
          <w:rFonts w:eastAsia="Times New Roman" w:cs="Times New Roman"/>
          <w:b/>
          <w:bCs/>
          <w:color w:val="000000"/>
          <w:szCs w:val="24"/>
        </w:rPr>
        <w:t>4.18</w:t>
      </w:r>
      <w:r w:rsidRPr="0044257B">
        <w:rPr>
          <w:rFonts w:eastAsia="Times New Roman" w:cs="Times New Roman"/>
          <w:color w:val="000000"/>
          <w:szCs w:val="24"/>
        </w:rPr>
        <w:t xml:space="preserve"> exhibits an under-characterized anti-coronavirus mechanism,</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{"citationID":"XpZHbLZG","properties":{"formattedCitation":"\\super 52,53\\nosupersub{}","plainCitation":"52,53","noteIndex":0},"citationItems":[{"id":934,"uris":["http://zotero.org/users/6503767/items/59PFSGLK"],"itemData":{"id":934,"type":"article-journal","abstract":"The envelope (E) protein from coronaviruses is a small polypeptide that contains at least one α-helical transmembrane domain. Absence, or inactivation, of E protein results in attenuated viruses, due to alterations in either virion morphology or tropism. Apart from its morphogenetic properties, protein E has been reported to have membrane permeabilizing activity. Further, the drug hexamethylene amiloride (HMA), but not amiloride, inhibited in vitro ion channel activity of some synthetic coronavirus E proteins, and also viral replication. We have previously shown for the coronavirus species responsible for severe acute respiratory syndrome (SARS-CoV) that the transmembrane domain of E protein (ETM) forms pentameric α-helical bundles that are likely responsible for the observed channel activity. Herein, using solution NMR in dodecylphosphatidylcholine micelles and energy minimization, we have obtained a model of this channel which features regular α-helices that form a pentameric left-handed parallel bundle. The drug HMA was found to bind inside the lumen of the channel, at both the C-terminal and the N-terminal openings, and, in contrast to amiloride, induced additional chemical shifts in ETM. Full length SARS-CoV E displayed channel activity when transiently expressed in human embryonic kidney 293 (HEK-293) cells in a whole-cell patch clamp set-up. This activity was significantly reduced by hexamethylene amiloride (HMA), but not by amiloride. The channel structure presented herein provides a possible rationale for inhibition, and a platform for future structure-based drug design of this potential pharmacological target.","container-title":"PLOS Pathogens","DOI":"10.1371/journal.ppat.1000511","ISSN":"1553-7374","issue":"7","journalAbbreviation":"PLOS Pathogens","language":"en","note":"publisher: Public Library of Science","page":"e1000511","source":"PLoS Journals","title":"Structure and Inhibition of the SARS Coronavirus Envelope Protein Ion Channel","volume":"5","author":[{"family":"Pervushin","given":"Konstantin"},{"family":"Tan","given":"Edward"},{"family":"Parthasarathy","given":"Krupakar"},{"family":"Lin","given":"Xin"},{"family":"Jiang","given":"Feng Li"},{"family":"Yu","given":"Dejie"},{"family":"Vararattanavech","given":"Ardcharaporn"},{"family":"Soong","given":"Tuck Wah"},{"family":"Liu","given":"Ding Xiang"},{"family":"Torres","given":"Jaume"}],"issued":{"date-parts":[["2009",7,10]]}}},{"id":37,"uris":["http://zotero.org/users/6503767/items/4YAGU9PK"],"itemData":{"id":37,"type":"article-journal","abstract":"The first steps of human coronavirus NL63 (HCoV-NL63) infection were previously described. The virus binds to target cells by use of heparan sulfate proteoglycans and interacts with the ACE2 protein. Subsequent events, including virus internalization and trafficking, remain to be elucidated. In this study, we mapped the process of HCoV-NL63 entry into the LLC-Mk2 cell line and ex vivo three-dimensional (3D) tracheobronchial tissue. Using a variety of techniques, we have shown that HCoV-NL63 virions require endocytosis for successful entry into the LLC-MK2 cells, and interaction between the virus and the ACE2 molecule triggers recruitment of clathrin. Subsequent vesicle scission by dynamin results in virus internalization, and the newly formed vesicle passes the actin cortex, which requires active cytoskeleton rearrangement. Finally, acidification of the endosomal microenvironment is required for successful fusion and release of the viral genome into the cytoplasm. For 3D tracheobronchial tissue cultures, we also observed that the virus enters the cell by clathrin-mediated endocytosis, but we obtained results suggesting that this pathway may be bypassed.\nIMPORTANCE Available data on coronavirus entry frequently originate from studies employing immortalized cell lines or undifferentiated cells. Here, using the most advanced 3D tissue culture system mimicking the epithelium of conductive airways, we systematically mapped HCoV-NL63 entry into susceptible cells. The data obtained allow for a better understanding of the infection process and may support development of novel treatment strategies.","container-title":"Journal of Virology","DOI":"10.1128/JVI.01933-17","ISSN":"0022-538X, 1098-5514","issue":"3","language":"en","note":"publisher: American Society for Microbiology Journals\nsection: Virus-Cell Interactions\nPMID: 29142129","source":"jvi.asm.org","title":"Entry of Human Coronavirus NL63 into the Cell","URL":"https://jvi.asm.org/content/92/3/e01933-17","volume":"92","author":[{"family":"Milewska","given":"Aleksandra"},{"family":"Nowak","given":"Paulina"},{"family":"Owczarek","given":"Katarzyna"},{"family":"Szczepanski","given":"Artur"},{"family":"Zarebski","given":"Miroslaw"},{"family":"Hoang","given":"Agnieszka"},{"family":"Berniak","given":"Krzysztof"},{"family":"Wojarski","given":"Jacek"},{"family":"Zeglen","given":"Slawomir"},{"family":"Baster","given":"Zbigniew"},{"family":"Rajfur","given":"Zenon"},{"family":"Pyrc","given":"Krzysztof"}],"accessed":{"date-parts":[["2020",4,4]]},"issued":{"date-parts":[["2018",2,1]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52,53</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but it is remarkably similar in structure to our naphthyl-sulfonamide compounds </w:t>
      </w:r>
      <w:r w:rsidRPr="0044257B">
        <w:rPr>
          <w:rFonts w:eastAsia="Times New Roman" w:cs="Times New Roman"/>
          <w:b/>
          <w:bCs/>
          <w:color w:val="000000"/>
          <w:szCs w:val="24"/>
        </w:rPr>
        <w:t>4.22</w:t>
      </w:r>
      <w:r w:rsidRPr="0044257B">
        <w:rPr>
          <w:rFonts w:eastAsia="Times New Roman" w:cs="Times New Roman"/>
          <w:color w:val="000000"/>
          <w:szCs w:val="24"/>
        </w:rPr>
        <w:t xml:space="preserve"> – </w:t>
      </w:r>
      <w:r w:rsidRPr="0044257B">
        <w:rPr>
          <w:rFonts w:eastAsia="Times New Roman" w:cs="Times New Roman"/>
          <w:b/>
          <w:bCs/>
          <w:color w:val="000000"/>
          <w:szCs w:val="24"/>
        </w:rPr>
        <w:t>4.24</w:t>
      </w:r>
      <w:r w:rsidRPr="0044257B">
        <w:rPr>
          <w:rFonts w:eastAsia="Times New Roman" w:cs="Times New Roman"/>
          <w:color w:val="000000"/>
          <w:szCs w:val="24"/>
        </w:rPr>
        <w:t>. Finally, linezolid (</w:t>
      </w:r>
      <w:r w:rsidRPr="0044257B">
        <w:rPr>
          <w:rFonts w:eastAsia="Times New Roman" w:cs="Times New Roman"/>
          <w:b/>
          <w:bCs/>
          <w:color w:val="000000"/>
          <w:szCs w:val="24"/>
        </w:rPr>
        <w:t>4.19</w:t>
      </w:r>
      <w:r w:rsidRPr="0044257B">
        <w:rPr>
          <w:rFonts w:eastAsia="Times New Roman" w:cs="Times New Roman"/>
          <w:color w:val="000000"/>
          <w:szCs w:val="24"/>
        </w:rPr>
        <w:t>), an oxazolidinone antimicrobial</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{"citationID":"kjh5MrWQ","properties":{"formattedCitation":"\\super 54\\nosupersub{}","plainCitation":"54","noteIndex":0},"citationItems":[{"id":901,"uris":["http://zotero.org/users/6503767/items/PV8GW9TT"],"itemData":{"id":901,"type":"article-journal","abstract":"Oxazolidinones are a class of synthetic antimicrobial agents with potent activity against a wide range of multidrug-resistant Gram-positive pathogens including methicillin-resistant Staphylococcus aureus and vancomycin-resistant enterococci. Oxazolidinones exhibit their antibacterial effects by inhibiting protein synthesis acting on the ribosomal 50S subunit of the bacteria and thus preventing formation of a functional 70S initiation complex. Currently, two oxazolidinones have been approved by the US Food and Drug Administration: linezolid and more recently tedizolid. Other oxazolidinones are currently under investigation in clinical trials. These antimicrobial agents exhibit a favourable pharmacokinetic profile with an excellent bioavailability and a good tissue and organ penetration. In-vitro susceptibility studies have shown that oxazolidinones are bacteriostatic against enterococci and staphylococci, and bactericidal for the majority of strains of streptococci. In the context of emergence of resistance to glycopeptides, oxazolidinones have become an effective alternative to vancomycin treatment frequently associated with nephrotoxicity. However, oxazolidinones, and linezolid in particular, are associated with significant adverse events, myelosuppression representing the main unfavourable side effect. More recently, tedizolid has been shown to effectively treat acute bacterial skin and skin structure infections. This newer oxazolidinone offers the advantages of once-daily dosing and a better safety profile in healthy volunteer studies (fewer gastrointestinal and haematological side effects). The potential use of tedizolid for other infections that could require longer therapy warrants further studies for positioning this new oxazolidinone in the available antimicrobial armamentarium. Moreover, other oxazolidinones are currently under active investigation.","container-title":"Clinical Pharmacokinetics","DOI":"10.1007/s40262-017-0601-x","ISSN":"1179-1926","issue":"5","journalAbbreviation":"Clin Pharmacokinet","language":"en","page":"559-575","source":"Springer Link","title":"Clinical Pharmacokinetics and Pharmacodynamics of Oxazolidinones","volume":"57","author":[{"family":"Roger","given":"Claire"},{"family":"Roberts","given":"Jason A."},{"family":"Muller","given":"Laurent"}],"issued":{"date-parts":[["2018",5,1]]}}}],"schema":"https://github.com/citation-style-language/schema/raw/master/csl-citation.json"}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54</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that generally inhibits protein synthesis,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{"citationID":"XB7vM1Se","properties":{"formattedCitation":"\\super 55\\nosupersub{}","plainCitation":"55","noteIndex":0},"citationItems":[{"id":905,"uris":["http://zotero.org/users/6503767/items/J82CCGMI"],"itemData":{"id":905,"type":"article-journal","abstract":"ABSTRACT\n            \n              The oxazolidinones represent a new class of antimicrobial agents which are active against multidrug-resistant staphylococci, streptococci, and enterococci. Previous studies have demonstrated that oxazolidinones inhibit bacterial translation in vitro at a step preceding elongation but after the charging of\n              N\n              -formylmethionine to the initiator tRNA molecule. The event that occurs between these two steps is termed initiation. Initiation of protein synthesis requires the simultaneous presence of\n              N\n              -formylmethionine-tRNA, the 30S ribosomal subunit, mRNA, GTP, and the initiation factors IF1, IF2, and IF3. An initiation complex assay measuring the binding of [\n              3\n              H]\n              N\n              -formylmethionyl-tRNA to ribosomes in response to mRNA binding was used in order to investigate the mechanism of oxazolidinone action. Linezolid inhibited initiation complex formation with either the 30S or the 70S ribosomal subunits from\n              Escherichia coli\n              . In addition, complex formation with\n              Staphylococcus aureus\n              70S tight-couple ribosomes was inhibited by linezolid. Linezolid did not inhibit the independent binding of either mRNA or\n              N\n              -formylmethionyl-tRNA to\n              E. coli\n              30S ribosomal subunits, nor did it prevent the formation of the IF2–\n              N\n              -formylmethionyl-tRNA binary complex. The results demonstrate that oxazolidinones inhibit the formation of the initiation complex in bacterial translation systems by preventing formation of the\n              N\n              -formylmethionyl-tRNA–ribosome–mRNA ternary complex.","container-title":"Antimicrobial Agents and Chemotherapy","DOI":"10.1128/AAC.42.12.3251","ISSN":"0066-4804, 1098-6596","issue":"12","journalAbbreviation":"Antimicrob Agents Chemother","language":"en","page":"3251-3255","source":"DOI.org (Crossref)","title":"The Oxazolidinone Linezolid Inhibits Initiation of Protein Synthesis in Bacteria","volume":"42","author":[{"family":"Swaney","given":"Steve M."},{"family":"Aoki","given":"Hiroyuki"},{"family":"Ganoza","given":"M. Clelia"},{"family":"Shinabarger","given":"Dean L."}],"issued":{"date-parts":[["1998",12]]}}}],"schema":"https://github.com/citation-style-language/schema/raw/master/csl-citation.json"}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55</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was recently found to effectively treat pneumonia symptoms in COVID-19 </w:t>
      </w:r>
      <w:r w:rsidRPr="0044257B">
        <w:rPr>
          <w:rFonts w:eastAsia="Times New Roman" w:cs="Times New Roman"/>
          <w:color w:val="000000"/>
          <w:szCs w:val="24"/>
        </w:rPr>
        <w:lastRenderedPageBreak/>
        <w:t>patients.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{"citationID":"H3uKphZm","properties":{"formattedCitation":"\\super 56\\nosupersub{}","plainCitation":"56","noteIndex":0},"citationItems":[{"id":895,"uris":["http://zotero.org/users/6503767/items/Z6K6N7JN"],"itemData":{"id":895,"type":"article-journal","container-title":"Brazilian Journal of Anesthesiology (Elsevier)","DOI":"10.1016/j.bjane.2020.12.019","ISSN":"0104-0014","issue":"2","journalAbbreviation":"Braz J Anesthesiol","note":"PMID: 33619414\nPMCID: PMC7890344","page":"198","source":"PubMed Central","title":"Linezolid a potential treatment for COVID-19 coinfections","volume":"71","author":[{"family":"Moghadam","given":"Vahid Damanpak"},{"family":"Momenimovahed","given":"Zohre"},{"family":"Ghorbani","given":"Maryam"},{"family":"Khodadadi","given":"Javad"}],"issued":{"date-parts":[["2021"]]}}}],"schema":"https://github.com/citation-style-language/schema/raw/master/csl-citation.json"}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56</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Our lab has recently developed a number of oxazolidinone analogs, thus motivating us to include compounds </w:t>
      </w:r>
      <w:r w:rsidRPr="0044257B">
        <w:rPr>
          <w:rFonts w:eastAsia="Times New Roman" w:cs="Times New Roman"/>
          <w:b/>
          <w:bCs/>
          <w:color w:val="000000"/>
          <w:szCs w:val="24"/>
        </w:rPr>
        <w:t>4.25</w:t>
      </w:r>
      <w:r w:rsidRPr="0044257B">
        <w:rPr>
          <w:rFonts w:eastAsia="Times New Roman" w:cs="Times New Roman"/>
          <w:color w:val="000000"/>
          <w:szCs w:val="24"/>
        </w:rPr>
        <w:t xml:space="preserve"> – </w:t>
      </w:r>
      <w:r w:rsidRPr="0044257B">
        <w:rPr>
          <w:rFonts w:eastAsia="Times New Roman" w:cs="Times New Roman"/>
          <w:b/>
          <w:bCs/>
          <w:color w:val="000000"/>
          <w:szCs w:val="24"/>
        </w:rPr>
        <w:t>4.32</w:t>
      </w:r>
      <w:r w:rsidRPr="0044257B">
        <w:rPr>
          <w:rFonts w:eastAsia="Times New Roman" w:cs="Times New Roman"/>
          <w:color w:val="000000"/>
          <w:szCs w:val="24"/>
        </w:rPr>
        <w:t xml:space="preserve"> in our viral replication inhibition evaluation (</w:t>
      </w:r>
      <w:r w:rsidRPr="0044257B">
        <w:rPr>
          <w:rFonts w:eastAsia="Times New Roman" w:cs="Times New Roman"/>
          <w:b/>
          <w:bCs/>
          <w:color w:val="000000"/>
          <w:szCs w:val="24"/>
        </w:rPr>
        <w:fldChar w:fldCharType="begin"/>
      </w:r>
      <w:r w:rsidRPr="0044257B">
        <w:rPr>
          <w:rFonts w:eastAsia="Times New Roman" w:cs="Times New Roman"/>
          <w:b/>
          <w:bCs/>
          <w:color w:val="000000"/>
          <w:szCs w:val="24"/>
        </w:rPr>
        <w:instrText xml:space="preserve"> REF _Ref100281587 \h  \* MERGEFORMAT </w:instrText>
      </w:r>
      <w:r w:rsidRPr="0044257B">
        <w:rPr>
          <w:rFonts w:eastAsia="Times New Roman" w:cs="Times New Roman"/>
          <w:b/>
          <w:bCs/>
          <w:color w:val="000000"/>
          <w:szCs w:val="24"/>
        </w:rPr>
      </w:r>
      <w:r w:rsidRPr="0044257B">
        <w:rPr>
          <w:rFonts w:eastAsia="Times New Roman" w:cs="Times New Roman"/>
          <w:b/>
          <w:bCs/>
          <w:color w:val="000000"/>
          <w:szCs w:val="24"/>
        </w:rPr>
        <w:fldChar w:fldCharType="separate"/>
      </w:r>
      <w:r w:rsidR="00AA5AAC" w:rsidRPr="00AA5AAC">
        <w:rPr>
          <w:b/>
          <w:bCs/>
        </w:rPr>
        <w:t>Figure 4.5</w:t>
      </w:r>
      <w:r w:rsidRPr="0044257B">
        <w:rPr>
          <w:rFonts w:eastAsia="Times New Roman" w:cs="Times New Roman"/>
          <w:b/>
          <w:bCs/>
          <w:color w:val="000000"/>
          <w:szCs w:val="24"/>
        </w:rPr>
        <w:fldChar w:fldCharType="end"/>
      </w:r>
      <w:r w:rsidRPr="0044257B">
        <w:rPr>
          <w:rFonts w:eastAsia="Times New Roman" w:cs="Times New Roman"/>
          <w:b/>
          <w:bCs/>
          <w:color w:val="000000"/>
          <w:szCs w:val="24"/>
        </w:rPr>
        <w:t>B</w:t>
      </w:r>
      <w:r w:rsidRPr="0044257B">
        <w:rPr>
          <w:rFonts w:eastAsia="Times New Roman" w:cs="Times New Roman"/>
          <w:color w:val="000000"/>
          <w:szCs w:val="24"/>
        </w:rPr>
        <w:t>).</w:t>
      </w:r>
    </w:p>
    <w:p w14:paraId="49190527" w14:textId="359FB080" w:rsidR="0044257B" w:rsidRPr="0044257B" w:rsidRDefault="0044257B" w:rsidP="0044257B">
      <w:r w:rsidRPr="0044257B">
        <w:rPr>
          <w:rFonts w:eastAsia="Times New Roman" w:cs="Times New Roman"/>
          <w:color w:val="000000"/>
          <w:szCs w:val="24"/>
        </w:rPr>
        <w:tab/>
      </w:r>
      <w:r w:rsidRPr="0044257B">
        <w:t>Overall, we planned to screen our ~300 compound library for replication inhibition activity of SARS-CoV-2. To start, 25 compounds (</w:t>
      </w:r>
      <w:r w:rsidRPr="0044257B">
        <w:rPr>
          <w:b/>
          <w:bCs/>
        </w:rPr>
        <w:t>4.20</w:t>
      </w:r>
      <w:r w:rsidRPr="0044257B">
        <w:t xml:space="preserve"> – </w:t>
      </w:r>
      <w:r w:rsidRPr="0044257B">
        <w:rPr>
          <w:b/>
          <w:bCs/>
        </w:rPr>
        <w:t>4.44</w:t>
      </w:r>
      <w:r w:rsidRPr="0044257B">
        <w:t xml:space="preserve">) were sent to Dr. John </w:t>
      </w:r>
      <w:proofErr w:type="spellStart"/>
      <w:r w:rsidRPr="0044257B">
        <w:t>Teijaro</w:t>
      </w:r>
      <w:proofErr w:type="spellEnd"/>
      <w:r w:rsidRPr="0044257B">
        <w:t xml:space="preserve"> at the Scripps Research Institute (TSRI) for evaluation in an established phenotypic cellular assay.</w:t>
      </w:r>
      <w:r w:rsidRPr="0044257B">
        <w:fldChar w:fldCharType="begin"/>
      </w:r>
      <w:r w:rsidRPr="0044257B">
        <w:instrText xml:space="preserve"> ADDIN ZOTERO_ITEM CSL_CITATION {"citationID":"V6HzIXgY","properties":{"formattedCitation":"\\super 57\\nosupersub{}","plainCitation":"57","noteIndex":0},"citationItems":[{"id":944,"uris":["http://zotero.org/users/6503767/items/K4PW7AV4"],"itemData":{"id":944,"type":"article-journal","abstract":"Here, the authors perform repurposing screens of the ReFRAME drug library in two cell lines and identify inhibitors of SARS-CoV-2 infection. Antiviral activity of prodrug MK-4482 is confirmed in hamsters.","container-title":"Nature Communications","DOI":"10.1038/s41467-021-23328-0","ISSN":"2041-1723","issue":"1","journalAbbreviation":"Nat Commun","language":"en","note":"number: 1\npublisher: Nature Publishing Group","page":"1-14","source":"www-nature-com.ezproxy.lib.ou.edu","title":"Drug repurposing screens identify chemical entities for the development of COVID-19 interventions","volume":"12","author":[{"family":"Bakowski","given":"Malina A."},{"family":"Beutler","given":"Nathan"},{"family":"Wolff","given":"Karen C."},{"family":"Kirkpatrick","given":"Melanie G."},{"family":"Chen","given":"Emily"},{"family":"Nguyen","given":"Tu-Trinh H."},{"family":"Riva","given":"Laura"},{"family":"Shaabani","given":"Namir"},{"family":"Parren","given":"Mara"},{"family":"Ricketts","given":"James"},{"family":"Gupta","given":"Anil K."},{"family":"Pan","given":"Kastin"},{"family":"Kuo","given":"Peiting"},{"family":"Fuller","given":"MacKenzie"},{"family":"Garcia","given":"Elijah"},{"family":"Teijaro","given":"John R."},{"family":"Yang","given":"Linlin"},{"family":"Sahoo","given":"Debashis"},{"family":"Chi","given":"Victor"},{"family":"Huang","given":"Edward"},{"family":"Vargas","given":"Natalia"},{"family":"Roberts","given":"Amanda J."},{"family":"Das","given":"Soumita"},{"family":"Ghosh","given":"Pradipta"},{"family":"Woods","given":"Ashley K."},{"family":"Joseph","given":"Sean B."},{"family":"Hull","given":"Mitchell V."},{"family":"Schultz","given":"Peter G."},{"family":"Burton","given":"Dennis R."},{"family":"Chatterjee","given":"Arnab K."},{"family":"McNamara","given":"Case W."},{"family":"Rogers","given":"Thomas F."}],"issued":{"date-parts":[["2021",6,3]]}}}],"schema":"https://github.com/citation-style-language/schema/raw/master/csl-citation.json"} </w:instrText>
      </w:r>
      <w:r w:rsidRPr="0044257B">
        <w:fldChar w:fldCharType="separate"/>
      </w:r>
      <w:r w:rsidRPr="0044257B">
        <w:rPr>
          <w:rFonts w:cs="Times New Roman"/>
          <w:szCs w:val="24"/>
          <w:vertAlign w:val="superscript"/>
        </w:rPr>
        <w:t>57</w:t>
      </w:r>
      <w:r w:rsidRPr="0044257B">
        <w:fldChar w:fldCharType="end"/>
      </w:r>
      <w:r w:rsidRPr="0044257B">
        <w:t xml:space="preserve"> In this assay, VeroE6 cells were plated in 384-well plates at a concentration of 5000 cells per well. Compounds (initial concentration of 1 </w:t>
      </w:r>
      <w:proofErr w:type="spellStart"/>
      <w:r w:rsidRPr="0044257B">
        <w:rPr>
          <w:rFonts w:ascii="Calibri" w:hAnsi="Calibri" w:cs="Calibri"/>
        </w:rPr>
        <w:t>μ</w:t>
      </w:r>
      <w:r w:rsidRPr="0044257B">
        <w:t>M</w:t>
      </w:r>
      <w:proofErr w:type="spellEnd"/>
      <w:r w:rsidRPr="0044257B">
        <w:t>) were added to the wells concomitantly with SARS-CoV-2. The virus, isolated from a patient’s sputum in San Diego, California, was added to the wells at a multiplicity of infection (MOI) of 0.1. Over the course of 3 days, morphological changes in cells were monitored daily to determine viral cytopathic effect (CPE). On day 3, CPE was quantified by microscopy and cell titer glo viability staining. Remdesivir and hydroxychloroquine were used as controls because of their reported anti-coronavirus activity.</w:t>
      </w:r>
      <w:r w:rsidRPr="0044257B">
        <w:fldChar w:fldCharType="begin"/>
      </w:r>
      <w:r w:rsidRPr="0044257B">
        <w:instrText xml:space="preserve"> ADDIN ZOTERO_ITEM CSL_CITATION {"citationID":"szaQaGSc","properties":{"formattedCitation":"\\super 58,59\\nosupersub{}","plainCitation":"58,59","noteIndex":0},"citationItems":[{"id":937,"uris":["http://zotero.org/users/6503767/items/I4UEJBDN"],"itemData":{"id":937,"type":"article-journal","container-title":"New England Journal of Medicine","DOI":"10.1056/NEJMoa2007764","ISSN":"0028-4793","issue":"19","note":"publisher: Massachusetts Medical Society\n_eprint: https://doi.org/10.1056/NEJMoa2007764","page":"1813-1826","source":"Taylor and Francis+NEJM","title":"Remdesivir for the Treatment of Covid-19 — Final Report","volume":"383","author":[{"family":"Beigel","given":"John H."},{"family":"Tomashek","given":"Kay M."},{"family":"Dodd","given":"Lori E."},{"family":"Mehta","given":"Aneesh K."},{"family":"Zingman","given":"Barry S."},{"family":"Kalil","given":"Andre C."},{"family":"Hohmann","given":"Elizabeth"},{"family":"Chu","given":"Helen Y."},{"family":"Luetkemeyer","given":"Annie"},{"family":"Kline","given":"Susan"},{"family":"Lopez de Castilla","given":"Diego"},{"family":"Finberg","given":"Robert W."},{"family":"Dierberg","given":"Kerry"},{"family":"Tapson","given":"Victor"},{"family":"Hsieh","given":"Lanny"},{"family":"Patterson","given":"Thomas F."},{"family":"Paredes","given":"Roger"},{"family":"Sweeney","given":"Daniel A."},{"family":"Short","given":"William R."},{"family":"Touloumi","given":"Giota"},{"family":"Lye","given":"David Chien"},{"family":"Ohmagari","given":"Norio"},{"family":"Oh","given":"Myoung-don"},{"family":"Ruiz-Palacios","given":"Guillermo M."},{"family":"Benfield","given":"Thomas"},{"family":"Fätkenheuer","given":"Gerd"},{"family":"Kortepeter","given":"Mark G."},{"family":"Atmar","given":"Robert L."},{"family":"Creech","given":"C. Buddy"},{"family":"Lundgren","given":"Jens"},{"family":"Babiker","given":"Abdel G."},{"family":"Pett","given":"Sarah"},{"family":"Neaton","given":"James D."},{"family":"Burgess","given":"Timothy H."},{"family":"Bonnett","given":"Tyler"},{"family":"Green","given":"Michelle"},{"family":"Makowski","given":"Mat"},{"family":"Osinusi","given":"Anu"},{"family":"Nayak","given":"Seema"},{"family":"Lane","given":"H. Clifford"}],"issued":{"date-parts":[["2020",11,5]]}}},{"id":940,"uris":["http://zotero.org/users/6503767/items/DQTUE4KJ"],"itemData":{"id":940,"type":"article-journal","abstract":"Hydroxychloroquine and chloroquine are medications that have been used for a long time. Their most common use is for the treatment and prophylaxis of malaria. However, these antimalarial drugs are known to also have anti-inflammatory and antiviral effects and are used for several chronic diseases such as systemic lupus erythematosus with low adverse effects. The antiviral action of hydroxychloroquine and chloroquine has been a point of interest to different researchers due to its mechanism of action. Several in vitro studies have proven their effectiveness on severe acute respiratory syndrome virus and currently both in vitro and in vivo studies have been conducted on 2019 novel coronavirus (covid-19). The purpose of this article is to review the history and mechanism of actions of these drugs and the potential use they can have on the current covid-19 pandemic.","container-title":"Postgraduate Medical Journal","DOI":"10.1136/postgradmedj-2020-137785","ISSN":"0032-5473, 1469-0756","issue":"1139","language":"en","note":"publisher: The Fellowship of Postgraduate Medicine\nsection: Review\nPMID: 32295814","page":"550-555","source":"pmj.bmj.com","title":"Hydroxychloroquine and COVID-19","volume":"96","author":[{"family":"Sinha","given":"Neeraj"},{"family":"Balayla","given":"Galit"}],"issued":{"date-parts":[["2020",9,1]]}}}],"schema":"https://github.com/citation-style-language/schema/raw/master/csl-citation.json"} </w:instrText>
      </w:r>
      <w:r w:rsidRPr="0044257B">
        <w:fldChar w:fldCharType="separate"/>
      </w:r>
      <w:r w:rsidRPr="0044257B">
        <w:rPr>
          <w:rFonts w:cs="Times New Roman"/>
          <w:szCs w:val="24"/>
          <w:vertAlign w:val="superscript"/>
        </w:rPr>
        <w:t>58,59</w:t>
      </w:r>
      <w:r w:rsidRPr="0044257B">
        <w:fldChar w:fldCharType="end"/>
      </w:r>
      <w:r w:rsidRPr="0044257B">
        <w:t xml:space="preserve"> We intended to follow up compounds which were identified to prevent CPE with plaque-forming assays to quantify viral loads, perform pharmacokinetic analyses, and more sophisticated </w:t>
      </w:r>
      <w:r w:rsidRPr="0044257B">
        <w:rPr>
          <w:i/>
          <w:iCs/>
        </w:rPr>
        <w:t>in vitro</w:t>
      </w:r>
      <w:r w:rsidRPr="0044257B">
        <w:t xml:space="preserve"> and </w:t>
      </w:r>
      <w:r w:rsidRPr="0044257B">
        <w:rPr>
          <w:i/>
          <w:iCs/>
        </w:rPr>
        <w:t>in vivo</w:t>
      </w:r>
      <w:r w:rsidRPr="0044257B">
        <w:t xml:space="preserve"> animal models.</w:t>
      </w:r>
      <w:r w:rsidRPr="0044257B">
        <w:fldChar w:fldCharType="begin"/>
      </w:r>
      <w:r w:rsidRPr="0044257B">
        <w:instrText xml:space="preserve"> ADDIN ZOTERO_ITEM CSL_CITATION {"citationID":"QWzSTLNf","properties":{"formattedCitation":"\\super 60\\nosupersub{}","plainCitation":"60","noteIndex":0},"citationItems":[{"id":954,"uris":["http://zotero.org/users/6503767/items/9IFJW4DI"],"itemData":{"id":954,"type":"article-journal","abstract":"Passive transfer of a neutralizing antibody provides protection against disease in high-dose SARS-CoV-2 challenge in Syrian hamsters.","container-title":"Science","language":"en","source":"www-science-org.ezproxy.lib.ou.edu","title":"Isolation of potent SARS-CoV-2 neutralizing antibodies and protection from disease in a small animal model","URL":"http://www.science.org/doi/full/10.1126/science.abc7520","accessed":{"date-parts":[["2022",4,10]]}}}],"schema":"https://github.com/citation-style-language/schema/raw/master/csl-citation.json"} </w:instrText>
      </w:r>
      <w:r w:rsidRPr="0044257B">
        <w:fldChar w:fldCharType="separate"/>
      </w:r>
      <w:r w:rsidRPr="0044257B">
        <w:rPr>
          <w:rFonts w:cs="Times New Roman"/>
          <w:szCs w:val="24"/>
          <w:vertAlign w:val="superscript"/>
        </w:rPr>
        <w:t>60</w:t>
      </w:r>
      <w:r w:rsidRPr="0044257B">
        <w:fldChar w:fldCharType="end"/>
      </w:r>
      <w:r w:rsidRPr="0044257B">
        <w:t xml:space="preserve"> Unfortunately, all of our submitted compounds were found to be inactive</w:t>
      </w:r>
      <w:r w:rsidR="00621259">
        <w:t xml:space="preserve">. This, along with the </w:t>
      </w:r>
      <w:r w:rsidR="003C18C3">
        <w:t xml:space="preserve">deprioritizing of our project by Scripps due to the </w:t>
      </w:r>
      <w:r w:rsidR="00621259">
        <w:t xml:space="preserve">overwhelming demand on </w:t>
      </w:r>
      <w:r w:rsidR="003C18C3">
        <w:t xml:space="preserve">their </w:t>
      </w:r>
      <w:r w:rsidR="00621259">
        <w:t>facilities</w:t>
      </w:r>
      <w:r w:rsidR="003C18C3">
        <w:t xml:space="preserve">, </w:t>
      </w:r>
      <w:r w:rsidR="00365E54">
        <w:t>prevented</w:t>
      </w:r>
      <w:r w:rsidR="003C18C3">
        <w:t xml:space="preserve"> </w:t>
      </w:r>
      <w:r w:rsidRPr="0044257B">
        <w:t xml:space="preserve">further </w:t>
      </w:r>
      <w:r w:rsidR="00365E54">
        <w:t xml:space="preserve">screening of our library. </w:t>
      </w:r>
    </w:p>
    <w:p w14:paraId="5FE792F7" w14:textId="77777777" w:rsidR="0044257B" w:rsidRPr="0044257B" w:rsidRDefault="0044257B" w:rsidP="00595321">
      <w:pPr>
        <w:pStyle w:val="Subsection"/>
      </w:pPr>
      <w:bookmarkStart w:id="508" w:name="_Toc100241935"/>
      <w:bookmarkStart w:id="509" w:name="_Toc102586299"/>
      <w:r w:rsidRPr="0044257B">
        <w:t xml:space="preserve">4.2.2 Structure and function of </w:t>
      </w:r>
      <w:proofErr w:type="spellStart"/>
      <w:r w:rsidRPr="0044257B">
        <w:t>M</w:t>
      </w:r>
      <w:r w:rsidRPr="0044257B">
        <w:rPr>
          <w:vertAlign w:val="superscript"/>
        </w:rPr>
        <w:t>pro</w:t>
      </w:r>
      <w:proofErr w:type="spellEnd"/>
      <w:r w:rsidRPr="0044257B">
        <w:t xml:space="preserve"> provides insights for the rational design of </w:t>
      </w:r>
      <w:proofErr w:type="spellStart"/>
      <w:r w:rsidRPr="0044257B">
        <w:t>M</w:t>
      </w:r>
      <w:r w:rsidRPr="0044257B">
        <w:rPr>
          <w:vertAlign w:val="superscript"/>
        </w:rPr>
        <w:t>pro</w:t>
      </w:r>
      <w:proofErr w:type="spellEnd"/>
      <w:r w:rsidRPr="0044257B">
        <w:t xml:space="preserve"> inhibitors.</w:t>
      </w:r>
      <w:bookmarkEnd w:id="508"/>
      <w:bookmarkEnd w:id="509"/>
    </w:p>
    <w:p w14:paraId="51FDF9DA" w14:textId="38A36228" w:rsidR="0044257B" w:rsidRPr="0044257B" w:rsidRDefault="0044257B" w:rsidP="00DF51F5">
      <w:pPr>
        <w:spacing w:after="0"/>
        <w:rPr>
          <w:rFonts w:eastAsia="Times New Roman" w:cs="Times New Roman"/>
          <w:color w:val="000000"/>
          <w:szCs w:val="24"/>
        </w:rPr>
      </w:pPr>
      <w:r w:rsidRPr="0044257B">
        <w:tab/>
      </w:r>
      <w:r w:rsidRPr="0044257B">
        <w:rPr>
          <w:rFonts w:eastAsia="Times New Roman" w:cs="Times New Roman"/>
          <w:color w:val="000000"/>
          <w:szCs w:val="24"/>
        </w:rPr>
        <w:t xml:space="preserve">Since the coronavirus </w:t>
      </w:r>
      <w:proofErr w:type="spellStart"/>
      <w:r w:rsidRPr="0044257B">
        <w:rPr>
          <w:rFonts w:eastAsia="Times New Roman" w:cs="Times New Roman"/>
          <w:color w:val="000000"/>
          <w:szCs w:val="24"/>
        </w:rPr>
        <w:t>PL</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is involved in regulation of host interferon and nuclear factor </w:t>
      </w:r>
      <w:proofErr w:type="spellStart"/>
      <w:r w:rsidRPr="0044257B">
        <w:rPr>
          <w:rFonts w:eastAsia="Times New Roman" w:cs="Times New Roman"/>
          <w:color w:val="000000"/>
          <w:szCs w:val="24"/>
        </w:rPr>
        <w:t>κB</w:t>
      </w:r>
      <w:proofErr w:type="spellEnd"/>
      <w:r w:rsidRPr="0044257B">
        <w:rPr>
          <w:rFonts w:eastAsia="Times New Roman" w:cs="Times New Roman"/>
          <w:color w:val="000000"/>
          <w:szCs w:val="24"/>
        </w:rPr>
        <w:t xml:space="preserve"> (NF-</w:t>
      </w:r>
      <w:proofErr w:type="spellStart"/>
      <w:r w:rsidRPr="0044257B">
        <w:rPr>
          <w:rFonts w:eastAsia="Times New Roman" w:cs="Times New Roman"/>
          <w:color w:val="000000"/>
          <w:szCs w:val="24"/>
        </w:rPr>
        <w:t>κB</w:t>
      </w:r>
      <w:proofErr w:type="spellEnd"/>
      <w:r w:rsidRPr="0044257B">
        <w:rPr>
          <w:rFonts w:eastAsia="Times New Roman" w:cs="Times New Roman"/>
          <w:color w:val="000000"/>
          <w:szCs w:val="24"/>
        </w:rPr>
        <w:t>) pathways,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{"citationID":"wGS8ZMUI","properties":{"formattedCitation":"\\super 61\\nosupersub{}","plainCitation":"61","noteIndex":0},"citationItems":[{"id":861,"uris":["http://zotero.org/users/6503767/items/68GMTIDY"],"itemData":{"id":861,"type":"article-journal","abstract":"The papain-like protease PLpro is an essential coronavirus enzyme that is required for processing viral polyproteins to generate a functional replicase complex and enable viral spread1,2. PLpro is also implicated in cleaving proteinaceous post-translational modifications on host proteins as an evasion mechanism against host antiviral immune responses3–5. Here we perform biochemical, structural and functional characterization of the severe acute respiratory syndrome coronavirus 2 (SARS-CoV-2) PLpro (SCoV2-PLpro) and outline differences with SARS-CoV PLpro (SCoV-PLpro) in regulation of host interferon and NF-κB pathways. SCoV2-PLpro and SCoV-PLpro share 83% sequence identity but exhibit different host substrate preferences; SCoV2-PLpro preferentially cleaves the ubiquitin-like interferon-stimulated gene 15 protein (ISG15), whereas SCoV-PLpro predominantly targets ubiquitin chains. The crystal structure of SCoV2-PLpro in complex with ISG15 reveals distinctive interactions with the amino-terminal ubiquitin-like domain of ISG15, highlighting the high affinity and specificity of these interactions. Furthermore, upon infection, SCoV2-PLpro contributes to the cleavage of ISG15 from interferon responsive factor 3 (IRF3) and attenuates type I interferon responses. Notably, inhibition of SCoV2-PLpro with GRL-0617 impairs the virus-induced cytopathogenic effect, maintains the antiviral interferon pathway and reduces viral replication in infected cells. These results highlight a potential dual therapeutic strategy in which targeting of SCoV2-PLpro can suppress SARS-CoV-2 infection and promote antiviral immunity.","container-title":"Nature","DOI":"10.1038/s41586-020-2601-5","ISSN":"1476-4687","issue":"7835","language":"en","note":"number: 7835\npublisher: Nature Publishing Group","page":"657-662","source":"www-nature-com.ezproxy.lib.ou.edu","title":"Papain-like protease regulates SARS-CoV-2 viral spread and innate immunity","volume":"587","author":[{"family":"Shin","given":"Donghyuk"},{"family":"Mukherjee","given":"Rukmini"},{"family":"Grewe","given":"Diana"},{"family":"Bojkova","given":"Denisa"},{"family":"Baek","given":"Kheewoong"},{"family":"Bhattacharya","given":"Anshu"},{"family":"Schulz","given":"Laura"},{"family":"Widera","given":"Marek"},{"family":"Mehdipour","given":"Ahmad Reza"},{"family":"Tascher","given":"Georg"},{"family":"Geurink","given":"Paul P."},{"family":"Wilhelm","given":"Alexander"},{"family":"Heden van Noort","given":"Gerbrand J.","non-dropping-particle":"van der"},{"family":"Ovaa","given":"Huib"},{"family":"Müller","given":"Stefan"},{"family":"Knobeloch","given":"Klaus-Peter"},{"family":"Rajalingam","given":"Krishnaraj"},{"family":"Schulman","given":"Brenda A."},{"family":"Cinatl","given":"Jindrich"},{"family":"Hummer","given":"Gerhard"},{"family":"Ciesek","given":"Sandra"},{"family":"Dikic","given":"Ivan"}],"issued":{"date-parts":[["2020",11]]}}}],"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61</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and dysregulation of NF-kB can lead to inflammatory diseases and tumorigenesis,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{"citationID":"eRRU82Me","properties":{"formattedCitation":"\\super 62\\nosupersub{}","plainCitation":"62","noteIndex":0},"citationItems":[{"id":858,"uris":["http://zotero.org/users/6503767/items/6IMVIQN2"],"itemData":{"id":858,"type":"article-journal","abstract":"The nuclear factor κB (NF-κB) transcription factor regulates the expression of genes involved in cell survival and immune responses. We have identified a novel interferon (IFN)-activated signaling pathway that leads to NF-κB activation and demonstrate that a subset of IFN-stimulated genes and microRNAs that play key roles in cellular response to IFN is regulated by NF-κB. This review focuses on the IFN-induced NF-κB activation pathway and the role of NF-κB in the expression of IFN-induced coding and noncoding genes, antiviral activity and apoptosis, and the therapeutic application of IFN in cancer and infectious disease.","container-title":"Journal of Interferon &amp; Cytokine Research","DOI":"10.1089/jir.2011.0028","ISSN":"1079-9907","issue":"7","journalAbbreviation":"J Interferon Cytokine Res","note":"PMID: 21631354\nPMCID: PMC3128784","page":"553-559","source":"PubMed Central","title":"The Role of Nuclear Factor κB in the Interferon Response","volume":"31","author":[{"family":"Pfeffer","given":"Lawrence M."}],"issued":{"date-parts":[["2011",7]]}}}],"schema":"https://github.com/citation-style-language/schema/raw/master/csl-citation.json"}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62</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it is possible that </w:t>
      </w:r>
      <w:proofErr w:type="spellStart"/>
      <w:r w:rsidRPr="0044257B">
        <w:rPr>
          <w:rFonts w:eastAsia="Times New Roman" w:cs="Times New Roman"/>
          <w:color w:val="000000"/>
          <w:szCs w:val="24"/>
        </w:rPr>
        <w:t>PL</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inhibitors might lead to more off-target downstream (and potentially detrimental) effects. </w:t>
      </w:r>
      <w:r w:rsidR="007F2C07">
        <w:rPr>
          <w:rFonts w:eastAsia="Times New Roman" w:cs="Times New Roman"/>
          <w:color w:val="000000"/>
          <w:szCs w:val="24"/>
        </w:rPr>
        <w:t>W</w:t>
      </w:r>
      <w:r w:rsidRPr="0044257B">
        <w:rPr>
          <w:rFonts w:eastAsia="Times New Roman" w:cs="Times New Roman"/>
          <w:color w:val="000000"/>
          <w:szCs w:val="24"/>
        </w:rPr>
        <w:t xml:space="preserve">ith recent reports on the </w:t>
      </w:r>
      <w:r w:rsidR="007F2C07">
        <w:rPr>
          <w:rFonts w:eastAsia="Times New Roman" w:cs="Times New Roman"/>
          <w:color w:val="000000"/>
          <w:szCs w:val="24"/>
        </w:rPr>
        <w:t xml:space="preserve">positive </w:t>
      </w:r>
      <w:r w:rsidRPr="0044257B">
        <w:rPr>
          <w:rFonts w:eastAsia="Times New Roman" w:cs="Times New Roman"/>
          <w:color w:val="000000"/>
          <w:szCs w:val="24"/>
        </w:rPr>
        <w:t xml:space="preserve">safety profiles of </w:t>
      </w:r>
      <w:proofErr w:type="spellStart"/>
      <w:r w:rsidRPr="0044257B">
        <w:rPr>
          <w:rFonts w:eastAsia="Times New Roman" w:cs="Times New Roman"/>
          <w:color w:val="000000"/>
          <w:szCs w:val="24"/>
        </w:rPr>
        <w:t>M</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w:t>
      </w:r>
      <w:r w:rsidRPr="0044257B">
        <w:rPr>
          <w:rFonts w:eastAsia="Times New Roman" w:cs="Times New Roman"/>
          <w:color w:val="000000"/>
          <w:szCs w:val="24"/>
        </w:rPr>
        <w:lastRenderedPageBreak/>
        <w:t>inhibitors,</w:t>
      </w:r>
      <w:r w:rsidRPr="0044257B">
        <w:rPr>
          <w:rFonts w:eastAsia="Times New Roman" w:cs="Times New Roman"/>
          <w:color w:val="000000"/>
          <w:szCs w:val="24"/>
        </w:rPr>
        <w:fldChar w:fldCharType="begin"/>
      </w:r>
      <w:r w:rsidRPr="0044257B">
        <w:rPr>
          <w:rFonts w:eastAsia="Times New Roman" w:cs="Times New Roman"/>
          <w:color w:val="000000"/>
          <w:szCs w:val="24"/>
        </w:rPr>
        <w:instrText xml:space="preserve"> ADDIN ZOTERO_ITEM CSL_CITATION {"citationID":"M2GUxOvx","properties":{"formattedCitation":"\\super 63,64\\nosupersub{}","plainCitation":"63,64","noteIndex":0},"citationItems":[{"id":864,"uris":["http://zotero.org/users/6503767/items/AV9DAVEE"],"itemData":{"id":864,"type":"article-journal","abstract":"Coronaviruses cause diseases in humans and livestock. The SARS-CoV-2 is infecting millions of human beings, with high morbidity and mortality worldwide. The main protease (Mpro) of coronavirus plays a pivotal role in viral replication and transcription, which, in theory, is an attractive drug target for antiviral drug development. It has been extensively discussed whether Xanthohumol is able to help COVID-19 patients. Here, we report that Xanthohumol, a small molecule in clinical trials from hops (Humulus lupulus), was a potent pan-inhibitor for various coronaviruses by targeting Mpro, for example, betacoronavirus SARS-CoV-2 (IC50 value of 1.53 μM), and alphacoronavirus PEDV (IC50 value of 7.51 μM). Xanthohumol inhibited Mpro activities in the enzymatical assays, while pretreatment with Xanthohumol restricted the SARS-CoV-2 and PEDV replication in Vero-E6 cells. Therefore, Xanthohumol is a potent pan-inhibitor of coronaviruses and an excellent lead compound for further drug development.","container-title":"International Journal of Molecular Sciences","DOI":"10.3390/ijms222212134","ISSN":"1422-0067","issue":"22","language":"en","note":"number: 22\npublisher: Multidisciplinary Digital Publishing Institute","page":"12134","source":"www.mdpi.com","title":"Xanthohumol Is a Potent Pan-Inhibitor of Coronaviruses Targeting Main Protease","volume":"22","author":[{"family":"Lin","given":"Yuxi"},{"family":"Zang","given":"Ruochen"},{"family":"Ma","given":"Yanlong"},{"family":"Wang","given":"Zhuoya"},{"family":"Li","given":"Li"},{"family":"Ding","given":"Siyuan"},{"family":"Zhang","given":"Rong"},{"family":"Wei","given":"Zhiqiang"},{"family":"Yang","given":"Jinbo"},{"family":"Wang","given":"Xin"}],"issued":{"date-parts":[["2021",1]]}}},{"id":848,"uris":["http://zotero.org/users/6503767/items/DSTZ67RQ"],"itemData":{"id":848,"type":"article-journal","container-title":"Science","DOI":"10.1126/science.abl4784","issue":"6575","note":"publisher: American Association for the Advancement of Science","page":"1586-1593","source":"www-science-org.ezproxy.lib.ou.edu (Atypon)","title":"An oral SARS-CoV-2 Mpro inhibitor clinical candidate for the treatment of COVID-19","volume":"374","author":[{"family":"Owen","given":"Dafydd R."},{"family":"Allerton","given":"Charlotte M. N."},{"family":"Anderson","given":"Annaliesa S."},{"family":"Aschenbrenner","given":"Lisa"},{"family":"Avery","given":"Melissa"},{"family":"Berritt","given":"Simon"},{"family":"Boras","given":"Britton"},{"family":"Cardin","given":"Rhonda D."},{"family":"Carlo","given":"Anthony"},{"family":"Coffman","given":"Karen J."},{"family":"Dantonio","given":"Alyssa"},{"family":"Di","given":"Li"},{"family":"Eng","given":"Heather"},{"family":"Ferre","given":"RoseAnn"},{"family":"Gajiwala","given":"Ketan S."},{"family":"Gibson","given":"Scott A."},{"family":"Greasley","given":"Samantha E."},{"family":"Hurst","given":"Brett L."},{"family":"Kadar","given":"Eugene P."},{"family":"Kalgutkar","given":"Amit S."},{"family":"Lee","given":"Jack C."},{"family":"Lee","given":"Jisun"},{"family":"Liu","given":"Wei"},{"family":"Mason","given":"Stephen W."},{"family":"Noell","given":"Stephen"},{"family":"Novak","given":"Jonathan J."},{"family":"Obach","given":"R. Scott"},{"family":"Ogilvie","given":"Kevin"},{"family":"Patel","given":"Nandini C."},{"family":"Pettersson","given":"Martin"},{"family":"Rai","given":"Devendra K."},{"family":"Reese","given":"Matthew R."},{"family":"Sammons","given":"Matthew F."},{"family":"Sathish","given":"Jean G."},{"family":"Singh","given":"Ravi Shankar P."},{"family":"Steppan","given":"Claire M."},{"family":"Stewart","given":"Al E."},{"family":"Tuttle","given":"Jamison B."},{"family":"Updyke","given":"Lawrence"},{"family":"Verhoest","given":"Patrick R."},{"family":"Wei","given":"Liuqing"},{"family":"Yang","given":"Qingyi"},{"family":"Zhu","given":"Yuao"}],"issued":{"date-parts":[["2021",12,24]]}}}],"schema":"https://github.com/citation-style-language/schema/raw/master/csl-citation.json"} </w:instrText>
      </w:r>
      <w:r w:rsidRPr="0044257B">
        <w:rPr>
          <w:rFonts w:eastAsia="Times New Roman" w:cs="Times New Roman"/>
          <w:color w:val="000000"/>
          <w:szCs w:val="24"/>
        </w:rPr>
        <w:fldChar w:fldCharType="separate"/>
      </w:r>
      <w:r w:rsidRPr="0044257B">
        <w:rPr>
          <w:rFonts w:cs="Times New Roman"/>
          <w:szCs w:val="24"/>
          <w:vertAlign w:val="superscript"/>
        </w:rPr>
        <w:t>63,64</w:t>
      </w:r>
      <w:r w:rsidRPr="0044257B">
        <w:rPr>
          <w:rFonts w:eastAsia="Times New Roman" w:cs="Times New Roman"/>
          <w:color w:val="000000"/>
          <w:szCs w:val="24"/>
        </w:rPr>
        <w:fldChar w:fldCharType="end"/>
      </w:r>
      <w:r w:rsidRPr="0044257B">
        <w:rPr>
          <w:rFonts w:eastAsia="Times New Roman" w:cs="Times New Roman"/>
          <w:color w:val="000000"/>
          <w:szCs w:val="24"/>
        </w:rPr>
        <w:t xml:space="preserve"> we decided to focus our efforts on exploring the chemical space and structure-activity relationships (SAR) of </w:t>
      </w:r>
      <w:proofErr w:type="spellStart"/>
      <w:r w:rsidRPr="0044257B">
        <w:rPr>
          <w:rFonts w:eastAsia="Times New Roman" w:cs="Times New Roman"/>
          <w:color w:val="000000"/>
          <w:szCs w:val="24"/>
        </w:rPr>
        <w:t>M</w:t>
      </w:r>
      <w:r w:rsidRPr="0044257B">
        <w:rPr>
          <w:rFonts w:eastAsia="Times New Roman" w:cs="Times New Roman"/>
          <w:color w:val="000000"/>
          <w:szCs w:val="24"/>
          <w:vertAlign w:val="superscript"/>
        </w:rPr>
        <w:t>pro</w:t>
      </w:r>
      <w:proofErr w:type="spellEnd"/>
      <w:r w:rsidRPr="0044257B">
        <w:rPr>
          <w:rFonts w:eastAsia="Times New Roman" w:cs="Times New Roman"/>
          <w:color w:val="000000"/>
          <w:szCs w:val="24"/>
        </w:rPr>
        <w:t xml:space="preserve"> inhibitors.</w:t>
      </w:r>
    </w:p>
    <w:p w14:paraId="1766FE28" w14:textId="5141D46F" w:rsidR="0044257B" w:rsidRPr="0044257B" w:rsidRDefault="0044257B" w:rsidP="00DF51F5">
      <w:pPr>
        <w:spacing w:after="0"/>
        <w:ind w:firstLine="720"/>
      </w:pPr>
      <w:r w:rsidRPr="0044257B">
        <w:t xml:space="preserve">The </w:t>
      </w:r>
      <w:proofErr w:type="spellStart"/>
      <w:r w:rsidRPr="0044257B">
        <w:t>M</w:t>
      </w:r>
      <w:r w:rsidRPr="0044257B">
        <w:rPr>
          <w:vertAlign w:val="superscript"/>
        </w:rPr>
        <w:t>pro</w:t>
      </w:r>
      <w:proofErr w:type="spellEnd"/>
      <w:r w:rsidRPr="0044257B">
        <w:t xml:space="preserve"> protein from SARS-CoV-2 is formed by three domains: domain I, residues 10 – 99 (green, </w:t>
      </w:r>
      <w:r w:rsidRPr="0044257B">
        <w:rPr>
          <w:b/>
          <w:bCs/>
        </w:rPr>
        <w:fldChar w:fldCharType="begin"/>
      </w:r>
      <w:r w:rsidRPr="0044257B">
        <w:rPr>
          <w:b/>
          <w:bCs/>
        </w:rPr>
        <w:instrText xml:space="preserve"> REF _Ref100528641 \h  \* MERGEFORMAT </w:instrText>
      </w:r>
      <w:r w:rsidRPr="0044257B">
        <w:rPr>
          <w:b/>
          <w:bCs/>
        </w:rPr>
      </w:r>
      <w:r w:rsidRPr="0044257B">
        <w:rPr>
          <w:b/>
          <w:bCs/>
        </w:rPr>
        <w:fldChar w:fldCharType="separate"/>
      </w:r>
      <w:r w:rsidR="00AA5AAC" w:rsidRPr="00AA5AAC">
        <w:rPr>
          <w:b/>
          <w:bCs/>
        </w:rPr>
        <w:t>Figure 4.6</w:t>
      </w:r>
      <w:r w:rsidRPr="0044257B">
        <w:rPr>
          <w:b/>
          <w:bCs/>
        </w:rPr>
        <w:fldChar w:fldCharType="end"/>
      </w:r>
      <w:r w:rsidRPr="0044257B">
        <w:t>); domain II, residues 100 – 182 (cyan,</w:t>
      </w:r>
      <w:r w:rsidRPr="0044257B">
        <w:rPr>
          <w:b/>
          <w:bCs/>
        </w:rPr>
        <w:t xml:space="preserve"> </w:t>
      </w:r>
      <w:r w:rsidRPr="0044257B">
        <w:rPr>
          <w:b/>
          <w:bCs/>
        </w:rPr>
        <w:fldChar w:fldCharType="begin"/>
      </w:r>
      <w:r w:rsidRPr="0044257B">
        <w:rPr>
          <w:b/>
          <w:bCs/>
        </w:rPr>
        <w:instrText xml:space="preserve"> REF _Ref100528641 \h  \* MERGEFORMAT </w:instrText>
      </w:r>
      <w:r w:rsidRPr="0044257B">
        <w:rPr>
          <w:b/>
          <w:bCs/>
        </w:rPr>
      </w:r>
      <w:r w:rsidRPr="0044257B">
        <w:rPr>
          <w:b/>
          <w:bCs/>
        </w:rPr>
        <w:fldChar w:fldCharType="separate"/>
      </w:r>
      <w:r w:rsidR="00AA5AAC" w:rsidRPr="00AA5AAC">
        <w:rPr>
          <w:b/>
          <w:bCs/>
        </w:rPr>
        <w:t>Figure 4.6</w:t>
      </w:r>
      <w:r w:rsidRPr="0044257B">
        <w:rPr>
          <w:b/>
          <w:bCs/>
        </w:rPr>
        <w:fldChar w:fldCharType="end"/>
      </w:r>
      <w:r w:rsidRPr="0044257B">
        <w:t xml:space="preserve">); and domain III, residues 198 – 303 (yellow, </w:t>
      </w:r>
      <w:r w:rsidRPr="0044257B">
        <w:rPr>
          <w:b/>
          <w:bCs/>
        </w:rPr>
        <w:fldChar w:fldCharType="begin"/>
      </w:r>
      <w:r w:rsidRPr="0044257B">
        <w:rPr>
          <w:b/>
          <w:bCs/>
        </w:rPr>
        <w:instrText xml:space="preserve"> REF _Ref100528641 \h  \* MERGEFORMAT </w:instrText>
      </w:r>
      <w:r w:rsidRPr="0044257B">
        <w:rPr>
          <w:b/>
          <w:bCs/>
        </w:rPr>
      </w:r>
      <w:r w:rsidRPr="0044257B">
        <w:rPr>
          <w:b/>
          <w:bCs/>
        </w:rPr>
        <w:fldChar w:fldCharType="separate"/>
      </w:r>
      <w:r w:rsidR="00AA5AAC" w:rsidRPr="00AA5AAC">
        <w:rPr>
          <w:b/>
          <w:bCs/>
        </w:rPr>
        <w:t>Figure 4.6</w:t>
      </w:r>
      <w:r w:rsidRPr="0044257B">
        <w:rPr>
          <w:b/>
          <w:bCs/>
        </w:rPr>
        <w:fldChar w:fldCharType="end"/>
      </w:r>
      <w:r w:rsidRPr="0044257B">
        <w:t xml:space="preserve">). Domains I and II are six-stranded antiparallel </w:t>
      </w:r>
      <w:r w:rsidRPr="0044257B">
        <w:rPr>
          <w:rFonts w:cs="Times New Roman"/>
        </w:rPr>
        <w:t>β</w:t>
      </w:r>
      <w:r w:rsidRPr="0044257B">
        <w:t>-barrel structure</w:t>
      </w:r>
      <w:r w:rsidR="007F2C07">
        <w:t>s</w:t>
      </w:r>
      <w:r w:rsidRPr="0044257B">
        <w:t xml:space="preserve">, and domain III, a globular cluster of five </w:t>
      </w:r>
      <w:r w:rsidRPr="0044257B">
        <w:rPr>
          <w:rFonts w:cs="Times New Roman"/>
        </w:rPr>
        <w:t>α</w:t>
      </w:r>
      <w:r w:rsidRPr="0044257B">
        <w:t>-helices, is connected to domain II by a long linker loop.</w:t>
      </w:r>
      <w:r w:rsidRPr="0044257B">
        <w:fldChar w:fldCharType="begin"/>
      </w:r>
      <w:r w:rsidRPr="0044257B">
        <w:instrText xml:space="preserve"> ADDIN ZOTERO_ITEM CSL_CITATION {"citationID":"CcnpSkex","properties":{"formattedCitation":"\\super 65\\nosupersub{}","plainCitation":"65","noteIndex":0},"citationItems":[{"id":746,"uris":["http://zotero.org/users/6503767/items/GLN7GR8P"],"itemData":{"id":746,"type":"article-journal","abstract":"Herein, we investigate the structure and flexibility of the hydrated SARS-CoV-2 main protease by means of 2.0 μs molecular dynamics (MD) simulations in explicit solvent. After having performed electrostatic pKa calculations on several X-ray structures, we consider both the native (unbound) configuration of the enzyme and its noncovalent complex with a model peptide, Ace-Ala-Val-Leu-Gln</w:instrText>
      </w:r>
      <w:r w:rsidRPr="0044257B">
        <w:rPr>
          <w:rFonts w:ascii="Cambria Math" w:hAnsi="Cambria Math" w:cs="Cambria Math"/>
        </w:rPr>
        <w:instrText>∼</w:instrText>
      </w:r>
      <w:r w:rsidRPr="0044257B">
        <w:instrText xml:space="preserve">Ser-Nme, which mimics the polyprotein sequence recognized at the active site. For each configuration, we also study their monomeric and homodimeric forms. The simulations of the unbound systems show that the relative orientation of domain III is not stable in the monomeric form and provide further details about interdomain motions, protomer–protomer interactions, inter-residue contacts, accessibility at the catalytic site, etc. In the presence of the peptide substrate, the monomeric protease exhibits a stable interdomain arrangement, but the relative orientation between the scissile peptide bond and the catalytic dyad is not favorable for catalysis. By means of comparative analysis, we further assess the catalytic impact of the enzyme dimerization, the actual flexibility of the active site region, and other structural effects induced by substrate binding. Overall, our computational results complement previous crystallographic studies on the SARS-CoV-2 enzyme and, together with other simulation studies, should contribute to outline useful structure–activity relationships.","container-title":"Journal of Chemical Information and Modeling","DOI":"10.1021/acs.jcim.0c00575","ISSN":"1549-9596","issue":"12","journalAbbreviation":"J. Chem. Inf. Model.","note":"publisher: American Chemical Society","page":"5815-5831","source":"ACS Publications","title":"SARS-CoV-2 Main Protease: A Molecular Dynamics Study","title-short":"SARS-CoV-2 Main Protease","volume":"60","author":[{"family":"Suárez","given":"Dimas"},{"family":"Díaz","given":"Natalia"}],"issued":{"date-parts":[["2020",12,28]]}}}],"schema":"https://github.com/citation-style-language/schema/raw/master/csl-citation.json"} </w:instrText>
      </w:r>
      <w:r w:rsidRPr="0044257B">
        <w:fldChar w:fldCharType="separate"/>
      </w:r>
      <w:r w:rsidRPr="0044257B">
        <w:rPr>
          <w:rFonts w:cs="Times New Roman"/>
          <w:szCs w:val="24"/>
          <w:vertAlign w:val="superscript"/>
        </w:rPr>
        <w:t>65</w:t>
      </w:r>
      <w:r w:rsidRPr="0044257B">
        <w:fldChar w:fldCharType="end"/>
      </w:r>
      <w:r w:rsidRPr="0044257B">
        <w:t xml:space="preserve"> The SARS-CoV-2 </w:t>
      </w:r>
      <w:proofErr w:type="spellStart"/>
      <w:r w:rsidRPr="0044257B">
        <w:t>M</w:t>
      </w:r>
      <w:r w:rsidRPr="0044257B">
        <w:rPr>
          <w:vertAlign w:val="superscript"/>
        </w:rPr>
        <w:t>pro</w:t>
      </w:r>
      <w:proofErr w:type="spellEnd"/>
      <w:r w:rsidRPr="0044257B">
        <w:t xml:space="preserve"> forms an A-A’ dimer, primarily between domain II of molecule A and the NH</w:t>
      </w:r>
      <w:r w:rsidRPr="0044257B">
        <w:rPr>
          <w:vertAlign w:val="subscript"/>
        </w:rPr>
        <w:t>2</w:t>
      </w:r>
      <w:r w:rsidRPr="0044257B">
        <w:t>-terminal residues (N-finger) of molecule A’ oriented perpendicularly (</w:t>
      </w:r>
      <w:r w:rsidRPr="0044257B">
        <w:rPr>
          <w:b/>
          <w:bCs/>
        </w:rPr>
        <w:fldChar w:fldCharType="begin"/>
      </w:r>
      <w:r w:rsidRPr="0044257B">
        <w:rPr>
          <w:b/>
          <w:bCs/>
        </w:rPr>
        <w:instrText xml:space="preserve"> REF _Ref100528641 \h  \* MERGEFORMAT </w:instrText>
      </w:r>
      <w:r w:rsidRPr="0044257B">
        <w:rPr>
          <w:b/>
          <w:bCs/>
        </w:rPr>
      </w:r>
      <w:r w:rsidRPr="0044257B">
        <w:rPr>
          <w:b/>
          <w:bCs/>
        </w:rPr>
        <w:fldChar w:fldCharType="separate"/>
      </w:r>
      <w:r w:rsidR="00AA5AAC" w:rsidRPr="00AA5AAC">
        <w:rPr>
          <w:b/>
          <w:bCs/>
        </w:rPr>
        <w:t>Figure 4.6</w:t>
      </w:r>
      <w:r w:rsidRPr="0044257B">
        <w:rPr>
          <w:b/>
          <w:bCs/>
        </w:rPr>
        <w:fldChar w:fldCharType="end"/>
      </w:r>
      <w:r w:rsidRPr="0044257B">
        <w:t>).</w:t>
      </w:r>
      <w:r w:rsidRPr="0044257B">
        <w:fldChar w:fldCharType="begin"/>
      </w:r>
      <w:r w:rsidRPr="0044257B">
        <w:instrText xml:space="preserve"> ADDIN ZOTERO_ITEM CSL_CITATION {"citationID":"C9dHMPF6","properties":{"formattedCitation":"\\super 3\\nosupersub{}","plainCitation":"3","noteIndex":0},"citationItems":[{"id":24,"uris":["http://zotero.org/users/6503767/items/Y7K44RN3"],"itemData":{"id":24,"type":"article-journal","abstract":"The COVID-19 pandemic caused by SARS-CoV-2 is a global health emergency. An attractive drug target among coronaviruses is the main protease (M\n              pro\n              , 3CL\n              pro\n              ), due to its essential role in processing the polyproteins that are translated from the viral RNA. We report the X-ray structures of the unliganded SARS-CoV-2 M\n              pro\n              and its complex with an α-ketoamide inhibitor. This was derived from a previously designed inhibitor but with the P3-P2 amide bond incorporated into a pyridone ring to enhance the half-life of the compound in plasma. Based on the structure, we developed the lead compound into a potent inhibitor of the SARS-CoV-2 M\n              pro\n              . The pharmacokinetic characterization of the optimized inhibitor reveals a pronounced lung tropism and suitability for administration by the inhalative route.","container-title":"Science","DOI":"10.1126/science.abb3405","ISSN":"0036-8075, 1095-9203","journalAbbreviation":"Science","language":"en","page":"eabb3405","source":"DOI.org (Crossref)","title":"Crystal structure of SARS-CoV-2 main protease provides a basis for design of improved α-ketoamide inhibitors","author":[{"family":"Zhang","given":"Linlin"},{"family":"Lin","given":"Daizong"},{"family":"Sun","given":"Xinyuanyuan"},{"family":"Curth","given":"Ute"},{"family":"Drosten","given":"Christian"},{"family":"Sauerhering","given":"Lucie"},{"family":"Becker","given":"Stephan"},{"family":"Rox","given":"Katharina"},{"family":"Hilgenfeld","given":"Rolf"}],"issued":{"date-parts":[["2020",3,20]]}}}],"schema":"https://github.com/citation-style-language/schema/raw/master/csl-citation.json"} </w:instrText>
      </w:r>
      <w:r w:rsidRPr="0044257B">
        <w:fldChar w:fldCharType="separate"/>
      </w:r>
      <w:r w:rsidRPr="0044257B">
        <w:rPr>
          <w:rFonts w:cs="Times New Roman"/>
          <w:szCs w:val="24"/>
          <w:vertAlign w:val="superscript"/>
        </w:rPr>
        <w:t>3</w:t>
      </w:r>
      <w:r w:rsidRPr="0044257B">
        <w:fldChar w:fldCharType="end"/>
      </w:r>
      <w:r w:rsidRPr="0044257B">
        <w:t xml:space="preserve"> Enzyme dimerization is necessary for catalytic activity.</w:t>
      </w:r>
      <w:r w:rsidRPr="0044257B">
        <w:fldChar w:fldCharType="begin"/>
      </w:r>
      <w:r w:rsidRPr="0044257B">
        <w:instrText xml:space="preserve"> ADDIN ZOTERO_ITEM CSL_CITATION {"citationID":"9zPoBpzY","properties":{"formattedCitation":"\\super 66\\nosupersub{}","plainCitation":"66","noteIndex":0},"citationItems":[{"id":820,"uris":["http://zotero.org/users/6503767/items/4XPJA442"],"itemData":{"id":820,"type":"article-journal","abstract":"The key enzyme in coronavirus polyprotein processing is the viral main proteinase, Mpro, a protein with extremely low sequence similarity to other viral and cellular proteinases. Here, the crystal structure of the 33.1 kDa transmissible gastroenteritis (corona)virus Mpro is reported. The structure was refined to 1.96 Å resolution and revealed three dimers in the asymmetric unit. The mutual arrangement of the protomers in each of the dimers suggests that Mpro self-processing occurs in trans. The active site, comprised of Cys144 and His41, is part of a chymotrypsin-like fold that is connected by a 16 residue loop to an extra domain featuring a novel α-helical fold. Molecular modelling and mutagenesis data implicate the loop in substrate binding and elucidate S1 and S2 subsites suitable to accommodate the side chains of the P1 glutamine and P2 leucine residues of Mpro substrates. Interactions involving the N-terminus and the α-helical domain stabilize the loop in the orientation required for trans-cleavage activity. The study illustrates that RNA viruses have evolved unprecedented variations of the classical chymotrypsin fold.","container-title":"The EMBO Journal","DOI":"10.1093/emboj/cdf327","ISSN":"0261-4189","issue":"13","journalAbbreviation":"EMBO J","note":"PMID: 12093723\nPMCID: PMC126080","page":"3213-3224","source":"PubMed Central","title":"Structure of coronavirus main proteinase reveals combination of a chymotrypsin fold with an extra α-helical domain","volume":"21","author":[{"family":"Anand","given":"Kanchan"},{"family":"Palm","given":"Gottfried J."},{"family":"Mesters","given":"Jeroen R."},{"family":"Siddell","given":"Stuart G."},{"family":"Ziebuhr","given":"John"},{"family":"Hilgenfeld","given":"Rolf"}],"issued":{"date-parts":[["2002",7,1]]}}}],"schema":"https://github.com/citation-style-language/schema/raw/master/csl-citation.json"} </w:instrText>
      </w:r>
      <w:r w:rsidRPr="0044257B">
        <w:fldChar w:fldCharType="separate"/>
      </w:r>
      <w:r w:rsidRPr="0044257B">
        <w:rPr>
          <w:rFonts w:cs="Times New Roman"/>
          <w:szCs w:val="24"/>
          <w:vertAlign w:val="superscript"/>
        </w:rPr>
        <w:t>66</w:t>
      </w:r>
      <w:r w:rsidRPr="0044257B">
        <w:fldChar w:fldCharType="end"/>
      </w:r>
      <w:r w:rsidRPr="0044257B">
        <w:t xml:space="preserve"> </w:t>
      </w:r>
    </w:p>
    <w:p w14:paraId="653115D4" w14:textId="77777777" w:rsidR="0044257B" w:rsidRPr="0044257B" w:rsidRDefault="0044257B" w:rsidP="0044257B">
      <w:pPr>
        <w:spacing w:after="0"/>
      </w:pPr>
      <w:r w:rsidRPr="0044257B">
        <w:rPr>
          <w:noProof/>
        </w:rPr>
        <mc:AlternateContent>
          <mc:Choice Requires="wps">
            <w:drawing>
              <wp:inline distT="0" distB="0" distL="0" distR="0" wp14:anchorId="4C053BBC" wp14:editId="2402FA66">
                <wp:extent cx="5943600" cy="3522428"/>
                <wp:effectExtent l="0" t="0" r="19050" b="20955"/>
                <wp:docPr id="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22428"/>
                        </a:xfrm>
                        <a:prstGeom prst="rect">
                          <a:avLst/>
                        </a:prstGeom>
                        <a:solidFill>
                          <a:srgbClr val="FFFFFF"/>
                        </a:solidFill>
                        <a:ln w="9525">
                          <a:solidFill>
                            <a:srgbClr val="000000"/>
                          </a:solidFill>
                          <a:miter lim="800000"/>
                          <a:headEnd/>
                          <a:tailEnd/>
                        </a:ln>
                      </wps:spPr>
                      <wps:txbx>
                        <w:txbxContent>
                          <w:p w14:paraId="21DE7F80" w14:textId="77777777" w:rsidR="0044257B" w:rsidRDefault="0044257B" w:rsidP="00365E54">
                            <w:pPr>
                              <w:keepNext/>
                              <w:spacing w:after="0"/>
                              <w:jc w:val="center"/>
                            </w:pPr>
                            <w:r>
                              <w:rPr>
                                <w:noProof/>
                              </w:rPr>
                              <w:drawing>
                                <wp:inline distT="0" distB="0" distL="0" distR="0" wp14:anchorId="443592C0" wp14:editId="0A85025A">
                                  <wp:extent cx="5476458" cy="2425147"/>
                                  <wp:effectExtent l="0" t="0" r="0" b="0"/>
                                  <wp:docPr id="420" name="Picture 42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lant&#10;&#10;Description automatically generated"/>
                                          <pic:cNvPicPr/>
                                        </pic:nvPicPr>
                                        <pic:blipFill>
                                          <a:blip r:embed="rId408">
                                            <a:extLst>
                                              <a:ext uri="{28A0092B-C50C-407E-A947-70E740481C1C}">
                                                <a14:useLocalDpi xmlns:a14="http://schemas.microsoft.com/office/drawing/2010/main" val="0"/>
                                              </a:ext>
                                            </a:extLst>
                                          </a:blip>
                                          <a:stretch>
                                            <a:fillRect/>
                                          </a:stretch>
                                        </pic:blipFill>
                                        <pic:spPr>
                                          <a:xfrm>
                                            <a:off x="0" y="0"/>
                                            <a:ext cx="5509096" cy="2439600"/>
                                          </a:xfrm>
                                          <a:prstGeom prst="rect">
                                            <a:avLst/>
                                          </a:prstGeom>
                                        </pic:spPr>
                                      </pic:pic>
                                    </a:graphicData>
                                  </a:graphic>
                                </wp:inline>
                              </w:drawing>
                            </w:r>
                          </w:p>
                          <w:p w14:paraId="6FCE21E5" w14:textId="7414D445" w:rsidR="0044257B" w:rsidRDefault="0044257B" w:rsidP="00DF51F5">
                            <w:pPr>
                              <w:pStyle w:val="Caption"/>
                            </w:pPr>
                            <w:bookmarkStart w:id="510" w:name="_Ref100528641"/>
                            <w:bookmarkStart w:id="511" w:name="_Toc100243278"/>
                            <w:bookmarkStart w:id="512" w:name="_Toc100748331"/>
                            <w:r>
                              <w:t>Figure 4.</w:t>
                            </w:r>
                            <w:fldSimple w:instr=" SEQ Figure \* ARABIC ">
                              <w:r w:rsidR="00AA5AAC">
                                <w:rPr>
                                  <w:noProof/>
                                </w:rPr>
                                <w:t>6</w:t>
                              </w:r>
                            </w:fldSimple>
                            <w:bookmarkEnd w:id="510"/>
                            <w:r>
                              <w:t xml:space="preserve">. Structure of SARS-CoV-2 </w:t>
                            </w:r>
                            <w:proofErr w:type="spellStart"/>
                            <w:r>
                              <w:t>M</w:t>
                            </w:r>
                            <w:r w:rsidRPr="00204E0A">
                              <w:rPr>
                                <w:vertAlign w:val="superscript"/>
                              </w:rPr>
                              <w:t>pro</w:t>
                            </w:r>
                            <w:proofErr w:type="spellEnd"/>
                            <w:r>
                              <w:t xml:space="preserve"> dimer.</w:t>
                            </w:r>
                            <w:bookmarkEnd w:id="511"/>
                            <w:bookmarkEnd w:id="512"/>
                            <w:r>
                              <w:t xml:space="preserve">  </w:t>
                            </w:r>
                          </w:p>
                          <w:p w14:paraId="51F74A92" w14:textId="77777777" w:rsidR="0044257B" w:rsidRDefault="0044257B" w:rsidP="0044257B">
                            <w:pPr>
                              <w:spacing w:line="240" w:lineRule="auto"/>
                            </w:pPr>
                            <w:r>
                              <w:t xml:space="preserve">Domains I, II, and III are shown in green, cyan, and yellow, respectively (PDB: 1UK4). The catalytic dyad is circled in black where catalytic residues Cys145 and His41 are highlighted in blue. </w:t>
                            </w:r>
                          </w:p>
                        </w:txbxContent>
                      </wps:txbx>
                      <wps:bodyPr rot="0" vert="horz" wrap="square" lIns="91440" tIns="45720" rIns="91440" bIns="45720" anchor="t" anchorCtr="0">
                        <a:noAutofit/>
                      </wps:bodyPr>
                    </wps:wsp>
                  </a:graphicData>
                </a:graphic>
              </wp:inline>
            </w:drawing>
          </mc:Choice>
          <mc:Fallback>
            <w:pict>
              <v:shape w14:anchorId="4C053BBC" id="_x0000_s1131" type="#_x0000_t202" style="width:468pt;height:27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">
                <v:textbox>
                  <w:txbxContent>
                    <w:p w14:paraId="21DE7F80" w14:textId="77777777" w:rsidR="0044257B" w:rsidRDefault="0044257B" w:rsidP="00365E54">
                      <w:pPr>
                        <w:keepNext/>
                        <w:spacing w:after="0"/>
                        <w:jc w:val="center"/>
                      </w:pPr>
                      <w:r>
                        <w:rPr>
                          <w:noProof/>
                        </w:rPr>
                        <w:drawing>
                          <wp:inline distT="0" distB="0" distL="0" distR="0" wp14:anchorId="443592C0" wp14:editId="0A85025A">
                            <wp:extent cx="5476458" cy="2425147"/>
                            <wp:effectExtent l="0" t="0" r="0" b="0"/>
                            <wp:docPr id="420" name="Picture 42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lant&#10;&#10;Description automatically generated"/>
                                    <pic:cNvPicPr/>
                                  </pic:nvPicPr>
                                  <pic:blipFill>
                                    <a:blip r:embed="rId408">
                                      <a:extLst>
                                        <a:ext uri="{28A0092B-C50C-407E-A947-70E740481C1C}">
                                          <a14:useLocalDpi xmlns:a14="http://schemas.microsoft.com/office/drawing/2010/main" val="0"/>
                                        </a:ext>
                                      </a:extLst>
                                    </a:blip>
                                    <a:stretch>
                                      <a:fillRect/>
                                    </a:stretch>
                                  </pic:blipFill>
                                  <pic:spPr>
                                    <a:xfrm>
                                      <a:off x="0" y="0"/>
                                      <a:ext cx="5509096" cy="2439600"/>
                                    </a:xfrm>
                                    <a:prstGeom prst="rect">
                                      <a:avLst/>
                                    </a:prstGeom>
                                  </pic:spPr>
                                </pic:pic>
                              </a:graphicData>
                            </a:graphic>
                          </wp:inline>
                        </w:drawing>
                      </w:r>
                    </w:p>
                    <w:p w14:paraId="6FCE21E5" w14:textId="7414D445" w:rsidR="0044257B" w:rsidRDefault="0044257B" w:rsidP="00DF51F5">
                      <w:pPr>
                        <w:pStyle w:val="Caption"/>
                      </w:pPr>
                      <w:bookmarkStart w:id="513" w:name="_Ref100528641"/>
                      <w:bookmarkStart w:id="514" w:name="_Toc100243278"/>
                      <w:bookmarkStart w:id="515" w:name="_Toc100748331"/>
                      <w:r>
                        <w:t>Figure 4.</w:t>
                      </w:r>
                      <w:fldSimple w:instr=" SEQ Figure \* ARABIC ">
                        <w:r w:rsidR="00AA5AAC">
                          <w:rPr>
                            <w:noProof/>
                          </w:rPr>
                          <w:t>6</w:t>
                        </w:r>
                      </w:fldSimple>
                      <w:bookmarkEnd w:id="513"/>
                      <w:r>
                        <w:t xml:space="preserve">. Structure of SARS-CoV-2 </w:t>
                      </w:r>
                      <w:proofErr w:type="spellStart"/>
                      <w:r>
                        <w:t>M</w:t>
                      </w:r>
                      <w:r w:rsidRPr="00204E0A">
                        <w:rPr>
                          <w:vertAlign w:val="superscript"/>
                        </w:rPr>
                        <w:t>pro</w:t>
                      </w:r>
                      <w:proofErr w:type="spellEnd"/>
                      <w:r>
                        <w:t xml:space="preserve"> dimer.</w:t>
                      </w:r>
                      <w:bookmarkEnd w:id="514"/>
                      <w:bookmarkEnd w:id="515"/>
                      <w:r>
                        <w:t xml:space="preserve">  </w:t>
                      </w:r>
                    </w:p>
                    <w:p w14:paraId="51F74A92" w14:textId="77777777" w:rsidR="0044257B" w:rsidRDefault="0044257B" w:rsidP="0044257B">
                      <w:pPr>
                        <w:spacing w:line="240" w:lineRule="auto"/>
                      </w:pPr>
                      <w:r>
                        <w:t xml:space="preserve">Domains I, II, and III are shown in green, cyan, and yellow, respectively (PDB: 1UK4). The catalytic dyad is circled in black where catalytic residues Cys145 and His41 are highlighted in blue. </w:t>
                      </w:r>
                    </w:p>
                  </w:txbxContent>
                </v:textbox>
                <w10:anchorlock/>
              </v:shape>
            </w:pict>
          </mc:Fallback>
        </mc:AlternateContent>
      </w:r>
    </w:p>
    <w:p w14:paraId="271F42EE" w14:textId="1B776857" w:rsidR="0044257B" w:rsidRPr="0044257B" w:rsidRDefault="0044257B" w:rsidP="0044257B">
      <w:pPr>
        <w:spacing w:after="0"/>
        <w:ind w:firstLine="720"/>
      </w:pPr>
      <w:r w:rsidRPr="0044257B">
        <w:t xml:space="preserve">The </w:t>
      </w:r>
      <w:proofErr w:type="spellStart"/>
      <w:r w:rsidRPr="0044257B">
        <w:t>M</w:t>
      </w:r>
      <w:r w:rsidRPr="0044257B">
        <w:rPr>
          <w:vertAlign w:val="superscript"/>
        </w:rPr>
        <w:t>pro</w:t>
      </w:r>
      <w:proofErr w:type="spellEnd"/>
      <w:r w:rsidRPr="0044257B">
        <w:t xml:space="preserve"> active site is located at a shallow crevice in the I/II interdomain region.</w:t>
      </w:r>
      <w:r w:rsidRPr="0044257B">
        <w:fldChar w:fldCharType="begin"/>
      </w:r>
      <w:r w:rsidRPr="0044257B">
        <w:instrText xml:space="preserve"> ADDIN ZOTERO_ITEM CSL_CITATION {"citationID":"RPoYy7Gp","properties":{"formattedCitation":"\\super 65\\nosupersub{}","plainCitation":"65","noteIndex":0},"citationItems":[{"id":746,"uris":["http://zotero.org/users/6503767/items/GLN7GR8P"],"itemData":{"id":746,"type":"article-journal","abstract":"Herein, we investigate the structure and flexibility of the hydrated SARS-CoV-2 main protease by means of 2.0 μs molecular dynamics (MD) simulations in explicit solvent. After having performed electrostatic pKa calculations on several X-ray structures, we consider both the native (unbound) configuration of the enzyme and its noncovalent complex with a model peptide, Ace-Ala-Val-Leu-Gln</w:instrText>
      </w:r>
      <w:r w:rsidRPr="0044257B">
        <w:rPr>
          <w:rFonts w:ascii="Cambria Math" w:hAnsi="Cambria Math" w:cs="Cambria Math"/>
        </w:rPr>
        <w:instrText>∼</w:instrText>
      </w:r>
      <w:r w:rsidRPr="0044257B">
        <w:instrText xml:space="preserve">Ser-Nme, which mimics the polyprotein sequence recognized at the active site. For each configuration, we also study their monomeric and homodimeric forms. The simulations of the unbound systems show that the relative orientation of domain III is not stable in the monomeric form and provide further details about interdomain motions, protomer–protomer interactions, inter-residue contacts, accessibility at the catalytic site, etc. In the presence of the peptide substrate, the monomeric protease exhibits a stable interdomain arrangement, but the relative orientation between the scissile peptide bond and the catalytic dyad is not favorable for catalysis. By means of comparative analysis, we further assess the catalytic impact of the enzyme dimerization, the actual flexibility of the active site region, and other structural effects induced by substrate binding. Overall, our computational results complement previous crystallographic studies on the SARS-CoV-2 enzyme and, together with other simulation studies, should contribute to outline useful structure–activity relationships.","container-title":"Journal of Chemical Information and Modeling","DOI":"10.1021/acs.jcim.0c00575","ISSN":"1549-9596","issue":"12","journalAbbreviation":"J. Chem. Inf. Model.","note":"publisher: American Chemical Society","page":"5815-5831","source":"ACS Publications","title":"SARS-CoV-2 Main Protease: A Molecular Dynamics Study","title-short":"SARS-CoV-2 Main Protease","volume":"60","author":[{"family":"Suárez","given":"Dimas"},{"family":"Díaz","given":"Natalia"}],"issued":{"date-parts":[["2020",12,28]]}}}],"schema":"https://github.com/citation-style-language/schema/raw/master/csl-citation.json"} </w:instrText>
      </w:r>
      <w:r w:rsidRPr="0044257B">
        <w:fldChar w:fldCharType="separate"/>
      </w:r>
      <w:r w:rsidRPr="0044257B">
        <w:rPr>
          <w:rFonts w:cs="Times New Roman"/>
          <w:szCs w:val="24"/>
          <w:vertAlign w:val="superscript"/>
        </w:rPr>
        <w:t>65</w:t>
      </w:r>
      <w:r w:rsidRPr="0044257B">
        <w:fldChar w:fldCharType="end"/>
      </w:r>
      <w:r w:rsidRPr="0044257B">
        <w:t xml:space="preserve"> </w:t>
      </w:r>
      <w:proofErr w:type="spellStart"/>
      <w:r w:rsidRPr="0044257B">
        <w:t>M</w:t>
      </w:r>
      <w:r w:rsidRPr="0044257B">
        <w:rPr>
          <w:vertAlign w:val="superscript"/>
        </w:rPr>
        <w:t>pro</w:t>
      </w:r>
      <w:proofErr w:type="spellEnd"/>
      <w:r w:rsidRPr="0044257B">
        <w:t xml:space="preserve"> is a cysteine protease, where His41 and Cys145 comprise the catalytic dyad. In contrast to serine proteases and other cysteine proteases, which have a catalytic triad,</w:t>
      </w:r>
      <w:r w:rsidRPr="0044257B">
        <w:fldChar w:fldCharType="begin"/>
      </w:r>
      <w:r w:rsidRPr="0044257B">
        <w:instrText xml:space="preserve"> ADDIN ZOTERO_ITEM CSL_CITATION {"citationID":"s15ZEail","properties":{"formattedCitation":"\\super 67\\nosupersub{}","plainCitation":"67","noteIndex":0},"citationItems":[{"id":825,"uris":["http://zotero.org/users/6503767/items/YIR7I3XT"],"itemData":{"id":825,"type":"article-journal","abstract":"Interactions among the residues in the serine protease Asp-His–Ser catalytic triad, in the special environment of the enzyme–substrate complex, activate the nucleophilic potential of the seryl Oγ. In the subtilisin and trypsin families, the composition and arrangement of the catalytic triad do not vary significantly. However, the mechanisms of action of many other hydrolytic enzymes, which target a wide range of substrates, involve nucleophilic attack by a serine (or threonine) residue. Review of these enzymes shows that the acid–base–ser/thr pattern of catalytic residues is generally conserved, although the individual acids and bases can vary. The variations in sequence and organization illustrate the adaptability shown by proteins in generating catalytic stereochemistry on different main-chain frameworks.","container-title":"Trends in Biochemical Sciences","DOI":"10.1016/S0968-0004(98)01254-7","ISSN":"0968-0004","issue":"9","journalAbbreviation":"Trends in Biochemical Sciences","language":"en","page":"347-352","source":"ScienceDirect","title":"Catalytic triads and their relatives","volume":"23","author":[{"family":"Dodson","given":"Guy"},{"family":"Wlodawer","given":"Alexander"}],"issued":{"date-parts":[["1998",9,1]]}}}],"schema":"https://github.com/citation-style-language/schema/raw/master/csl-citation.json"} </w:instrText>
      </w:r>
      <w:r w:rsidRPr="0044257B">
        <w:fldChar w:fldCharType="separate"/>
      </w:r>
      <w:r w:rsidRPr="0044257B">
        <w:rPr>
          <w:rFonts w:cs="Times New Roman"/>
          <w:szCs w:val="24"/>
          <w:vertAlign w:val="superscript"/>
        </w:rPr>
        <w:t>67</w:t>
      </w:r>
      <w:r w:rsidRPr="0044257B">
        <w:fldChar w:fldCharType="end"/>
      </w:r>
      <w:r w:rsidRPr="0044257B">
        <w:t xml:space="preserve"> there is no third catalytic residue present. During proteolytic cleavage of the polyprotein, His41 acts as a base to catalyze </w:t>
      </w:r>
      <w:r w:rsidRPr="0044257B">
        <w:lastRenderedPageBreak/>
        <w:t>the Cys145 nucleophilic reaction.</w:t>
      </w:r>
      <w:r w:rsidRPr="0044257B">
        <w:fldChar w:fldCharType="begin"/>
      </w:r>
      <w:r w:rsidRPr="0044257B">
        <w:instrText xml:space="preserve"> ADDIN ZOTERO_ITEM CSL_CITATION {"citationID":"72Qpv34G","properties":{"formattedCitation":"\\super 68\\nosupersub{}","plainCitation":"68","noteIndex":0},"citationItems":[{"id":817,"uris":["http://zotero.org/users/6503767/items/WWZ7BXAR"],"itemData":{"id":817,"type":"article-journal","abstract":"A new coronavirus SARS-CoV-2, also called novel coronavirus 2019 (2019-nCoV), started to circulate among humans around December 2019, and it is now widespread as a global pandemic. The disease caused by SARS-CoV-2 virus is called COVID-19, which is highly contagious and has an overall mortality rate of 6.35% as of May 26, 2020. There is no vaccine or antiviral available for SARS-CoV-2. In this study, we report our discovery of inhibitors targeting the SARS-CoV-2 main protease (Mpro). Using the FRET-based enzymatic assay, several inhibitors including boceprevir, GC-376, and calpain inhibitors II, and XII were identified to have potent activity with single-digit to submicromolar IC50 values in the enzymatic assay. The mechanism of action of the hits was further characterized using enzyme kinetic studies, thermal shift binding assays, and native mass spectrometry. Significantly, four compounds (boceprevir, GC-376, calpain inhibitors II and XII) inhibit SARS-CoV-2 viral replication in cell culture with EC50 values ranging from 0.49 to 3.37 µM. Notably, boceprevir, calpain inhibitors II and XII represent novel chemotypes that are distinct from known substrate-based peptidomimetic Mpro inhibitors. A complex crystal structure of SARS-CoV-2 Mpro with GC-376, determined at 2.15 Å resolution with three protomers per asymmetric unit, revealed two unique binding configurations, shedding light on the molecular interactions and protein conformational flexibility underlying substrate and inhibitor binding by Mpro. Overall, the compounds identified herein provide promising starting points for the further development of SARS-CoV-2 therapeutics.","container-title":"Cell Research","DOI":"10.1038/s41422-020-0356-z","ISSN":"1748-7838","issue":"8","journalAbbreviation":"Cell Res","language":"en","note":"number: 8\npublisher: Nature Publishing Group","page":"678-692","source":"www-nature-com.ezproxy.lib.ou.edu","title":"Boceprevir, GC-376, and calpain inhibitors II, XII inhibit SARS-CoV-2 viral replication by targeting the viral main protease","volume":"30","author":[{"family":"Ma","given":"Chunlong"},{"family":"Sacco","given":"Michael Dominic"},{"family":"Hurst","given":"Brett"},{"family":"Townsend","given":"Julia Alma"},{"family":"Hu","given":"Yanmei"},{"family":"Szeto","given":"Tommy"},{"family":"Zhang","given":"Xiujun"},{"family":"Tarbet","given":"Bart"},{"family":"Marty","given":"Michael Thomas"},{"family":"Chen","given":"Yu"},{"family":"Wang","given":"Jun"}],"issued":{"date-parts":[["2020",8]]}}}],"schema":"https://github.com/citation-style-language/schema/raw/master/csl-citation.json"} </w:instrText>
      </w:r>
      <w:r w:rsidRPr="0044257B">
        <w:fldChar w:fldCharType="separate"/>
      </w:r>
      <w:r w:rsidRPr="0044257B">
        <w:rPr>
          <w:rFonts w:cs="Times New Roman"/>
          <w:szCs w:val="24"/>
          <w:vertAlign w:val="superscript"/>
        </w:rPr>
        <w:t>68</w:t>
      </w:r>
      <w:r w:rsidRPr="0044257B">
        <w:fldChar w:fldCharType="end"/>
      </w:r>
      <w:r w:rsidRPr="0044257B">
        <w:t xml:space="preserve"> The proteolytic activity of </w:t>
      </w:r>
      <w:proofErr w:type="spellStart"/>
      <w:r w:rsidRPr="0044257B">
        <w:t>M</w:t>
      </w:r>
      <w:r w:rsidRPr="0044257B">
        <w:rPr>
          <w:vertAlign w:val="superscript"/>
        </w:rPr>
        <w:t>pro</w:t>
      </w:r>
      <w:proofErr w:type="spellEnd"/>
      <w:r w:rsidRPr="0044257B">
        <w:t xml:space="preserve"> occurs at </w:t>
      </w:r>
      <w:r w:rsidR="007F2C07">
        <w:rPr>
          <w:rFonts w:cs="Times New Roman"/>
        </w:rPr>
        <w:t>≥</w:t>
      </w:r>
      <w:r w:rsidRPr="0044257B">
        <w:t>11 sites and involves Leu-Gln</w:t>
      </w:r>
      <w:r w:rsidRPr="0044257B">
        <w:rPr>
          <w:rFonts w:cs="Times New Roman"/>
        </w:rPr>
        <w:t>↓</w:t>
      </w:r>
      <w:r w:rsidRPr="0044257B">
        <w:t>(</w:t>
      </w:r>
      <w:proofErr w:type="spellStart"/>
      <w:r w:rsidRPr="0044257B">
        <w:t>Ser,Ala,Gly</w:t>
      </w:r>
      <w:proofErr w:type="spellEnd"/>
      <w:r w:rsidRPr="0044257B">
        <w:t xml:space="preserve">) sequences (cleavage site indicated by </w:t>
      </w:r>
      <w:r w:rsidRPr="0044257B">
        <w:rPr>
          <w:rFonts w:cs="Times New Roman"/>
        </w:rPr>
        <w:t>↓)</w:t>
      </w:r>
      <w:r w:rsidRPr="0044257B">
        <w:t xml:space="preserve">, a cleavage pattern that is conserved in the </w:t>
      </w:r>
      <w:proofErr w:type="spellStart"/>
      <w:r w:rsidRPr="0044257B">
        <w:t>M</w:t>
      </w:r>
      <w:r w:rsidRPr="0044257B">
        <w:rPr>
          <w:vertAlign w:val="superscript"/>
        </w:rPr>
        <w:t>pro</w:t>
      </w:r>
      <w:proofErr w:type="spellEnd"/>
      <w:r w:rsidRPr="0044257B">
        <w:t xml:space="preserve"> from SARS-CoV.</w:t>
      </w:r>
      <w:r w:rsidRPr="0044257B">
        <w:fldChar w:fldCharType="begin"/>
      </w:r>
      <w:r w:rsidRPr="0044257B">
        <w:instrText xml:space="preserve"> ADDIN ZOTERO_ITEM CSL_CITATION {"citationID":"LATdlQia","properties":{"formattedCitation":"\\super 69\\nosupersub{}","plainCitation":"69","noteIndex":0},"citationItems":[{"id":823,"uris":["http://zotero.org/users/6503767/items/A7VRGV8V"],"itemData":{"id":823,"type":"article-journal","container-title":"Science","DOI":"10.1126/science.1085658","issue":"5626","note":"publisher: American Association for the Advancement of Science","page":"1763-1767","source":"www-science-org.ezproxy.lib.ou.edu (Atypon)","title":"Coronavirus Main Proteinase (3CLpro) Structure: Basis for Design of Anti-SARS Drugs","title-short":"Coronavirus Main Proteinase (3CLpro) Structure","volume":"300","author":[{"family":"Anand","given":"Kanchan"},{"family":"Ziebuhr","given":"John"},{"family":"Wadhwani","given":"Parvesh"},{"family":"Mesters","given":"Jeroen R."},{"family":"Hilgenfeld","given":"Rolf"}],"issued":{"date-parts":[["2003",6,13]]}}}],"schema":"https://github.com/citation-style-language/schema/raw/master/csl-citation.json"} </w:instrText>
      </w:r>
      <w:r w:rsidRPr="0044257B">
        <w:fldChar w:fldCharType="separate"/>
      </w:r>
      <w:r w:rsidRPr="0044257B">
        <w:rPr>
          <w:rFonts w:cs="Times New Roman"/>
          <w:szCs w:val="24"/>
          <w:vertAlign w:val="superscript"/>
        </w:rPr>
        <w:t>69</w:t>
      </w:r>
      <w:r w:rsidRPr="0044257B">
        <w:fldChar w:fldCharType="end"/>
      </w:r>
      <w:r w:rsidRPr="0044257B">
        <w:t xml:space="preserve"> The presence of a glutamine (Gln) residue at P</w:t>
      </w:r>
      <w:r w:rsidRPr="0044257B">
        <w:rPr>
          <w:vertAlign w:val="subscript"/>
        </w:rPr>
        <w:t>1</w:t>
      </w:r>
      <w:r w:rsidRPr="0044257B">
        <w:t xml:space="preserve"> (</w:t>
      </w:r>
      <w:r w:rsidRPr="0044257B">
        <w:rPr>
          <w:b/>
          <w:bCs/>
        </w:rPr>
        <w:fldChar w:fldCharType="begin"/>
      </w:r>
      <w:r w:rsidRPr="0044257B">
        <w:rPr>
          <w:b/>
          <w:bCs/>
        </w:rPr>
        <w:instrText xml:space="preserve"> REF _Ref100285499 \h  \* MERGEFORMAT </w:instrText>
      </w:r>
      <w:r w:rsidRPr="0044257B">
        <w:rPr>
          <w:b/>
          <w:bCs/>
        </w:rPr>
      </w:r>
      <w:r w:rsidRPr="0044257B">
        <w:rPr>
          <w:b/>
          <w:bCs/>
        </w:rPr>
        <w:fldChar w:fldCharType="separate"/>
      </w:r>
      <w:r w:rsidR="00AA5AAC" w:rsidRPr="00AA5AAC">
        <w:rPr>
          <w:b/>
          <w:bCs/>
        </w:rPr>
        <w:t>Figure 4.7</w:t>
      </w:r>
      <w:r w:rsidRPr="0044257B">
        <w:rPr>
          <w:b/>
          <w:bCs/>
        </w:rPr>
        <w:fldChar w:fldCharType="end"/>
      </w:r>
      <w:r w:rsidRPr="0044257B">
        <w:rPr>
          <w:b/>
          <w:bCs/>
        </w:rPr>
        <w:t>A</w:t>
      </w:r>
      <w:r w:rsidRPr="0044257B">
        <w:t xml:space="preserve">) is a common feature shared among </w:t>
      </w:r>
      <w:proofErr w:type="spellStart"/>
      <w:r w:rsidRPr="0044257B">
        <w:t>M</w:t>
      </w:r>
      <w:r w:rsidRPr="0044257B">
        <w:rPr>
          <w:vertAlign w:val="superscript"/>
        </w:rPr>
        <w:t>pro</w:t>
      </w:r>
      <w:proofErr w:type="spellEnd"/>
      <w:r w:rsidRPr="0044257B">
        <w:t xml:space="preserve"> substrates, while no known human cysteine protease cleaves after Gln.</w:t>
      </w:r>
      <w:r w:rsidRPr="0044257B">
        <w:fldChar w:fldCharType="begin"/>
      </w:r>
      <w:r w:rsidRPr="0044257B">
        <w:instrText xml:space="preserve"> ADDIN ZOTERO_ITEM CSL_CITATION {"citationID":"bEE07fIw","properties":{"formattedCitation":"\\super 64\\nosupersub{}","plainCitation":"64","noteIndex":0},"citationItems":[{"id":848,"uris":["http://zotero.org/users/6503767/items/DSTZ67RQ"],"itemData":{"id":848,"type":"article-journal","container-title":"Science","DOI":"10.1126/science.abl4784","issue":"6575","note":"publisher: American Association for the Advancement of Science","page":"1586-1593","source":"www-science-org.ezproxy.lib.ou.edu (Atypon)","title":"An oral SARS-CoV-2 Mpro inhibitor clinical candidate for the treatment of COVID-19","volume":"374","author":[{"family":"Owen","given":"Dafydd R."},{"family":"Allerton","given":"Charlotte M. N."},{"family":"Anderson","given":"Annaliesa S."},{"family":"Aschenbrenner","given":"Lisa"},{"family":"Avery","given":"Melissa"},{"family":"Berritt","given":"Simon"},{"family":"Boras","given":"Britton"},{"family":"Cardin","given":"Rhonda D."},{"family":"Carlo","given":"Anthony"},{"family":"Coffman","given":"Karen J."},{"family":"Dantonio","given":"Alyssa"},{"family":"Di","given":"Li"},{"family":"Eng","given":"Heather"},{"family":"Ferre","given":"RoseAnn"},{"family":"Gajiwala","given":"Ketan S."},{"family":"Gibson","given":"Scott A."},{"family":"Greasley","given":"Samantha E."},{"family":"Hurst","given":"Brett L."},{"family":"Kadar","given":"Eugene P."},{"family":"Kalgutkar","given":"Amit S."},{"family":"Lee","given":"Jack C."},{"family":"Lee","given":"Jisun"},{"family":"Liu","given":"Wei"},{"family":"Mason","given":"Stephen W."},{"family":"Noell","given":"Stephen"},{"family":"Novak","given":"Jonathan J."},{"family":"Obach","given":"R. Scott"},{"family":"Ogilvie","given":"Kevin"},{"family":"Patel","given":"Nandini C."},{"family":"Pettersson","given":"Martin"},{"family":"Rai","given":"Devendra K."},{"family":"Reese","given":"Matthew R."},{"family":"Sammons","given":"Matthew F."},{"family":"Sathish","given":"Jean G."},{"family":"Singh","given":"Ravi Shankar P."},{"family":"Steppan","given":"Claire M."},{"family":"Stewart","given":"Al E."},{"family":"Tuttle","given":"Jamison B."},{"family":"Updyke","given":"Lawrence"},{"family":"Verhoest","given":"Patrick R."},{"family":"Wei","given":"Liuqing"},{"family":"Yang","given":"Qingyi"},{"family":"Zhu","given":"Yuao"}],"issued":{"date-parts":[["2021",12,24]]}}}],"schema":"https://github.com/citation-style-language/schema/raw/master/csl-citation.json"} </w:instrText>
      </w:r>
      <w:r w:rsidRPr="0044257B">
        <w:fldChar w:fldCharType="separate"/>
      </w:r>
      <w:r w:rsidRPr="0044257B">
        <w:rPr>
          <w:rFonts w:cs="Times New Roman"/>
          <w:szCs w:val="24"/>
          <w:vertAlign w:val="superscript"/>
        </w:rPr>
        <w:t>64</w:t>
      </w:r>
      <w:r w:rsidRPr="0044257B">
        <w:fldChar w:fldCharType="end"/>
      </w:r>
      <w:r w:rsidRPr="0044257B">
        <w:t xml:space="preserve"> This, in addition to the protease being </w:t>
      </w:r>
      <w:r w:rsidR="007F2C07">
        <w:t>essential</w:t>
      </w:r>
      <w:r w:rsidRPr="0044257B">
        <w:t xml:space="preserve"> to viral replication, suggests that SARS-CoV-2 </w:t>
      </w:r>
      <w:proofErr w:type="spellStart"/>
      <w:r w:rsidRPr="0044257B">
        <w:t>M</w:t>
      </w:r>
      <w:r w:rsidRPr="0044257B">
        <w:rPr>
          <w:vertAlign w:val="superscript"/>
        </w:rPr>
        <w:t>pro</w:t>
      </w:r>
      <w:proofErr w:type="spellEnd"/>
      <w:r w:rsidRPr="0044257B">
        <w:t xml:space="preserve"> inhibition is an attractive approach for antiviral therapy to treat COVID-19.</w:t>
      </w:r>
      <w:r w:rsidRPr="0044257B">
        <w:fldChar w:fldCharType="begin"/>
      </w:r>
      <w:r w:rsidRPr="0044257B">
        <w:instrText xml:space="preserve"> ADDIN ZOTERO_ITEM CSL_CITATION {"citationID":"JGCwE9QR","properties":{"formattedCitation":"\\super 70\\nosupersub{}","plainCitation":"70","noteIndex":0},"citationItems":[{"id":850,"uris":["http://zotero.org/users/6503767/items/JEC88XHA"],"itemData":{"id":850,"type":"article-journal","abstract":"Coronaviruses (CoVs), a genus containing about 26 known species to date, cause highly prevalent diseases and are often severe or fatal in humans and animals. In 2003, a previously unknown coronavirus was identified to be the etiological agent of a global outbreak of a form of life-threatening pneumonia called severe acute respiratory syndrome (SARS). No efficacious therapy is currently available, and vaccines and drugs are under development to prevent SARS-CoV infection in many countries. The CoV main protease (M(pro)), which plays a pivotal role in viral gene expression and replication through a highly complex cascade involving the proteolytic processing of replicase polyproteins, is an attractive target for drug design. This review summarizes the recent advances in biological and structural studies, together with development of inhibitors targeting CoV M(pro)s. It is expected that inhibitors targeting CoV M(pro)s could be developed into wide-spectrum antiviral drugs against existing and possible future emerging CoV-associated diseases.","container-title":"Current Pharmaceutical Design","DOI":"10.2174/138161206779010369","ISSN":"1873-4286","issue":"35","journalAbbreviation":"Curr Pharm Des","language":"eng","note":"PMID: 17168763","page":"4573-4590","source":"PubMed","title":"Drug design targeting the main protease, the Achilles' heel of coronaviruses","volume":"12","author":[{"family":"Yang","given":"Haitao"},{"family":"Bartlam","given":"Mark"},{"family":"Rao","given":"Zihe"}],"issued":{"date-parts":[["2006"]]}}}],"schema":"https://github.com/citation-style-language/schema/raw/master/csl-citation.json"} </w:instrText>
      </w:r>
      <w:r w:rsidRPr="0044257B">
        <w:fldChar w:fldCharType="separate"/>
      </w:r>
      <w:r w:rsidRPr="0044257B">
        <w:rPr>
          <w:rFonts w:cs="Times New Roman"/>
          <w:szCs w:val="24"/>
          <w:vertAlign w:val="superscript"/>
        </w:rPr>
        <w:t>70</w:t>
      </w:r>
      <w:r w:rsidRPr="0044257B">
        <w:fldChar w:fldCharType="end"/>
      </w:r>
    </w:p>
    <w:p w14:paraId="755760ED" w14:textId="77777777" w:rsidR="0044257B" w:rsidRPr="0044257B" w:rsidRDefault="0044257B" w:rsidP="0044257B">
      <w:pPr>
        <w:spacing w:after="0"/>
      </w:pPr>
      <w:r w:rsidRPr="0044257B">
        <w:rPr>
          <w:noProof/>
        </w:rPr>
        <mc:AlternateContent>
          <mc:Choice Requires="wps">
            <w:drawing>
              <wp:inline distT="0" distB="0" distL="0" distR="0" wp14:anchorId="22C3C32A" wp14:editId="5DDE0B5E">
                <wp:extent cx="5943600" cy="5057030"/>
                <wp:effectExtent l="0" t="0" r="19050" b="10795"/>
                <wp:docPr id="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057030"/>
                        </a:xfrm>
                        <a:prstGeom prst="rect">
                          <a:avLst/>
                        </a:prstGeom>
                        <a:solidFill>
                          <a:srgbClr val="FFFFFF"/>
                        </a:solidFill>
                        <a:ln w="9525">
                          <a:solidFill>
                            <a:srgbClr val="000000"/>
                          </a:solidFill>
                          <a:miter lim="800000"/>
                          <a:headEnd/>
                          <a:tailEnd/>
                        </a:ln>
                      </wps:spPr>
                      <wps:txbx>
                        <w:txbxContent>
                          <w:p w14:paraId="30DB0A56" w14:textId="77777777" w:rsidR="0044257B" w:rsidRDefault="0044257B" w:rsidP="007157EC">
                            <w:pPr>
                              <w:keepNext/>
                              <w:spacing w:after="0" w:line="240" w:lineRule="auto"/>
                              <w:jc w:val="center"/>
                            </w:pPr>
                            <w:r>
                              <w:rPr>
                                <w:noProof/>
                              </w:rPr>
                              <w:drawing>
                                <wp:inline distT="0" distB="0" distL="0" distR="0" wp14:anchorId="46538241" wp14:editId="5BBFF620">
                                  <wp:extent cx="5340096" cy="3931920"/>
                                  <wp:effectExtent l="0" t="0" r="0" b="0"/>
                                  <wp:docPr id="320" name="Picture 320" descr="A picture containin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olorful&#10;&#10;Description automatically generated"/>
                                          <pic:cNvPicPr/>
                                        </pic:nvPicPr>
                                        <pic:blipFill>
                                          <a:blip r:embed="rId409">
                                            <a:extLst>
                                              <a:ext uri="{28A0092B-C50C-407E-A947-70E740481C1C}">
                                                <a14:useLocalDpi xmlns:a14="http://schemas.microsoft.com/office/drawing/2010/main" val="0"/>
                                              </a:ext>
                                            </a:extLst>
                                          </a:blip>
                                          <a:stretch>
                                            <a:fillRect/>
                                          </a:stretch>
                                        </pic:blipFill>
                                        <pic:spPr>
                                          <a:xfrm>
                                            <a:off x="0" y="0"/>
                                            <a:ext cx="5340096" cy="3931920"/>
                                          </a:xfrm>
                                          <a:prstGeom prst="rect">
                                            <a:avLst/>
                                          </a:prstGeom>
                                        </pic:spPr>
                                      </pic:pic>
                                    </a:graphicData>
                                  </a:graphic>
                                </wp:inline>
                              </w:drawing>
                            </w:r>
                          </w:p>
                          <w:p w14:paraId="5E286047" w14:textId="66DAD468" w:rsidR="0044257B" w:rsidRDefault="0044257B" w:rsidP="00DF51F5">
                            <w:pPr>
                              <w:pStyle w:val="Caption"/>
                            </w:pPr>
                            <w:bookmarkStart w:id="516" w:name="_Ref100285499"/>
                            <w:bookmarkStart w:id="517" w:name="_Toc100243279"/>
                            <w:bookmarkStart w:id="518" w:name="_Toc100748332"/>
                            <w:r>
                              <w:t>Figure 4.</w:t>
                            </w:r>
                            <w:fldSimple w:instr=" SEQ Figure \* ARABIC ">
                              <w:r w:rsidR="00AA5AAC">
                                <w:rPr>
                                  <w:noProof/>
                                </w:rPr>
                                <w:t>7</w:t>
                              </w:r>
                            </w:fldSimple>
                            <w:bookmarkEnd w:id="516"/>
                            <w:r>
                              <w:t>. The active site of SARS-CoV-2 with bound substrates.</w:t>
                            </w:r>
                            <w:bookmarkEnd w:id="517"/>
                            <w:bookmarkEnd w:id="518"/>
                            <w:r>
                              <w:t xml:space="preserve"> </w:t>
                            </w:r>
                          </w:p>
                          <w:p w14:paraId="4E02783B" w14:textId="77777777" w:rsidR="0044257B" w:rsidRDefault="0044257B" w:rsidP="0044257B">
                            <w:pPr>
                              <w:spacing w:line="240" w:lineRule="auto"/>
                            </w:pPr>
                            <w:r>
                              <w:t xml:space="preserve">The surface representation of the </w:t>
                            </w:r>
                            <w:proofErr w:type="spellStart"/>
                            <w:r>
                              <w:t>M</w:t>
                            </w:r>
                            <w:r w:rsidRPr="008E6D80">
                              <w:rPr>
                                <w:vertAlign w:val="superscript"/>
                              </w:rPr>
                              <w:t>pro</w:t>
                            </w:r>
                            <w:proofErr w:type="spellEnd"/>
                            <w:r>
                              <w:t xml:space="preserve"> protein is bound to (A) a representative native polyprotein substrate and (B) protease inhibitor ML188 (PDB code 3V3M, PubChem SID87915542). The P1, P1’, P2, P3, and P4 substrate sites are indicated, along with binding </w:t>
                            </w:r>
                            <w:proofErr w:type="spellStart"/>
                            <w:r>
                              <w:t>subpockets</w:t>
                            </w:r>
                            <w:proofErr w:type="spellEnd"/>
                            <w:r>
                              <w:t xml:space="preserve"> S</w:t>
                            </w:r>
                            <w:r w:rsidRPr="0055255F">
                              <w:rPr>
                                <w:vertAlign w:val="subscript"/>
                              </w:rPr>
                              <w:t>1 – 4</w:t>
                            </w:r>
                            <w:r>
                              <w:t xml:space="preserve">. </w:t>
                            </w:r>
                          </w:p>
                        </w:txbxContent>
                      </wps:txbx>
                      <wps:bodyPr rot="0" vert="horz" wrap="square" lIns="91440" tIns="45720" rIns="91440" bIns="45720" anchor="t" anchorCtr="0">
                        <a:noAutofit/>
                      </wps:bodyPr>
                    </wps:wsp>
                  </a:graphicData>
                </a:graphic>
              </wp:inline>
            </w:drawing>
          </mc:Choice>
          <mc:Fallback>
            <w:pict>
              <v:shape w14:anchorId="22C3C32A" id="_x0000_s1132" type="#_x0000_t202" style="width:468pt;height:39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">
                <v:textbox>
                  <w:txbxContent>
                    <w:p w14:paraId="30DB0A56" w14:textId="77777777" w:rsidR="0044257B" w:rsidRDefault="0044257B" w:rsidP="007157EC">
                      <w:pPr>
                        <w:keepNext/>
                        <w:spacing w:after="0" w:line="240" w:lineRule="auto"/>
                        <w:jc w:val="center"/>
                      </w:pPr>
                      <w:r>
                        <w:rPr>
                          <w:noProof/>
                        </w:rPr>
                        <w:drawing>
                          <wp:inline distT="0" distB="0" distL="0" distR="0" wp14:anchorId="46538241" wp14:editId="5BBFF620">
                            <wp:extent cx="5340096" cy="3931920"/>
                            <wp:effectExtent l="0" t="0" r="0" b="0"/>
                            <wp:docPr id="320" name="Picture 320" descr="A picture containin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olorful&#10;&#10;Description automatically generated"/>
                                    <pic:cNvPicPr/>
                                  </pic:nvPicPr>
                                  <pic:blipFill>
                                    <a:blip r:embed="rId409">
                                      <a:extLst>
                                        <a:ext uri="{28A0092B-C50C-407E-A947-70E740481C1C}">
                                          <a14:useLocalDpi xmlns:a14="http://schemas.microsoft.com/office/drawing/2010/main" val="0"/>
                                        </a:ext>
                                      </a:extLst>
                                    </a:blip>
                                    <a:stretch>
                                      <a:fillRect/>
                                    </a:stretch>
                                  </pic:blipFill>
                                  <pic:spPr>
                                    <a:xfrm>
                                      <a:off x="0" y="0"/>
                                      <a:ext cx="5340096" cy="3931920"/>
                                    </a:xfrm>
                                    <a:prstGeom prst="rect">
                                      <a:avLst/>
                                    </a:prstGeom>
                                  </pic:spPr>
                                </pic:pic>
                              </a:graphicData>
                            </a:graphic>
                          </wp:inline>
                        </w:drawing>
                      </w:r>
                    </w:p>
                    <w:p w14:paraId="5E286047" w14:textId="66DAD468" w:rsidR="0044257B" w:rsidRDefault="0044257B" w:rsidP="00DF51F5">
                      <w:pPr>
                        <w:pStyle w:val="Caption"/>
                      </w:pPr>
                      <w:bookmarkStart w:id="519" w:name="_Ref100285499"/>
                      <w:bookmarkStart w:id="520" w:name="_Toc100243279"/>
                      <w:bookmarkStart w:id="521" w:name="_Toc100748332"/>
                      <w:r>
                        <w:t>Figure 4.</w:t>
                      </w:r>
                      <w:fldSimple w:instr=" SEQ Figure \* ARABIC ">
                        <w:r w:rsidR="00AA5AAC">
                          <w:rPr>
                            <w:noProof/>
                          </w:rPr>
                          <w:t>7</w:t>
                        </w:r>
                      </w:fldSimple>
                      <w:bookmarkEnd w:id="519"/>
                      <w:r>
                        <w:t>. The active site of SARS-CoV-2 with bound substrates.</w:t>
                      </w:r>
                      <w:bookmarkEnd w:id="520"/>
                      <w:bookmarkEnd w:id="521"/>
                      <w:r>
                        <w:t xml:space="preserve"> </w:t>
                      </w:r>
                    </w:p>
                    <w:p w14:paraId="4E02783B" w14:textId="77777777" w:rsidR="0044257B" w:rsidRDefault="0044257B" w:rsidP="0044257B">
                      <w:pPr>
                        <w:spacing w:line="240" w:lineRule="auto"/>
                      </w:pPr>
                      <w:r>
                        <w:t xml:space="preserve">The surface representation of the </w:t>
                      </w:r>
                      <w:proofErr w:type="spellStart"/>
                      <w:r>
                        <w:t>M</w:t>
                      </w:r>
                      <w:r w:rsidRPr="008E6D80">
                        <w:rPr>
                          <w:vertAlign w:val="superscript"/>
                        </w:rPr>
                        <w:t>pro</w:t>
                      </w:r>
                      <w:proofErr w:type="spellEnd"/>
                      <w:r>
                        <w:t xml:space="preserve"> protein is bound to (A) a representative native polyprotein substrate and (B) protease inhibitor ML188 (PDB code 3V3M, PubChem SID87915542). The P1, P1’, P2, P3, and P4 substrate sites are indicated, along with binding </w:t>
                      </w:r>
                      <w:proofErr w:type="spellStart"/>
                      <w:r>
                        <w:t>subpockets</w:t>
                      </w:r>
                      <w:proofErr w:type="spellEnd"/>
                      <w:r>
                        <w:t xml:space="preserve"> S</w:t>
                      </w:r>
                      <w:r w:rsidRPr="0055255F">
                        <w:rPr>
                          <w:vertAlign w:val="subscript"/>
                        </w:rPr>
                        <w:t>1 – 4</w:t>
                      </w:r>
                      <w:r>
                        <w:t xml:space="preserve">. </w:t>
                      </w:r>
                    </w:p>
                  </w:txbxContent>
                </v:textbox>
                <w10:anchorlock/>
              </v:shape>
            </w:pict>
          </mc:Fallback>
        </mc:AlternateContent>
      </w:r>
    </w:p>
    <w:p w14:paraId="342E5457" w14:textId="77777777" w:rsidR="0044257B" w:rsidRPr="0044257B" w:rsidRDefault="0044257B" w:rsidP="0044257B">
      <w:pPr>
        <w:spacing w:after="0"/>
        <w:ind w:firstLine="720"/>
      </w:pPr>
      <w:r w:rsidRPr="0044257B">
        <w:t>A comparative molecular field analysis (</w:t>
      </w:r>
      <w:proofErr w:type="spellStart"/>
      <w:r w:rsidRPr="0044257B">
        <w:t>CoMFA</w:t>
      </w:r>
      <w:proofErr w:type="spellEnd"/>
      <w:r w:rsidRPr="0044257B">
        <w:t>) model was constructed to optimize octapeptide-based inhibitors,</w:t>
      </w:r>
      <w:r w:rsidRPr="0044257B">
        <w:fldChar w:fldCharType="begin"/>
      </w:r>
      <w:r w:rsidRPr="0044257B">
        <w:instrText xml:space="preserve"> ADDIN ZOTERO_ITEM CSL_CITATION {"citationID":"4CaS6iuj","properties":{"formattedCitation":"\\super 71\\nosupersub{}","plainCitation":"71","noteIndex":0},"citationItems":[{"id":832,"uris":["http://zotero.org/users/6503767/items/G57NB8KR"],"itemData":{"id":832,"type":"article-journal","abstract":"The 3C-like proteinase of severe acute respiratory syndrome coronavirus (SARS) has been proposed to be a key target for structural based drug design against SARS. We have designed and synthesized 34 peptide substrates and determined their hydrolysis activities. The conserved core sequence of the native cleavage site is optimized for high hydrolysis activity. Residues at position P4, P3, and P3′ are critical for substrate recognition and binding, and increment of β-sheet conformation tendency is also helpful. A comparative molecular field analysis (CoMFA) model was constructed. Based on the mutation data and CoMFA model, a multiply mutated octapeptide S24 was designed for higher activity. The experimentally determined hydrolysis activity of S24 is the highest in all designed substrates and is close to that predicted by CoMFA. These results offer helpful information for the research on the mechanism of substrate recognition of coronavirus 3C-like proteinase.","container-title":"Biochemical and Biophysical Research Communications","DOI":"10.1016/j.bbrc.2005.02.061","ISSN":"0006-291X","issue":"3","journalAbbreviation":"Biochem Biophys Res Commun","note":"PMID: 15752746\nPMCID: PMC7092912","page":"934-940","source":"PubMed Central","title":"The substrate specificity of SARS coronavirus 3C-like proteinase","volume":"329","author":[{"family":"Fan","given":"Keqiang"},{"family":"Ma","given":"Liang"},{"family":"Han","given":"Xiaofeng"},{"family":"Liang","given":"Huanhuan"},{"family":"Wei","given":"Ping"},{"family":"Liu","given":"Ying"},{"family":"Lai","given":"Luhua"}],"issued":{"date-parts":[["2005",4,15]]}}}],"schema":"https://github.com/citation-style-language/schema/raw/master/csl-citation.json"} </w:instrText>
      </w:r>
      <w:r w:rsidRPr="0044257B">
        <w:fldChar w:fldCharType="separate"/>
      </w:r>
      <w:r w:rsidRPr="0044257B">
        <w:rPr>
          <w:rFonts w:cs="Times New Roman"/>
          <w:szCs w:val="24"/>
          <w:vertAlign w:val="superscript"/>
        </w:rPr>
        <w:t>71</w:t>
      </w:r>
      <w:r w:rsidRPr="0044257B">
        <w:fldChar w:fldCharType="end"/>
      </w:r>
      <w:r w:rsidRPr="0044257B">
        <w:t xml:space="preserve"> and a substrate specificity profile was determined from a systematic </w:t>
      </w:r>
      <w:r w:rsidRPr="0044257B">
        <w:lastRenderedPageBreak/>
        <w:t>saturation mutagenesis study that was conducted at the P3, P4, and P5 positions of the substrate,</w:t>
      </w:r>
      <w:r w:rsidRPr="0044257B">
        <w:fldChar w:fldCharType="begin"/>
      </w:r>
      <w:r w:rsidRPr="0044257B">
        <w:instrText xml:space="preserve"> ADDIN ZOTERO_ITEM CSL_CITATION {"citationID":"PpVfO1Yy","properties":{"formattedCitation":"\\super 72\\nosupersub{}","plainCitation":"72","noteIndex":0},"citationItems":[{"id":830,"uris":["http://zotero.org/users/6503767/items/R7ZV7DIP"],"itemData":{"id":830,"type":"article-journal","abstract":"Background Coronaviruses (CoVs) can be classified into alphacoronavirus (group 1), betacoronavirus (group 2), and gammacoronavirus (group 3) based on diversity of the protein sequences. Their 3C-like protease (3CLpro), which catalyzes the proteolytic processing of the polyproteins for viral replication, is a potential target for anti-coronaviral infection. Methodology/Principal Findings Here, we profiled the substrate specificities of 3CLpro from human CoV NL63 (group 1), human CoV OC43 (group 2a), severe acute respiratory syndrome coronavirus (SARS-CoV) (group 2b) and infectious bronchitis virus (IBV) (group 3), by measuring their activity against a substrate library of 19×8 of variants with single substitutions at P5 to P3' positions. The results were correlated with structural properties like side chain volume, hydrophobicity, and secondary structure propensities of substituting residues. All 3CLpro prefer Gln at P1 position, Leu at P2 position, basic residues at P3 position, small hydrophobic residues at P4 position, and small residues at P1' and P2' positions. Despite 3CLpro from different groups of CoVs share many similarities in substrate specificities, differences in substrate specificities were observed at P4 positions, with IBV 3CLpro prefers P4-Pro and SARS-CoV 3CLpro prefers P4-Val. By combining the most favorable residues at P3 to P5 positions, we identified super-active substrate sequences ‘VARLQ↓SGF’ that can be cleaved efficiently by all 3CLpro with relative activity of 1.7 to 3.2, and ‘VPRLQ↓SGF’ that can be cleaved specifically by IBV 3CLpro with relative activity of 4.3. Conclusions/Significance The comprehensive substrate specificities of 3CLpro from each of the group 1, 2a, 2b, and 3 CoVs have been profiled in this study, which may provide insights into a rational design of broad-spectrum peptidomimetic inhibitors targeting the proteases.","container-title":"PLOS ONE","DOI":"10.1371/journal.pone.0027228","ISSN":"1932-6203","issue":"11","journalAbbreviation":"PLOS ONE","language":"en","note":"publisher: Public Library of Science","page":"e27228","source":"PLoS Journals","title":"Profiling of Substrate Specificities of 3C-Like Proteases from Group 1, 2a, 2b, and 3 Coronaviruses","volume":"6","author":[{"family":"Chuck","given":"Chi-Pang"},{"family":"Chow","given":"Hak-Fun"},{"family":"Wan","given":"David Chi-Cheong"},{"family":"Wong","given":"Kam-Bo"}],"issued":{"date-parts":[["2011",11,2]]}}}],"schema":"https://github.com/citation-style-language/schema/raw/master/csl-citation.json"} </w:instrText>
      </w:r>
      <w:r w:rsidRPr="0044257B">
        <w:fldChar w:fldCharType="separate"/>
      </w:r>
      <w:r w:rsidRPr="0044257B">
        <w:rPr>
          <w:rFonts w:cs="Times New Roman"/>
          <w:szCs w:val="24"/>
          <w:vertAlign w:val="superscript"/>
        </w:rPr>
        <w:t>72</w:t>
      </w:r>
      <w:r w:rsidRPr="0044257B">
        <w:fldChar w:fldCharType="end"/>
      </w:r>
      <w:r w:rsidRPr="0044257B">
        <w:t xml:space="preserve"> providing a basis for peptidomimetic inhibitor design. First-generation protease inhibitors often maintain a peptidic nature, achieve sub-micromolar activity, and demonstrate a strong SAR between </w:t>
      </w:r>
      <w:proofErr w:type="spellStart"/>
      <w:r w:rsidRPr="0044257B">
        <w:t>M</w:t>
      </w:r>
      <w:r w:rsidRPr="0044257B">
        <w:rPr>
          <w:vertAlign w:val="superscript"/>
        </w:rPr>
        <w:t>pro</w:t>
      </w:r>
      <w:proofErr w:type="spellEnd"/>
      <w:r w:rsidRPr="0044257B">
        <w:t xml:space="preserve"> and its substrates.</w:t>
      </w:r>
      <w:r w:rsidRPr="0044257B">
        <w:fldChar w:fldCharType="begin"/>
      </w:r>
      <w:r w:rsidRPr="0044257B">
        <w:instrText xml:space="preserve"> ADDIN ZOTERO_ITEM CSL_CITATION {"citationID":"i3RSggh1","properties":{"formattedCitation":"\\super 68,73\\uc0\\u8211{}77\\nosupersub{}","plainCitation":"68,73–77","noteIndex":0},"citationItems":[{"id":817,"uris":["http://zotero.org/users/6503767/items/WWZ7BXAR"],"itemData":{"id":817,"type":"article-journal","abstract":"A new coronavirus SARS-CoV-2, also called novel coronavirus 2019 (2019-nCoV), started to circulate among humans around December 2019, and it is now widespread as a global pandemic. The disease caused by SARS-CoV-2 virus is called COVID-19, which is highly contagious and has an overall mortality rate of 6.35% as of May 26, 2020. There is no vaccine or antiviral available for SARS-CoV-2. In this study, we report our discovery of inhibitors targeting the SARS-CoV-2 main protease (Mpro). Using the FRET-based enzymatic assay, several inhibitors including boceprevir, GC-376, and calpain inhibitors II, and XII were identified to have potent activity with single-digit to submicromolar IC50 values in the enzymatic assay. The mechanism of action of the hits was further characterized using enzyme kinetic studies, thermal shift binding assays, and native mass spectrometry. Significantly, four compounds (boceprevir, GC-376, calpain inhibitors II and XII) inhibit SARS-CoV-2 viral replication in cell culture with EC50 values ranging from 0.49 to 3.37 µM. Notably, boceprevir, calpain inhibitors II and XII represent novel chemotypes that are distinct from known substrate-based peptidomimetic Mpro inhibitors. A complex crystal structure of SARS-CoV-2 Mpro with GC-376, determined at 2.15 Å resolution with three protomers per asymmetric unit, revealed two unique binding configurations, shedding light on the molecular interactions and protein conformational flexibility underlying substrate and inhibitor binding by Mpro. Overall, the compounds identified herein provide promising starting points for the further development of SARS-CoV-2 therapeutics.","container-title":"Cell Research","DOI":"10.1038/s41422-020-0356-z","ISSN":"1748-7838","issue":"8","journalAbbreviation":"Cell Res","language":"en","note":"number: 8\npublisher: Nature Publishing Group","page":"678-692","source":"www-nature-com.ezproxy.lib.ou.edu","title":"Boceprevir, GC-376, and calpain inhibitors II, XII inhibit SARS-CoV-2 viral replication by targeting the viral main protease","volume":"30","author":[{"family":"Ma","given":"Chunlong"},{"family":"Sacco","given":"Michael Dominic"},{"family":"Hurst","given":"Brett"},{"family":"Townsend","given":"Julia Alma"},{"family":"Hu","given":"Yanmei"},{"family":"Szeto","given":"Tommy"},{"family":"Zhang","given":"Xiujun"},{"family":"Tarbet","given":"Bart"},{"family":"Marty","given":"Michael Thomas"},{"family":"Chen","given":"Yu"},{"family":"Wang","given":"Jun"}],"issued":{"date-parts":[["2020",8]]}}},{"id":827,"uris":["http://zotero.org/users/6503767/items/3TMFADSP"],"itemData":{"id":827,"type":"article-journal","abstract":"A new coronavirus, known as severe acute respiratory syndrome coronavirus 2 (SARS-CoV-2), is the aetiological agent responsible for the 2019–2020 viral pneumonia outbreak of coronavirus disease 2019 (COVID-19)1–4. Currently, there are no targeted therapeutic agents for the treatment of this disease, and effective treatment options remain very limited. Here we describe the results of a programme that aimed to rapidly discover lead compounds for clinical use, by combining structure-assisted drug design, virtual drug screening and high-throughput screening. This programme focused on identifying drug leads that target main protease (Mpro) of SARS-CoV-2: Mpro is a key enzyme of coronaviruses and has a pivotal role in mediating viral replication and transcription, making it an attractive drug target for SARS-CoV-25,6. We identified a mechanism-based inhibitor (N3) by computer-aided drug design, and then determined the crystal structure of Mpro of SARS-CoV-2 in complex with this compound. Through a combination of structure-based virtual and high-throughput screening, we assayed more than 10,000 compounds—including approved drugs, drug candidates in clinical trials and other pharmacologically active compounds—as inhibitors of Mpro. Six of these compounds inhibited Mpro, showing half-maximal inhibitory concentration values that ranged from 0.67 to 21.4 μM. One of these compounds (ebselen) also exhibited promising antiviral activity in cell-based assays. Our results demonstrate the efficacy of our screening strategy, which can lead to the rapid discovery of drug leads with clinical potential in response to new infectious diseases for which no specific drugs or vaccines are available.","container-title":"Nature","DOI":"10.1038/s41586-020-2223-y","ISSN":"1476-4687","issue":"7811","language":"en","note":"number: 7811\npublisher: Nature Publishing Group","page":"289-293","source":"www-nature-com.ezproxy.lib.ou.edu","title":"Structure of Mpro from SARS-CoV-2 and discovery of its inhibitors","volume":"582","author":[{"family":"Jin","given":"Zhenming"},{"family":"Du","given":"Xiaoyu"},{"family":"Xu","given":"Yechun"},{"family":"Deng","given":"Yongqiang"},{"family":"Liu","given":"Meiqin"},{"family":"Zhao","given":"Yao"},{"family":"Zhang","given":"Bing"},{"family":"Li","given":"Xiaofeng"},{"family":"Zhang","given":"Leike"},{"family":"Peng","given":"Chao"},{"family":"Duan","given":"Yinkai"},{"family":"Yu","given":"Jing"},{"family":"Wang","given":"Lin"},{"family":"Yang","given":"Kailin"},{"family":"Liu","given":"Fengjiang"},{"family":"Jiang","given":"Rendi"},{"family":"Yang","given":"Xinglou"},{"family":"You","given":"Tian"},{"family":"Liu","given":"Xiaoce"},{"family":"Yang","given":"Xiuna"},{"family":"Bai","given":"Fang"},{"family":"Liu","given":"Hong"},{"family":"Liu","given":"Xiang"},{"family":"Guddat","given":"Luke W."},{"family":"Xu","given":"Wenqing"},{"family":"Xiao","given":"Gengfu"},{"family":"Qin","given":"Chengfeng"},{"family":"Shi","given":"Zhengli"},{"family":"Jiang","given":"Hualiang"},{"family":"Rao","given":"Zihe"},{"family":"Yang","given":"Haitao"}],"issued":{"date-parts":[["2020",6]]}}},{"id":696,"uris":["http://zotero.org/users/6503767/items/CM4FCGW5"],"itemData":{"id":696,"type":"article-journal","abstract":"The coronavirus disease 2019 (COVID-19) pandemic caused by severe acute respiratory syndrome-coronavirus 2 (SARS-CoV-2) is a global health emergency. An attractive drug target among coronaviruses is the main protease (Mpro, also called 3CLpro) because of its essential role in processing the polyproteins that are translated from the viral RNA. We report the x-ray structures of the unliganded SARS-CoV-2 Mpro and its complex with an α-ketoamide inhibitor. This was derived from a previously designed inhibitor but with the P3-P2 amide bond incorporated into a pyridone ring to enhance the half-life of the compound in plasma. On the basis of the unliganded structure, we developed the lead compound into a potent inhibitor of the SARS-CoV-2 Mpro The pharmacokinetic characterization of the optimized inhibitor reveals a pronounced lung tropism and suitability for administration by the inhalative route.","container-title":"Science (New York, N.Y.)","DOI":"10.1126/science.abb3405","ISSN":"1095-9203","issue":"6489","journalAbbreviation":"Science","language":"eng","note":"PMID: 32198291\nPMCID: PMC7164518","page":"409-412","source":"PubMed","title":"Crystal structure of SARS-CoV-2 main protease provides a basis for design of improved α-ketoamide inhibitors","volume":"368","author":[{"family":"Zhang","given":"Linlin"},{"family":"Lin","given":"Daizong"},{"family":"Sun","given":"Xinyuanyuan"},{"family":"Curth","given":"Ute"},{"family":"Drosten","given":"Christian"},{"family":"Sauerhering","given":"Lucie"},{"family":"Becker","given":"Stephan"},{"family":"Rox","given":"Katharina"},{"family":"Hilgenfeld","given":"Rolf"}],"issued":{"date-parts":[["2020",4,24]]}}},{"id":836,"uris":["http://zotero.org/users/6503767/items/XSULVIZT"],"itemData":{"id":836,"type":"article-journal","container-title":"Proceedings of the National Academy of Sciences","DOI":"10.1073/pnas.1835675100","issue":"23","note":"publisher: Proceedings of the National Academy of Sciences","page":"13190-13195","source":"pnas.org (Atypon)","title":"The crystal structures of severe acute respiratory syndrome virus main protease and its complex with an inhibitor","volume":"100","author":[{"family":"Yang","given":"Haitao"},{"family":"Yang","given":"Maojun"},{"family":"Ding","given":"Yi"},{"family":"Liu","given":"Yiwei"},{"family":"Lou","given":"Zhiyong"},{"family":"Zhou","given":"Zhe"},{"family":"Sun","given":"Lei"},{"family":"Mo","given":"Lijuan"},{"family":"Ye","given":"Sheng"},{"family":"Pang","given":"Hai"},{"family":"Gao","given":"George F."},{"family":"Anand","given":"Kanchan"},{"family":"Bartlam","given":"Mark"},{"family":"Hilgenfeld","given":"Rolf"},{"family":"Rao","given":"Zihe"}],"issued":{"date-parts":[["2003",11,11]]}}},{"id":838,"uris":["http://zotero.org/users/6503767/items/UJMQDU6Y"],"itemData":{"id":838,"type":"article-journal","container-title":"Annual Reports in Medicinal Chemistry","DOI":"10.1016/S0065-7743(06)41011-3","ISSN":"0065-7743","journalAbbreviation":"Annu Rep Med Chem","language":"eng","note":"PMID: 19649165\nPMCID: PMC2718771","page":"183-196","source":"PubMed","title":"Progress in Anti-SARS Coronavirus Chemistry, Biology and Chemotherapy","volume":"41","author":[{"family":"Ghosh","given":"Arun K."},{"family":"Xi","given":"Kai"},{"family":"Johnson","given":"Michael E."},{"family":"Baker","given":"Susan C."},{"family":"Mesecar","given":"Andrew D."}],"issued":{"date-parts":[["2007",2,1]]}}},{"id":841,"uris":["http://zotero.org/users/6503767/items/D4DPBGHX"],"itemData":{"id":841,"type":"article-journal","abstract":"The 3C-like proteinase (3CLpro) of severe acute respiratory syndrome (SARS) coronavirus is a key target for structure-based drug design against this viral infection. The enzyme recognizes peptide substrates with a glutamine residue at the P1 site. A series of keto-glutamine analogues with a phthalhydrazido group at the α-position were synthesized and tested as reversible inhibitiors against SARS 3CLpro. Attachment of tripeptide (Ac-Val-Thr-Leu) to these glutamine-based “warheads” generated significantly better inhibitors (4a−c, 8a−d) with IC50 values ranging from 0.60 to 70 μM.","container-title":"Journal of Medicinal Chemistry","DOI":"10.1021/jm0494873","ISSN":"0022-2623","issue":"25","journalAbbreviation":"J. Med. Chem.","note":"publisher: American Chemical Society","page":"6113-6116","source":"ACS Publications","title":"Synthesis and Evaluation of Keto-Glutamine Analogues as Potent Inhibitors of Severe Acute Respiratory Syndrome 3CLpro","volume":"47","author":[{"family":"Jain","given":"Rajendra P."},{"family":"Pettersson","given":"Hanna I."},{"family":"Zhang","given":"Jianmin"},{"family":"Aull","given":"Katherine D."},{"family":"Fortin","given":"Pascal D."},{"family":"Huitema","given":"Carly"},{"family":"Eltis","given":"Lindsay D."},{"family":"Parrish","given":"Jonathan C."},{"family":"James","given":"Michael N. G."},{"family":"Wishart","given":"David S."},{"family":"Vederas","given":"John C."}],"issued":{"date-parts":[["2004",12,1]]}}}],"schema":"https://github.com/citation-style-language/schema/raw/master/csl-citation.json"} </w:instrText>
      </w:r>
      <w:r w:rsidRPr="0044257B">
        <w:fldChar w:fldCharType="separate"/>
      </w:r>
      <w:r w:rsidRPr="0044257B">
        <w:rPr>
          <w:rFonts w:cs="Times New Roman"/>
          <w:szCs w:val="24"/>
          <w:vertAlign w:val="superscript"/>
        </w:rPr>
        <w:t>68,73–77</w:t>
      </w:r>
      <w:r w:rsidRPr="0044257B">
        <w:fldChar w:fldCharType="end"/>
      </w:r>
      <w:r w:rsidRPr="0044257B">
        <w:t xml:space="preserve"> </w:t>
      </w:r>
    </w:p>
    <w:p w14:paraId="70666B57" w14:textId="77777777" w:rsidR="0044257B" w:rsidRPr="0044257B" w:rsidRDefault="0044257B" w:rsidP="0044257B">
      <w:pPr>
        <w:spacing w:after="0"/>
      </w:pPr>
      <w:r w:rsidRPr="0044257B">
        <w:rPr>
          <w:noProof/>
        </w:rPr>
        <mc:AlternateContent>
          <mc:Choice Requires="wps">
            <w:drawing>
              <wp:inline distT="0" distB="0" distL="0" distR="0" wp14:anchorId="136B5397" wp14:editId="1656FB85">
                <wp:extent cx="5943600" cy="6074796"/>
                <wp:effectExtent l="0" t="0" r="19050" b="21590"/>
                <wp:docPr id="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74796"/>
                        </a:xfrm>
                        <a:prstGeom prst="rect">
                          <a:avLst/>
                        </a:prstGeom>
                        <a:solidFill>
                          <a:srgbClr val="FFFFFF"/>
                        </a:solidFill>
                        <a:ln w="9525">
                          <a:solidFill>
                            <a:srgbClr val="000000"/>
                          </a:solidFill>
                          <a:miter lim="800000"/>
                          <a:headEnd/>
                          <a:tailEnd/>
                        </a:ln>
                      </wps:spPr>
                      <wps:txbx>
                        <w:txbxContent>
                          <w:p w14:paraId="2A3995F3" w14:textId="77777777" w:rsidR="0044257B" w:rsidRDefault="0044257B" w:rsidP="00365E54">
                            <w:pPr>
                              <w:keepNext/>
                              <w:spacing w:after="0" w:line="276" w:lineRule="auto"/>
                              <w:jc w:val="center"/>
                            </w:pPr>
                            <w:r>
                              <w:rPr>
                                <w:noProof/>
                              </w:rPr>
                              <w:drawing>
                                <wp:inline distT="0" distB="0" distL="0" distR="0" wp14:anchorId="70AD0189" wp14:editId="1B79991B">
                                  <wp:extent cx="5559130" cy="4929808"/>
                                  <wp:effectExtent l="0" t="0" r="3810" b="4445"/>
                                  <wp:docPr id="321" name="Picture 3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rotWithShape="1">
                                          <a:blip r:embed="rId410">
                                            <a:extLst>
                                              <a:ext uri="{28A0092B-C50C-407E-A947-70E740481C1C}">
                                                <a14:useLocalDpi xmlns:a14="http://schemas.microsoft.com/office/drawing/2010/main" val="0"/>
                                              </a:ext>
                                            </a:extLst>
                                          </a:blip>
                                          <a:srcRect b="1790"/>
                                          <a:stretch/>
                                        </pic:blipFill>
                                        <pic:spPr bwMode="auto">
                                          <a:xfrm>
                                            <a:off x="0" y="0"/>
                                            <a:ext cx="5559552" cy="4930182"/>
                                          </a:xfrm>
                                          <a:prstGeom prst="rect">
                                            <a:avLst/>
                                          </a:prstGeom>
                                          <a:ln>
                                            <a:noFill/>
                                          </a:ln>
                                          <a:extLst>
                                            <a:ext uri="{53640926-AAD7-44D8-BBD7-CCE9431645EC}">
                                              <a14:shadowObscured xmlns:a14="http://schemas.microsoft.com/office/drawing/2010/main"/>
                                            </a:ext>
                                          </a:extLst>
                                        </pic:spPr>
                                      </pic:pic>
                                    </a:graphicData>
                                  </a:graphic>
                                </wp:inline>
                              </w:drawing>
                            </w:r>
                          </w:p>
                          <w:p w14:paraId="7E3A63C4" w14:textId="11541CEF" w:rsidR="0044257B" w:rsidRDefault="0044257B" w:rsidP="00DF51F5">
                            <w:pPr>
                              <w:pStyle w:val="Caption"/>
                            </w:pPr>
                            <w:bookmarkStart w:id="522" w:name="_Ref100285460"/>
                            <w:bookmarkStart w:id="523" w:name="_Toc100243280"/>
                            <w:bookmarkStart w:id="524" w:name="_Toc100748333"/>
                            <w:r>
                              <w:t>Figure 4.</w:t>
                            </w:r>
                            <w:fldSimple w:instr=" SEQ Figure \* ARABIC ">
                              <w:r w:rsidR="00AA5AAC">
                                <w:rPr>
                                  <w:noProof/>
                                </w:rPr>
                                <w:t>8</w:t>
                              </w:r>
                            </w:fldSimple>
                            <w:bookmarkEnd w:id="522"/>
                            <w:r>
                              <w:t>. SARS-</w:t>
                            </w:r>
                            <w:proofErr w:type="spellStart"/>
                            <w:r>
                              <w:t>CoV</w:t>
                            </w:r>
                            <w:proofErr w:type="spellEnd"/>
                            <w:r>
                              <w:t xml:space="preserve"> </w:t>
                            </w:r>
                            <w:proofErr w:type="spellStart"/>
                            <w:r>
                              <w:t>M</w:t>
                            </w:r>
                            <w:r w:rsidRPr="005E78CC">
                              <w:rPr>
                                <w:vertAlign w:val="superscript"/>
                              </w:rPr>
                              <w:t>pro</w:t>
                            </w:r>
                            <w:proofErr w:type="spellEnd"/>
                            <w:r>
                              <w:t xml:space="preserve"> inhibition of ML188 and its enantiomers.</w:t>
                            </w:r>
                            <w:bookmarkEnd w:id="523"/>
                            <w:bookmarkEnd w:id="524"/>
                            <w:r>
                              <w:t xml:space="preserve"> </w:t>
                            </w:r>
                          </w:p>
                          <w:p w14:paraId="211243E6" w14:textId="77777777" w:rsidR="0044257B" w:rsidRPr="0098114C" w:rsidRDefault="0044257B" w:rsidP="0044257B">
                            <w:pPr>
                              <w:spacing w:line="240" w:lineRule="auto"/>
                            </w:pPr>
                            <w:r>
                              <w:t xml:space="preserve">The co-crystal structure of </w:t>
                            </w:r>
                            <w:r w:rsidRPr="00A71E20">
                              <w:rPr>
                                <w:b/>
                                <w:bCs/>
                              </w:rPr>
                              <w:t>3</w:t>
                            </w:r>
                            <w:r>
                              <w:t xml:space="preserve"> and SARS-</w:t>
                            </w:r>
                            <w:proofErr w:type="spellStart"/>
                            <w:r>
                              <w:t>CoV</w:t>
                            </w:r>
                            <w:proofErr w:type="spellEnd"/>
                            <w:r>
                              <w:t xml:space="preserve"> </w:t>
                            </w:r>
                            <w:proofErr w:type="spellStart"/>
                            <w:r>
                              <w:t>M</w:t>
                            </w:r>
                            <w:r w:rsidRPr="00A71E20">
                              <w:rPr>
                                <w:vertAlign w:val="superscript"/>
                              </w:rPr>
                              <w:t>pro</w:t>
                            </w:r>
                            <w:proofErr w:type="spellEnd"/>
                            <w:r>
                              <w:t xml:space="preserve"> shown by (A) the 2D ligand interaction diagram, and (B) the 3D representation of the co-crystal structures (PDB: 3V3M). Stauffer et al. discovered (C) acetamide compound ML188 as a potent noncovalent SARS-</w:t>
                            </w:r>
                            <w:proofErr w:type="spellStart"/>
                            <w:r>
                              <w:t>CoV</w:t>
                            </w:r>
                            <w:proofErr w:type="spellEnd"/>
                            <w:r>
                              <w:t xml:space="preserve"> </w:t>
                            </w:r>
                            <w:proofErr w:type="spellStart"/>
                            <w:r>
                              <w:t>M</w:t>
                            </w:r>
                            <w:r w:rsidRPr="0098114C">
                              <w:rPr>
                                <w:vertAlign w:val="superscript"/>
                              </w:rPr>
                              <w:t>pro</w:t>
                            </w:r>
                            <w:proofErr w:type="spellEnd"/>
                            <w:r>
                              <w:t xml:space="preserve"> inhibitor where </w:t>
                            </w:r>
                            <w:r w:rsidRPr="00A71E20">
                              <w:rPr>
                                <w:b/>
                                <w:bCs/>
                              </w:rPr>
                              <w:t>3-(</w:t>
                            </w:r>
                            <w:r w:rsidRPr="00A71E20">
                              <w:rPr>
                                <w:b/>
                                <w:bCs/>
                                <w:i/>
                                <w:iCs/>
                              </w:rPr>
                              <w:t>R</w:t>
                            </w:r>
                            <w:r w:rsidRPr="00A71E20">
                              <w:rPr>
                                <w:b/>
                                <w:bCs/>
                              </w:rPr>
                              <w:t>)</w:t>
                            </w:r>
                            <w:r>
                              <w:t xml:space="preserve"> is the eutomer. </w:t>
                            </w:r>
                          </w:p>
                        </w:txbxContent>
                      </wps:txbx>
                      <wps:bodyPr rot="0" vert="horz" wrap="square" lIns="91440" tIns="45720" rIns="91440" bIns="45720" anchor="t" anchorCtr="0">
                        <a:noAutofit/>
                      </wps:bodyPr>
                    </wps:wsp>
                  </a:graphicData>
                </a:graphic>
              </wp:inline>
            </w:drawing>
          </mc:Choice>
          <mc:Fallback>
            <w:pict>
              <v:shape w14:anchorId="136B5397" id="_x0000_s1133" type="#_x0000_t202" style="width:468pt;height:47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">
                <v:textbox>
                  <w:txbxContent>
                    <w:p w14:paraId="2A3995F3" w14:textId="77777777" w:rsidR="0044257B" w:rsidRDefault="0044257B" w:rsidP="00365E54">
                      <w:pPr>
                        <w:keepNext/>
                        <w:spacing w:after="0" w:line="276" w:lineRule="auto"/>
                        <w:jc w:val="center"/>
                      </w:pPr>
                      <w:r>
                        <w:rPr>
                          <w:noProof/>
                        </w:rPr>
                        <w:drawing>
                          <wp:inline distT="0" distB="0" distL="0" distR="0" wp14:anchorId="70AD0189" wp14:editId="1B79991B">
                            <wp:extent cx="5559130" cy="4929808"/>
                            <wp:effectExtent l="0" t="0" r="3810" b="4445"/>
                            <wp:docPr id="321" name="Picture 3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rotWithShape="1">
                                    <a:blip r:embed="rId410">
                                      <a:extLst>
                                        <a:ext uri="{28A0092B-C50C-407E-A947-70E740481C1C}">
                                          <a14:useLocalDpi xmlns:a14="http://schemas.microsoft.com/office/drawing/2010/main" val="0"/>
                                        </a:ext>
                                      </a:extLst>
                                    </a:blip>
                                    <a:srcRect b="1790"/>
                                    <a:stretch/>
                                  </pic:blipFill>
                                  <pic:spPr bwMode="auto">
                                    <a:xfrm>
                                      <a:off x="0" y="0"/>
                                      <a:ext cx="5559552" cy="4930182"/>
                                    </a:xfrm>
                                    <a:prstGeom prst="rect">
                                      <a:avLst/>
                                    </a:prstGeom>
                                    <a:ln>
                                      <a:noFill/>
                                    </a:ln>
                                    <a:extLst>
                                      <a:ext uri="{53640926-AAD7-44D8-BBD7-CCE9431645EC}">
                                        <a14:shadowObscured xmlns:a14="http://schemas.microsoft.com/office/drawing/2010/main"/>
                                      </a:ext>
                                    </a:extLst>
                                  </pic:spPr>
                                </pic:pic>
                              </a:graphicData>
                            </a:graphic>
                          </wp:inline>
                        </w:drawing>
                      </w:r>
                    </w:p>
                    <w:p w14:paraId="7E3A63C4" w14:textId="11541CEF" w:rsidR="0044257B" w:rsidRDefault="0044257B" w:rsidP="00DF51F5">
                      <w:pPr>
                        <w:pStyle w:val="Caption"/>
                      </w:pPr>
                      <w:bookmarkStart w:id="525" w:name="_Ref100285460"/>
                      <w:bookmarkStart w:id="526" w:name="_Toc100243280"/>
                      <w:bookmarkStart w:id="527" w:name="_Toc100748333"/>
                      <w:r>
                        <w:t>Figure 4.</w:t>
                      </w:r>
                      <w:fldSimple w:instr=" SEQ Figure \* ARABIC ">
                        <w:r w:rsidR="00AA5AAC">
                          <w:rPr>
                            <w:noProof/>
                          </w:rPr>
                          <w:t>8</w:t>
                        </w:r>
                      </w:fldSimple>
                      <w:bookmarkEnd w:id="525"/>
                      <w:r>
                        <w:t>. SARS-</w:t>
                      </w:r>
                      <w:proofErr w:type="spellStart"/>
                      <w:r>
                        <w:t>CoV</w:t>
                      </w:r>
                      <w:proofErr w:type="spellEnd"/>
                      <w:r>
                        <w:t xml:space="preserve"> </w:t>
                      </w:r>
                      <w:proofErr w:type="spellStart"/>
                      <w:r>
                        <w:t>M</w:t>
                      </w:r>
                      <w:r w:rsidRPr="005E78CC">
                        <w:rPr>
                          <w:vertAlign w:val="superscript"/>
                        </w:rPr>
                        <w:t>pro</w:t>
                      </w:r>
                      <w:proofErr w:type="spellEnd"/>
                      <w:r>
                        <w:t xml:space="preserve"> inhibition of ML188 and its enantiomers.</w:t>
                      </w:r>
                      <w:bookmarkEnd w:id="526"/>
                      <w:bookmarkEnd w:id="527"/>
                      <w:r>
                        <w:t xml:space="preserve"> </w:t>
                      </w:r>
                    </w:p>
                    <w:p w14:paraId="211243E6" w14:textId="77777777" w:rsidR="0044257B" w:rsidRPr="0098114C" w:rsidRDefault="0044257B" w:rsidP="0044257B">
                      <w:pPr>
                        <w:spacing w:line="240" w:lineRule="auto"/>
                      </w:pPr>
                      <w:r>
                        <w:t xml:space="preserve">The co-crystal structure of </w:t>
                      </w:r>
                      <w:r w:rsidRPr="00A71E20">
                        <w:rPr>
                          <w:b/>
                          <w:bCs/>
                        </w:rPr>
                        <w:t>3</w:t>
                      </w:r>
                      <w:r>
                        <w:t xml:space="preserve"> and SARS-</w:t>
                      </w:r>
                      <w:proofErr w:type="spellStart"/>
                      <w:r>
                        <w:t>CoV</w:t>
                      </w:r>
                      <w:proofErr w:type="spellEnd"/>
                      <w:r>
                        <w:t xml:space="preserve"> </w:t>
                      </w:r>
                      <w:proofErr w:type="spellStart"/>
                      <w:r>
                        <w:t>M</w:t>
                      </w:r>
                      <w:r w:rsidRPr="00A71E20">
                        <w:rPr>
                          <w:vertAlign w:val="superscript"/>
                        </w:rPr>
                        <w:t>pro</w:t>
                      </w:r>
                      <w:proofErr w:type="spellEnd"/>
                      <w:r>
                        <w:t xml:space="preserve"> shown by (A) the 2D ligand interaction diagram, and (B) the 3D representation of the co-crystal structures (PDB: 3V3M). Stauffer et al. discovered (C) acetamide compound ML188 as a potent noncovalent SARS-</w:t>
                      </w:r>
                      <w:proofErr w:type="spellStart"/>
                      <w:r>
                        <w:t>CoV</w:t>
                      </w:r>
                      <w:proofErr w:type="spellEnd"/>
                      <w:r>
                        <w:t xml:space="preserve"> </w:t>
                      </w:r>
                      <w:proofErr w:type="spellStart"/>
                      <w:r>
                        <w:t>M</w:t>
                      </w:r>
                      <w:r w:rsidRPr="0098114C">
                        <w:rPr>
                          <w:vertAlign w:val="superscript"/>
                        </w:rPr>
                        <w:t>pro</w:t>
                      </w:r>
                      <w:proofErr w:type="spellEnd"/>
                      <w:r>
                        <w:t xml:space="preserve"> inhibitor where </w:t>
                      </w:r>
                      <w:r w:rsidRPr="00A71E20">
                        <w:rPr>
                          <w:b/>
                          <w:bCs/>
                        </w:rPr>
                        <w:t>3-(</w:t>
                      </w:r>
                      <w:r w:rsidRPr="00A71E20">
                        <w:rPr>
                          <w:b/>
                          <w:bCs/>
                          <w:i/>
                          <w:iCs/>
                        </w:rPr>
                        <w:t>R</w:t>
                      </w:r>
                      <w:r w:rsidRPr="00A71E20">
                        <w:rPr>
                          <w:b/>
                          <w:bCs/>
                        </w:rPr>
                        <w:t>)</w:t>
                      </w:r>
                      <w:r>
                        <w:t xml:space="preserve"> is the eutomer. </w:t>
                      </w:r>
                    </w:p>
                  </w:txbxContent>
                </v:textbox>
                <w10:anchorlock/>
              </v:shape>
            </w:pict>
          </mc:Fallback>
        </mc:AlternateContent>
      </w:r>
    </w:p>
    <w:p w14:paraId="2430CB5D" w14:textId="524BD7D7" w:rsidR="0044257B" w:rsidRPr="0044257B" w:rsidRDefault="0044257B" w:rsidP="0044257B">
      <w:pPr>
        <w:ind w:firstLine="720"/>
      </w:pPr>
      <w:r w:rsidRPr="0044257B">
        <w:rPr>
          <w:b/>
          <w:bCs/>
        </w:rPr>
        <w:fldChar w:fldCharType="begin"/>
      </w:r>
      <w:r w:rsidRPr="0044257B">
        <w:rPr>
          <w:b/>
          <w:bCs/>
        </w:rPr>
        <w:instrText xml:space="preserve"> REF _Ref100285460 \h  \* MERGEFORMAT </w:instrText>
      </w:r>
      <w:r w:rsidRPr="0044257B">
        <w:rPr>
          <w:b/>
          <w:bCs/>
        </w:rPr>
      </w:r>
      <w:r w:rsidRPr="0044257B">
        <w:rPr>
          <w:b/>
          <w:bCs/>
        </w:rPr>
        <w:fldChar w:fldCharType="separate"/>
      </w:r>
      <w:r w:rsidR="00AA5AAC" w:rsidRPr="00AA5AAC">
        <w:rPr>
          <w:b/>
          <w:bCs/>
        </w:rPr>
        <w:t>Figure 4.8</w:t>
      </w:r>
      <w:r w:rsidRPr="0044257B">
        <w:rPr>
          <w:b/>
          <w:bCs/>
        </w:rPr>
        <w:fldChar w:fldCharType="end"/>
      </w:r>
      <w:r w:rsidRPr="0044257B">
        <w:rPr>
          <w:b/>
          <w:bCs/>
        </w:rPr>
        <w:t xml:space="preserve"> </w:t>
      </w:r>
      <w:r w:rsidRPr="0044257B">
        <w:t>summarizes the findings from an optimization of a series of N-(tert-butyl)-2-(N-</w:t>
      </w:r>
      <w:proofErr w:type="spellStart"/>
      <w:r w:rsidRPr="0044257B">
        <w:t>arylamido</w:t>
      </w:r>
      <w:proofErr w:type="spellEnd"/>
      <w:r w:rsidRPr="0044257B">
        <w:t xml:space="preserve">)-2-(pyridine-3-yl) acetamides by Stauffer et al., which exemplifies the utility of </w:t>
      </w:r>
      <w:r w:rsidRPr="0044257B">
        <w:lastRenderedPageBreak/>
        <w:t>SAR studies to discover potent small molecule inhibitors of SARS-</w:t>
      </w:r>
      <w:proofErr w:type="spellStart"/>
      <w:r w:rsidRPr="0044257B">
        <w:t>CoV</w:t>
      </w:r>
      <w:proofErr w:type="spellEnd"/>
      <w:r w:rsidRPr="0044257B">
        <w:t xml:space="preserve"> M</w:t>
      </w:r>
      <w:r w:rsidRPr="0044257B">
        <w:rPr>
          <w:vertAlign w:val="superscript"/>
        </w:rPr>
        <w:t>pro</w:t>
      </w:r>
      <w:r w:rsidRPr="0044257B">
        <w:t>.</w:t>
      </w:r>
      <w:r w:rsidRPr="0044257B">
        <w:fldChar w:fldCharType="begin"/>
      </w:r>
      <w:r w:rsidRPr="0044257B">
        <w:instrText xml:space="preserve"> ADDIN ZOTERO_ITEM CSL_CITATION {"citationID":"X9Mo70sx","properties":{"formattedCitation":"\\super 48\\nosupersub{}","plainCitation":"48","noteIndex":0},"citationItems":[{"id":419,"uris":["http://zotero.org/users/6503767/items/FZJRUIXU"],"itemData":{"id":419,"type":"article-journal","abstract":"A high-throughput screen of the NIH molecular libraries sample collection and subsequent optimization of a lead dipeptide-like series of severe acute respiratory syndrome (SARS) main protease (3CLpro) inhibitors led to the identiﬁcation of probe compound ML188 (16-(R), (R)-N-(4-(tertbutyl)phenyl)-N-(2-(tert-butylamino)-2-oxo-1-(pyridin-3-yl)ethyl)furan-2-carboxamide, Pubchem CID: 46897844). Unlike the majority of reported coronavirus 3CLpro inhibitors that act via covalent modiﬁcation of the enzyme, 16-(R) is a noncovalent SARS-CoV 3CLpro inhibitor with moderate MW and good enzyme and antiviral inhibitory activity. A multicomponent Ugi reaction was utilized to rapidly explore structure−activity relationships within S1′, S1, and S2 enzyme binding pockets. The X-ray structure of SARS-CoV 3CLpro bound with 16-(R) was instrumental in guiding subsequent rounds of chemistry optimization. 16-(R) provides an excellent starting point for the further design and reﬁnement of 3CLpro inhibitors that act by a noncovalent mechanism of action.","container-title":"Journal of Medicinal Chemistry","DOI":"10.1021/jm301580n","ISSN":"0022-2623, 1520-4804","issue":"2","journalAbbreviation":"J. Med. Chem.","language":"en","page":"534-546","source":"DOI.org (Crossref)","title":"Discovery, Synthesis, And Structure-Based Optimization of a Series of &lt;i&gt;N&lt;/i&gt; -( &lt;i&gt;tert&lt;/i&gt; -Butyl)-2-( &lt;i&gt;N&lt;/i&gt; -arylamido)-2-(pyridin-3-yl) Acetamides (ML188) as Potent Noncovalent Small Molecule Inhibitors of the Severe Acute Respiratory Syndrome Coronavirus (SARS-CoV) 3CL Protease","volume":"56","author":[{"family":"Jacobs","given":"Jon"},{"family":"Grum-Tokars","given":"Valerie"},{"family":"Zhou","given":"Ya"},{"family":"Turlington","given":"Mark"},{"family":"Saldanha","given":"S. Adrian"},{"family":"Chase","given":"Peter"},{"family":"Eggler","given":"Aimee"},{"family":"Dawson","given":"Eric S."},{"family":"Baez-Santos","given":"Yahira M."},{"family":"Tomar","given":"Sakshi"},{"family":"Mielech","given":"Anna M."},{"family":"Baker","given":"Susan C."},{"family":"Lindsley","given":"Craig W."},{"family":"Hodder","given":"Peter"},{"family":"Mesecar","given":"Andrew"},{"family":"Stauffer","given":"Shaun R."}],"issued":{"date-parts":[["2013",1,24]]}}}],"schema":"https://github.com/citation-style-language/schema/raw/master/csl-citation.json"} </w:instrText>
      </w:r>
      <w:r w:rsidRPr="0044257B">
        <w:fldChar w:fldCharType="separate"/>
      </w:r>
      <w:r w:rsidRPr="0044257B">
        <w:rPr>
          <w:rFonts w:cs="Times New Roman"/>
          <w:szCs w:val="24"/>
          <w:vertAlign w:val="superscript"/>
        </w:rPr>
        <w:t>48</w:t>
      </w:r>
      <w:r w:rsidRPr="0044257B">
        <w:fldChar w:fldCharType="end"/>
      </w:r>
      <w:r w:rsidRPr="0044257B">
        <w:t xml:space="preserve"> X-ray analysis of the </w:t>
      </w:r>
      <w:proofErr w:type="spellStart"/>
      <w:r w:rsidRPr="0044257B">
        <w:t>M</w:t>
      </w:r>
      <w:r w:rsidRPr="0044257B">
        <w:rPr>
          <w:vertAlign w:val="superscript"/>
        </w:rPr>
        <w:t>pro</w:t>
      </w:r>
      <w:proofErr w:type="spellEnd"/>
      <w:r w:rsidRPr="0044257B">
        <w:t xml:space="preserve"> – </w:t>
      </w:r>
      <w:r w:rsidRPr="0044257B">
        <w:rPr>
          <w:b/>
          <w:bCs/>
        </w:rPr>
        <w:t>4.10-(</w:t>
      </w:r>
      <w:r w:rsidRPr="0044257B">
        <w:rPr>
          <w:b/>
          <w:bCs/>
          <w:i/>
          <w:iCs/>
        </w:rPr>
        <w:t>R</w:t>
      </w:r>
      <w:r w:rsidRPr="0044257B">
        <w:rPr>
          <w:b/>
          <w:bCs/>
        </w:rPr>
        <w:t xml:space="preserve">) </w:t>
      </w:r>
      <w:r w:rsidRPr="0044257B">
        <w:t>complex revealed key interactions crucial for activity: (1) a hydrogen bonding interaction between the pyridine nitrogen and the His163 sidechain within the S</w:t>
      </w:r>
      <w:r w:rsidRPr="0044257B">
        <w:rPr>
          <w:vertAlign w:val="subscript"/>
        </w:rPr>
        <w:t>1</w:t>
      </w:r>
      <w:r w:rsidRPr="0044257B">
        <w:t xml:space="preserve"> </w:t>
      </w:r>
      <w:proofErr w:type="spellStart"/>
      <w:r w:rsidRPr="0044257B">
        <w:t>subpocket</w:t>
      </w:r>
      <w:proofErr w:type="spellEnd"/>
      <w:r w:rsidRPr="0044257B">
        <w:t xml:space="preserve">, (2) the furan oxygen and the amide carbonyl oxygen </w:t>
      </w:r>
      <w:r w:rsidR="007F2C07">
        <w:t>provide</w:t>
      </w:r>
      <w:r w:rsidRPr="0044257B">
        <w:t xml:space="preserve"> a bifurcated interaction with the Gly143 backbone NH (</w:t>
      </w:r>
      <w:r w:rsidRPr="0044257B">
        <w:rPr>
          <w:b/>
          <w:bCs/>
        </w:rPr>
        <w:fldChar w:fldCharType="begin"/>
      </w:r>
      <w:r w:rsidRPr="0044257B">
        <w:rPr>
          <w:b/>
          <w:bCs/>
        </w:rPr>
        <w:instrText xml:space="preserve"> REF _Ref100285460 \h  \* MERGEFORMAT </w:instrText>
      </w:r>
      <w:r w:rsidRPr="0044257B">
        <w:rPr>
          <w:b/>
          <w:bCs/>
        </w:rPr>
      </w:r>
      <w:r w:rsidRPr="0044257B">
        <w:rPr>
          <w:b/>
          <w:bCs/>
        </w:rPr>
        <w:fldChar w:fldCharType="separate"/>
      </w:r>
      <w:r w:rsidR="00AA5AAC" w:rsidRPr="00AA5AAC">
        <w:rPr>
          <w:b/>
          <w:bCs/>
        </w:rPr>
        <w:t>Figure 4.8</w:t>
      </w:r>
      <w:r w:rsidRPr="0044257B">
        <w:rPr>
          <w:b/>
          <w:bCs/>
        </w:rPr>
        <w:fldChar w:fldCharType="end"/>
      </w:r>
      <w:r w:rsidRPr="0044257B">
        <w:rPr>
          <w:b/>
          <w:bCs/>
        </w:rPr>
        <w:t>A</w:t>
      </w:r>
      <w:r w:rsidRPr="0044257B">
        <w:t xml:space="preserve">), and (3) the </w:t>
      </w:r>
      <w:r w:rsidRPr="0044257B">
        <w:rPr>
          <w:i/>
          <w:iCs/>
        </w:rPr>
        <w:t>R</w:t>
      </w:r>
      <w:r w:rsidRPr="0044257B">
        <w:t>-enantiomer preferentially occupies the S</w:t>
      </w:r>
      <w:r w:rsidRPr="0044257B">
        <w:rPr>
          <w:vertAlign w:val="subscript"/>
        </w:rPr>
        <w:t>3</w:t>
      </w:r>
      <w:r w:rsidRPr="0044257B">
        <w:t xml:space="preserve"> – S</w:t>
      </w:r>
      <w:r w:rsidRPr="0044257B">
        <w:rPr>
          <w:vertAlign w:val="subscript"/>
        </w:rPr>
        <w:t>1’</w:t>
      </w:r>
      <w:r w:rsidRPr="0044257B">
        <w:t xml:space="preserve"> </w:t>
      </w:r>
      <w:proofErr w:type="spellStart"/>
      <w:r w:rsidRPr="0044257B">
        <w:t>subpockets</w:t>
      </w:r>
      <w:proofErr w:type="spellEnd"/>
      <w:r w:rsidRPr="0044257B">
        <w:t xml:space="preserve"> (</w:t>
      </w:r>
      <w:r w:rsidRPr="0044257B">
        <w:rPr>
          <w:b/>
          <w:bCs/>
        </w:rPr>
        <w:fldChar w:fldCharType="begin"/>
      </w:r>
      <w:r w:rsidRPr="0044257B">
        <w:rPr>
          <w:b/>
          <w:bCs/>
        </w:rPr>
        <w:instrText xml:space="preserve"> REF _Ref100285460 \h  \* MERGEFORMAT </w:instrText>
      </w:r>
      <w:r w:rsidRPr="0044257B">
        <w:rPr>
          <w:b/>
          <w:bCs/>
        </w:rPr>
      </w:r>
      <w:r w:rsidRPr="0044257B">
        <w:rPr>
          <w:b/>
          <w:bCs/>
        </w:rPr>
        <w:fldChar w:fldCharType="separate"/>
      </w:r>
      <w:r w:rsidR="00AA5AAC" w:rsidRPr="00AA5AAC">
        <w:rPr>
          <w:b/>
          <w:bCs/>
        </w:rPr>
        <w:t>Figure 4.8</w:t>
      </w:r>
      <w:r w:rsidRPr="0044257B">
        <w:rPr>
          <w:b/>
          <w:bCs/>
        </w:rPr>
        <w:fldChar w:fldCharType="end"/>
      </w:r>
      <w:r w:rsidRPr="0044257B">
        <w:rPr>
          <w:b/>
          <w:bCs/>
        </w:rPr>
        <w:t>C</w:t>
      </w:r>
      <w:r w:rsidRPr="0044257B">
        <w:t>).</w:t>
      </w:r>
      <w:r w:rsidRPr="0044257B">
        <w:fldChar w:fldCharType="begin"/>
      </w:r>
      <w:r w:rsidRPr="0044257B">
        <w:instrText xml:space="preserve"> ADDIN ZOTERO_ITEM CSL_CITATION {"citationID":"V2WZbMGI","properties":{"formattedCitation":"\\super 48\\nosupersub{}","plainCitation":"48","noteIndex":0},"citationItems":[{"id":419,"uris":["http://zotero.org/users/6503767/items/FZJRUIXU"],"itemData":{"id":419,"type":"article-journal","abstract":"A high-throughput screen of the NIH molecular libraries sample collection and subsequent optimization of a lead dipeptide-like series of severe acute respiratory syndrome (SARS) main protease (3CLpro) inhibitors led to the identiﬁcation of probe compound ML188 (16-(R), (R)-N-(4-(tertbutyl)phenyl)-N-(2-(tert-butylamino)-2-oxo-1-(pyridin-3-yl)ethyl)furan-2-carboxamide, Pubchem CID: 46897844). Unlike the majority of reported coronavirus 3CLpro inhibitors that act via covalent modiﬁcation of the enzyme, 16-(R) is a noncovalent SARS-CoV 3CLpro inhibitor with moderate MW and good enzyme and antiviral inhibitory activity. A multicomponent Ugi reaction was utilized to rapidly explore structure−activity relationships within S1′, S1, and S2 enzyme binding pockets. The X-ray structure of SARS-CoV 3CLpro bound with 16-(R) was instrumental in guiding subsequent rounds of chemistry optimization. 16-(R) provides an excellent starting point for the further design and reﬁnement of 3CLpro inhibitors that act by a noncovalent mechanism of action.","container-title":"Journal of Medicinal Chemistry","DOI":"10.1021/jm301580n","ISSN":"0022-2623, 1520-4804","issue":"2","journalAbbreviation":"J. Med. Chem.","language":"en","page":"534-546","source":"DOI.org (Crossref)","title":"Discovery, Synthesis, And Structure-Based Optimization of a Series of &lt;i&gt;N&lt;/i&gt; -( &lt;i&gt;tert&lt;/i&gt; -Butyl)-2-( &lt;i&gt;N&lt;/i&gt; -arylamido)-2-(pyridin-3-yl) Acetamides (ML188) as Potent Noncovalent Small Molecule Inhibitors of the Severe Acute Respiratory Syndrome Coronavirus (SARS-CoV) 3CL Protease","volume":"56","author":[{"family":"Jacobs","given":"Jon"},{"family":"Grum-Tokars","given":"Valerie"},{"family":"Zhou","given":"Ya"},{"family":"Turlington","given":"Mark"},{"family":"Saldanha","given":"S. Adrian"},{"family":"Chase","given":"Peter"},{"family":"Eggler","given":"Aimee"},{"family":"Dawson","given":"Eric S."},{"family":"Baez-Santos","given":"Yahira M."},{"family":"Tomar","given":"Sakshi"},{"family":"Mielech","given":"Anna M."},{"family":"Baker","given":"Susan C."},{"family":"Lindsley","given":"Craig W."},{"family":"Hodder","given":"Peter"},{"family":"Mesecar","given":"Andrew"},{"family":"Stauffer","given":"Shaun R."}],"issued":{"date-parts":[["2013",1,24]]}}}],"schema":"https://github.com/citation-style-language/schema/raw/master/csl-citation.json"} </w:instrText>
      </w:r>
      <w:r w:rsidRPr="0044257B">
        <w:fldChar w:fldCharType="separate"/>
      </w:r>
      <w:r w:rsidRPr="0044257B">
        <w:rPr>
          <w:rFonts w:cs="Times New Roman"/>
          <w:szCs w:val="24"/>
          <w:vertAlign w:val="superscript"/>
        </w:rPr>
        <w:t>48</w:t>
      </w:r>
      <w:r w:rsidRPr="0044257B">
        <w:fldChar w:fldCharType="end"/>
      </w:r>
      <w:r w:rsidRPr="0044257B">
        <w:t xml:space="preserve"> Notably, this study also demonstrated that while the pyridine ring (P</w:t>
      </w:r>
      <w:r w:rsidRPr="0044257B">
        <w:rPr>
          <w:vertAlign w:val="subscript"/>
        </w:rPr>
        <w:t>2</w:t>
      </w:r>
      <w:r w:rsidRPr="0044257B">
        <w:t>) engages in a key binding interaction, P</w:t>
      </w:r>
      <w:r w:rsidRPr="0044257B">
        <w:rPr>
          <w:vertAlign w:val="subscript"/>
        </w:rPr>
        <w:t>1’</w:t>
      </w:r>
      <w:r w:rsidRPr="0044257B">
        <w:t xml:space="preserve"> and P</w:t>
      </w:r>
      <w:r w:rsidRPr="0044257B">
        <w:rPr>
          <w:vertAlign w:val="subscript"/>
        </w:rPr>
        <w:t>2</w:t>
      </w:r>
      <w:r w:rsidRPr="0044257B">
        <w:t xml:space="preserve"> on the substrate are tolerable to structural changes, but structural diversity in P</w:t>
      </w:r>
      <w:r w:rsidRPr="0044257B">
        <w:rPr>
          <w:vertAlign w:val="subscript"/>
        </w:rPr>
        <w:t>3</w:t>
      </w:r>
      <w:r w:rsidR="007F2C07">
        <w:t xml:space="preserve"> was not explored.</w:t>
      </w:r>
      <w:r w:rsidRPr="0044257B">
        <w:t xml:space="preserve"> Further, </w:t>
      </w:r>
      <w:r w:rsidR="006C54B8">
        <w:t>analogs can be accessed by</w:t>
      </w:r>
      <w:r w:rsidRPr="0044257B">
        <w:t xml:space="preserve"> multicomponent Ugi-coupling reaction</w:t>
      </w:r>
      <w:r w:rsidR="006C54B8">
        <w:t>, providing robust chemistry for analog generation.</w:t>
      </w:r>
      <w:r w:rsidRPr="0044257B">
        <w:t xml:space="preserve"> This peptidomimetic scaffold has been subject of structural optimization to improve potency against SARS-</w:t>
      </w:r>
      <w:proofErr w:type="spellStart"/>
      <w:r w:rsidRPr="0044257B">
        <w:t>CoV</w:t>
      </w:r>
      <w:proofErr w:type="spellEnd"/>
      <w:r w:rsidRPr="0044257B">
        <w:t xml:space="preserve"> </w:t>
      </w:r>
      <w:proofErr w:type="spellStart"/>
      <w:r w:rsidRPr="0044257B">
        <w:t>M</w:t>
      </w:r>
      <w:r w:rsidRPr="0044257B">
        <w:rPr>
          <w:vertAlign w:val="superscript"/>
        </w:rPr>
        <w:t>pro</w:t>
      </w:r>
      <w:proofErr w:type="spellEnd"/>
      <w:r w:rsidRPr="0044257B">
        <w:t xml:space="preserve"> and recently SARS-CoV-2 </w:t>
      </w:r>
      <w:proofErr w:type="spellStart"/>
      <w:r w:rsidRPr="0044257B">
        <w:t>M</w:t>
      </w:r>
      <w:r w:rsidRPr="0044257B">
        <w:rPr>
          <w:vertAlign w:val="superscript"/>
        </w:rPr>
        <w:t>pro</w:t>
      </w:r>
      <w:proofErr w:type="spellEnd"/>
      <w:r w:rsidRPr="0044257B">
        <w:t>.</w:t>
      </w:r>
    </w:p>
    <w:p w14:paraId="59B62F5C" w14:textId="7C038020" w:rsidR="00621259" w:rsidRPr="0044257B" w:rsidRDefault="0044257B" w:rsidP="00641111">
      <w:pPr>
        <w:ind w:firstLine="720"/>
      </w:pPr>
      <w:r w:rsidRPr="0044257B">
        <w:t xml:space="preserve">In continuation of our goal to expand the chemical space and structural diversity of </w:t>
      </w:r>
      <w:proofErr w:type="spellStart"/>
      <w:r w:rsidRPr="0044257B">
        <w:t>M</w:t>
      </w:r>
      <w:r w:rsidRPr="0044257B">
        <w:rPr>
          <w:vertAlign w:val="superscript"/>
        </w:rPr>
        <w:t>pro</w:t>
      </w:r>
      <w:proofErr w:type="spellEnd"/>
      <w:r w:rsidRPr="0044257B">
        <w:t xml:space="preserve"> inhibitors, we gained inspiration from a remarkable database provided by the United Kingdom’s national synchrotron. Diamond Light Source produced an apo-structure of SARS-CoV-2 </w:t>
      </w:r>
      <w:proofErr w:type="spellStart"/>
      <w:r w:rsidRPr="0044257B">
        <w:t>M</w:t>
      </w:r>
      <w:r w:rsidRPr="0044257B">
        <w:rPr>
          <w:vertAlign w:val="superscript"/>
        </w:rPr>
        <w:t>pro</w:t>
      </w:r>
      <w:proofErr w:type="spellEnd"/>
      <w:r w:rsidRPr="0044257B">
        <w:t xml:space="preserve"> (PDB: 6YB7) and conducted a large-scale crystallographic fragment screen against the coronavirus protein. </w:t>
      </w:r>
      <w:r w:rsidR="00057D8D">
        <w:t>T</w:t>
      </w:r>
      <w:r w:rsidR="006C54B8">
        <w:t xml:space="preserve">his </w:t>
      </w:r>
      <w:r w:rsidRPr="0044257B">
        <w:t>crystal</w:t>
      </w:r>
      <w:r w:rsidR="006C54B8">
        <w:t>lographic</w:t>
      </w:r>
      <w:r w:rsidRPr="0044257B">
        <w:t xml:space="preserve"> experiment</w:t>
      </w:r>
      <w:r w:rsidR="00057D8D">
        <w:t xml:space="preserve"> resulted in the screening of 1500 crystals where</w:t>
      </w:r>
      <w:r w:rsidRPr="0044257B">
        <w:t xml:space="preserve"> 74 hits were identified, which included 22 noncovalent and 48 covalent hits </w:t>
      </w:r>
      <w:r w:rsidR="00057D8D">
        <w:t>bound to</w:t>
      </w:r>
      <w:r w:rsidRPr="0044257B">
        <w:t xml:space="preserve"> the active site of </w:t>
      </w:r>
      <w:proofErr w:type="spellStart"/>
      <w:r w:rsidRPr="0044257B">
        <w:t>M</w:t>
      </w:r>
      <w:r w:rsidRPr="0044257B">
        <w:rPr>
          <w:vertAlign w:val="superscript"/>
        </w:rPr>
        <w:t>pro</w:t>
      </w:r>
      <w:proofErr w:type="spellEnd"/>
      <w:r w:rsidRPr="0044257B">
        <w:t xml:space="preserve">, and 3 hits </w:t>
      </w:r>
      <w:r w:rsidR="00057D8D">
        <w:t>identified as binding to</w:t>
      </w:r>
      <w:r w:rsidRPr="0044257B">
        <w:t xml:space="preserve"> the dimer interface.</w:t>
      </w:r>
      <w:r w:rsidRPr="0044257B">
        <w:fldChar w:fldCharType="begin"/>
      </w:r>
      <w:r w:rsidRPr="0044257B">
        <w:instrText xml:space="preserve"> ADDIN ZOTERO_ITEM CSL_CITATION {"citationID":"3fyc9uwA","properties":{"formattedCitation":"\\super 78\\nosupersub{}","plainCitation":"78","noteIndex":0},"citationItems":[{"id":866,"uris":["http://zotero.org/users/6503767/items/VKZSM2KX"],"itemData":{"id":866,"type":"article-journal","container-title":"Drug Discovery Today","DOI":"10.1016/j.drudis.2019.03.009","ISSN":"13596446","issue":"5","journalAbbreviation":"Drug Discovery Today","language":"en","page":"1081-1086","source":"DOI.org (Crossref)","title":"Crystallographic screening using ultra-low-molecular-weight ligands to guide drug design","volume":"24","author":[{"family":"O’Reilly","given":"Marc"},{"family":"Cleasby","given":"Anne"},{"family":"Davies","given":"Thomas G."},{"family":"Hall","given":"Richard J."},{"family":"Ludlow","given":"R. Frederick"},{"family":"Murray","given":"Christopher W."},{"family":"Tisi","given":"Dominic"},{"family":"Jhoti","given":"Harren"}],"issued":{"date-parts":[["2019",5]]}}}],"schema":"https://github.com/citation-style-language/schema/raw/master/csl-citation.json"} </w:instrText>
      </w:r>
      <w:r w:rsidRPr="0044257B">
        <w:fldChar w:fldCharType="separate"/>
      </w:r>
      <w:r w:rsidRPr="0044257B">
        <w:rPr>
          <w:rFonts w:cs="Times New Roman"/>
          <w:szCs w:val="24"/>
          <w:vertAlign w:val="superscript"/>
        </w:rPr>
        <w:t>78</w:t>
      </w:r>
      <w:r w:rsidRPr="0044257B">
        <w:fldChar w:fldCharType="end"/>
      </w:r>
      <w:r w:rsidRPr="0044257B">
        <w:t xml:space="preserve"> From these hits, novel inhibitor</w:t>
      </w:r>
      <w:r w:rsidR="00057D8D">
        <w:t xml:space="preserve"> chemotypes</w:t>
      </w:r>
      <w:r w:rsidRPr="0044257B">
        <w:t xml:space="preserve"> were identified (</w:t>
      </w:r>
      <w:r w:rsidRPr="0044257B">
        <w:rPr>
          <w:b/>
          <w:bCs/>
        </w:rPr>
        <w:fldChar w:fldCharType="begin"/>
      </w:r>
      <w:r w:rsidRPr="0044257B">
        <w:rPr>
          <w:b/>
          <w:bCs/>
        </w:rPr>
        <w:instrText xml:space="preserve"> REF _Ref100528421 \h  \* MERGEFORMAT </w:instrText>
      </w:r>
      <w:r w:rsidRPr="0044257B">
        <w:rPr>
          <w:b/>
          <w:bCs/>
        </w:rPr>
      </w:r>
      <w:r w:rsidRPr="0044257B">
        <w:rPr>
          <w:b/>
          <w:bCs/>
        </w:rPr>
        <w:fldChar w:fldCharType="separate"/>
      </w:r>
      <w:r w:rsidR="00AA5AAC" w:rsidRPr="00AA5AAC">
        <w:rPr>
          <w:b/>
          <w:bCs/>
        </w:rPr>
        <w:t>Figure 4.9</w:t>
      </w:r>
      <w:r w:rsidRPr="0044257B">
        <w:rPr>
          <w:b/>
          <w:bCs/>
        </w:rPr>
        <w:fldChar w:fldCharType="end"/>
      </w:r>
      <w:r w:rsidRPr="0044257B">
        <w:t xml:space="preserve">) from the molecular fragments that Diamond Light Source found to bind to the active site of </w:t>
      </w:r>
      <w:proofErr w:type="spellStart"/>
      <w:r w:rsidRPr="0044257B">
        <w:t>M</w:t>
      </w:r>
      <w:r w:rsidRPr="0044257B">
        <w:rPr>
          <w:vertAlign w:val="superscript"/>
        </w:rPr>
        <w:t>pro</w:t>
      </w:r>
      <w:proofErr w:type="spellEnd"/>
      <w:r w:rsidRPr="0044257B">
        <w:t>. It should be noted that no enzymatic assays were used to confirm their results, and fragment hits were determined by the strength of intermolecular interactions with the binding site only.</w:t>
      </w:r>
      <w:r w:rsidRPr="0044257B">
        <w:fldChar w:fldCharType="begin"/>
      </w:r>
      <w:r w:rsidRPr="0044257B">
        <w:instrText xml:space="preserve"> ADDIN ZOTERO_ITEM CSL_CITATION {"citationID":"qlKD5VZM","properties":{"formattedCitation":"\\super 78\\nosupersub{}","plainCitation":"78","noteIndex":0},"citationItems":[{"id":866,"uris":["http://zotero.org/users/6503767/items/VKZSM2KX"],"itemData":{"id":866,"type":"article-journal","container-title":"Drug Discovery Today","DOI":"10.1016/j.drudis.2019.03.009","ISSN":"13596446","issue":"5","journalAbbreviation":"Drug Discovery Today","language":"en","page":"1081-1086","source":"DOI.org (Crossref)","title":"Crystallographic screening using ultra-low-molecular-weight ligands to guide drug design","volume":"24","author":[{"family":"O’Reilly","given":"Marc"},{"family":"Cleasby","given":"Anne"},{"family":"Davies","given":"Thomas G."},{"family":"Hall","given":"Richard J."},{"family":"Ludlow","given":"R. Frederick"},{"family":"Murray","given":"Christopher W."},{"family":"Tisi","given":"Dominic"},{"family":"Jhoti","given":"Harren"}],"issued":{"date-parts":[["2019",5]]}}}],"schema":"https://github.com/citation-style-language/schema/raw/master/csl-citation.json"} </w:instrText>
      </w:r>
      <w:r w:rsidRPr="0044257B">
        <w:fldChar w:fldCharType="separate"/>
      </w:r>
      <w:r w:rsidRPr="0044257B">
        <w:rPr>
          <w:rFonts w:cs="Times New Roman"/>
          <w:szCs w:val="24"/>
          <w:vertAlign w:val="superscript"/>
        </w:rPr>
        <w:t>78</w:t>
      </w:r>
      <w:r w:rsidRPr="0044257B">
        <w:fldChar w:fldCharType="end"/>
      </w:r>
      <w:r w:rsidRPr="0044257B">
        <w:t xml:space="preserve"> Notable interactions include (1) π-π stacking or hydrophobic contact with His41 in the S</w:t>
      </w:r>
      <w:r w:rsidRPr="0044257B">
        <w:rPr>
          <w:vertAlign w:val="subscript"/>
        </w:rPr>
        <w:t>2</w:t>
      </w:r>
      <w:r w:rsidRPr="0044257B">
        <w:t xml:space="preserve"> </w:t>
      </w:r>
      <w:proofErr w:type="spellStart"/>
      <w:r w:rsidRPr="0044257B">
        <w:t>subpocket</w:t>
      </w:r>
      <w:proofErr w:type="spellEnd"/>
      <w:r w:rsidRPr="0044257B">
        <w:t xml:space="preserve">, and (2) hydrogen bonding with </w:t>
      </w:r>
      <w:r w:rsidRPr="0044257B">
        <w:lastRenderedPageBreak/>
        <w:t>His163 (predominantly with a pyridyl group) in the S</w:t>
      </w:r>
      <w:r w:rsidRPr="0044257B">
        <w:rPr>
          <w:vertAlign w:val="subscript"/>
        </w:rPr>
        <w:t>1</w:t>
      </w:r>
      <w:r w:rsidRPr="0044257B">
        <w:t xml:space="preserve"> </w:t>
      </w:r>
      <w:proofErr w:type="spellStart"/>
      <w:r w:rsidRPr="0044257B">
        <w:t>subpocket</w:t>
      </w:r>
      <w:proofErr w:type="spellEnd"/>
      <w:r w:rsidRPr="0044257B">
        <w:t>. Secondary to these, hydrogen bonding with the Gly143 (S</w:t>
      </w:r>
      <w:r w:rsidRPr="0044257B">
        <w:rPr>
          <w:vertAlign w:val="subscript"/>
        </w:rPr>
        <w:t>1’</w:t>
      </w:r>
      <w:r w:rsidRPr="0044257B">
        <w:t>) and Glu166 (S</w:t>
      </w:r>
      <w:r w:rsidRPr="0044257B">
        <w:rPr>
          <w:vertAlign w:val="subscript"/>
        </w:rPr>
        <w:t>3</w:t>
      </w:r>
      <w:r w:rsidRPr="0044257B">
        <w:t xml:space="preserve">) backbone NHs also provide notable interactions. </w:t>
      </w:r>
    </w:p>
    <w:p w14:paraId="4F7A5B1C" w14:textId="77777777" w:rsidR="0044257B" w:rsidRPr="0044257B" w:rsidRDefault="0044257B" w:rsidP="0044257B">
      <w:pPr>
        <w:spacing w:after="0"/>
      </w:pPr>
      <w:bookmarkStart w:id="528" w:name="_Toc100241936"/>
      <w:r w:rsidRPr="0044257B">
        <w:rPr>
          <w:noProof/>
        </w:rPr>
        <mc:AlternateContent>
          <mc:Choice Requires="wps">
            <w:drawing>
              <wp:inline distT="0" distB="0" distL="0" distR="0" wp14:anchorId="2105DA1E" wp14:editId="24AB6CD6">
                <wp:extent cx="5943600" cy="7083380"/>
                <wp:effectExtent l="0" t="0" r="19050" b="22860"/>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083380"/>
                        </a:xfrm>
                        <a:prstGeom prst="rect">
                          <a:avLst/>
                        </a:prstGeom>
                        <a:solidFill>
                          <a:srgbClr val="FFFFFF"/>
                        </a:solidFill>
                        <a:ln w="9525">
                          <a:solidFill>
                            <a:srgbClr val="000000"/>
                          </a:solidFill>
                          <a:miter lim="800000"/>
                          <a:headEnd/>
                          <a:tailEnd/>
                        </a:ln>
                      </wps:spPr>
                      <wps:txbx>
                        <w:txbxContent>
                          <w:p w14:paraId="5CE0E589" w14:textId="77777777" w:rsidR="0044257B" w:rsidRDefault="0044257B" w:rsidP="00641111">
                            <w:pPr>
                              <w:keepNext/>
                              <w:spacing w:after="0" w:line="240" w:lineRule="auto"/>
                              <w:jc w:val="center"/>
                            </w:pPr>
                            <w:r>
                              <w:rPr>
                                <w:noProof/>
                              </w:rPr>
                              <w:drawing>
                                <wp:inline distT="0" distB="0" distL="0" distR="0" wp14:anchorId="5AA1FB22" wp14:editId="5089D616">
                                  <wp:extent cx="5321808" cy="6300216"/>
                                  <wp:effectExtent l="0" t="0" r="0" b="0"/>
                                  <wp:docPr id="322" name="Picture 3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pic:nvPicPr>
                                        <pic:blipFill>
                                          <a:blip r:embed="rId411">
                                            <a:extLst>
                                              <a:ext uri="{28A0092B-C50C-407E-A947-70E740481C1C}">
                                                <a14:useLocalDpi xmlns:a14="http://schemas.microsoft.com/office/drawing/2010/main" val="0"/>
                                              </a:ext>
                                            </a:extLst>
                                          </a:blip>
                                          <a:stretch>
                                            <a:fillRect/>
                                          </a:stretch>
                                        </pic:blipFill>
                                        <pic:spPr>
                                          <a:xfrm>
                                            <a:off x="0" y="0"/>
                                            <a:ext cx="5321808" cy="6300216"/>
                                          </a:xfrm>
                                          <a:prstGeom prst="rect">
                                            <a:avLst/>
                                          </a:prstGeom>
                                        </pic:spPr>
                                      </pic:pic>
                                    </a:graphicData>
                                  </a:graphic>
                                </wp:inline>
                              </w:drawing>
                            </w:r>
                          </w:p>
                          <w:p w14:paraId="3AD2A544" w14:textId="7AD4655C" w:rsidR="0044257B" w:rsidRDefault="0044257B" w:rsidP="00DF51F5">
                            <w:pPr>
                              <w:pStyle w:val="Caption"/>
                            </w:pPr>
                            <w:bookmarkStart w:id="529" w:name="_Ref100528421"/>
                            <w:bookmarkStart w:id="530" w:name="_Toc100243281"/>
                            <w:bookmarkStart w:id="531" w:name="_Toc100748334"/>
                            <w:r>
                              <w:t>Figure 4.</w:t>
                            </w:r>
                            <w:fldSimple w:instr=" SEQ Figure \* ARABIC ">
                              <w:r w:rsidR="00AA5AAC">
                                <w:rPr>
                                  <w:noProof/>
                                </w:rPr>
                                <w:t>9</w:t>
                              </w:r>
                            </w:fldSimple>
                            <w:bookmarkEnd w:id="529"/>
                            <w:r>
                              <w:t xml:space="preserve">. </w:t>
                            </w:r>
                            <w:r w:rsidRPr="00D82A64">
                              <w:t>Representation</w:t>
                            </w:r>
                            <w:r>
                              <w:t xml:space="preserve"> of the rationale design for three </w:t>
                            </w:r>
                            <w:proofErr w:type="spellStart"/>
                            <w:r>
                              <w:t>M</w:t>
                            </w:r>
                            <w:r w:rsidRPr="001B4F87">
                              <w:rPr>
                                <w:vertAlign w:val="superscript"/>
                              </w:rPr>
                              <w:t>pro</w:t>
                            </w:r>
                            <w:proofErr w:type="spellEnd"/>
                            <w:r>
                              <w:t xml:space="preserve"> inhibitor scaffolds: (A) urea, (B) piperazine, and (C) peptidomimetic.</w:t>
                            </w:r>
                            <w:bookmarkEnd w:id="530"/>
                            <w:bookmarkEnd w:id="531"/>
                            <w:r>
                              <w:t xml:space="preserve"> </w:t>
                            </w:r>
                          </w:p>
                          <w:p w14:paraId="3E1AFC24" w14:textId="77777777" w:rsidR="0044257B" w:rsidRPr="00F54C32" w:rsidRDefault="0044257B" w:rsidP="0044257B">
                            <w:proofErr w:type="spellStart"/>
                            <w:r>
                              <w:t>S</w:t>
                            </w:r>
                            <w:r w:rsidRPr="00F54C32">
                              <w:rPr>
                                <w:vertAlign w:val="subscript"/>
                              </w:rPr>
                              <w:t>x</w:t>
                            </w:r>
                            <w:proofErr w:type="spellEnd"/>
                            <w:r>
                              <w:t xml:space="preserve"> denotes </w:t>
                            </w:r>
                            <w:proofErr w:type="spellStart"/>
                            <w:r>
                              <w:t>M</w:t>
                            </w:r>
                            <w:r w:rsidRPr="00F54C32">
                              <w:rPr>
                                <w:vertAlign w:val="superscript"/>
                              </w:rPr>
                              <w:t>pro</w:t>
                            </w:r>
                            <w:proofErr w:type="spellEnd"/>
                            <w:r>
                              <w:t xml:space="preserve"> </w:t>
                            </w:r>
                            <w:proofErr w:type="spellStart"/>
                            <w:r>
                              <w:t>subpockets</w:t>
                            </w:r>
                            <w:proofErr w:type="spellEnd"/>
                            <w:r>
                              <w:t xml:space="preserve">. </w:t>
                            </w:r>
                          </w:p>
                        </w:txbxContent>
                      </wps:txbx>
                      <wps:bodyPr rot="0" vert="horz" wrap="square" lIns="91440" tIns="45720" rIns="91440" bIns="45720" anchor="t" anchorCtr="0">
                        <a:noAutofit/>
                      </wps:bodyPr>
                    </wps:wsp>
                  </a:graphicData>
                </a:graphic>
              </wp:inline>
            </w:drawing>
          </mc:Choice>
          <mc:Fallback>
            <w:pict>
              <v:shape w14:anchorId="2105DA1E" id="_x0000_s1134" type="#_x0000_t202" style="width:468pt;height:5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">
                <v:textbox>
                  <w:txbxContent>
                    <w:p w14:paraId="5CE0E589" w14:textId="77777777" w:rsidR="0044257B" w:rsidRDefault="0044257B" w:rsidP="00641111">
                      <w:pPr>
                        <w:keepNext/>
                        <w:spacing w:after="0" w:line="240" w:lineRule="auto"/>
                        <w:jc w:val="center"/>
                      </w:pPr>
                      <w:r>
                        <w:rPr>
                          <w:noProof/>
                        </w:rPr>
                        <w:drawing>
                          <wp:inline distT="0" distB="0" distL="0" distR="0" wp14:anchorId="5AA1FB22" wp14:editId="5089D616">
                            <wp:extent cx="5321808" cy="6300216"/>
                            <wp:effectExtent l="0" t="0" r="0" b="0"/>
                            <wp:docPr id="322" name="Picture 3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pic:nvPicPr>
                                  <pic:blipFill>
                                    <a:blip r:embed="rId411">
                                      <a:extLst>
                                        <a:ext uri="{28A0092B-C50C-407E-A947-70E740481C1C}">
                                          <a14:useLocalDpi xmlns:a14="http://schemas.microsoft.com/office/drawing/2010/main" val="0"/>
                                        </a:ext>
                                      </a:extLst>
                                    </a:blip>
                                    <a:stretch>
                                      <a:fillRect/>
                                    </a:stretch>
                                  </pic:blipFill>
                                  <pic:spPr>
                                    <a:xfrm>
                                      <a:off x="0" y="0"/>
                                      <a:ext cx="5321808" cy="6300216"/>
                                    </a:xfrm>
                                    <a:prstGeom prst="rect">
                                      <a:avLst/>
                                    </a:prstGeom>
                                  </pic:spPr>
                                </pic:pic>
                              </a:graphicData>
                            </a:graphic>
                          </wp:inline>
                        </w:drawing>
                      </w:r>
                    </w:p>
                    <w:p w14:paraId="3AD2A544" w14:textId="7AD4655C" w:rsidR="0044257B" w:rsidRDefault="0044257B" w:rsidP="00DF51F5">
                      <w:pPr>
                        <w:pStyle w:val="Caption"/>
                      </w:pPr>
                      <w:bookmarkStart w:id="532" w:name="_Ref100528421"/>
                      <w:bookmarkStart w:id="533" w:name="_Toc100243281"/>
                      <w:bookmarkStart w:id="534" w:name="_Toc100748334"/>
                      <w:r>
                        <w:t>Figure 4.</w:t>
                      </w:r>
                      <w:fldSimple w:instr=" SEQ Figure \* ARABIC ">
                        <w:r w:rsidR="00AA5AAC">
                          <w:rPr>
                            <w:noProof/>
                          </w:rPr>
                          <w:t>9</w:t>
                        </w:r>
                      </w:fldSimple>
                      <w:bookmarkEnd w:id="532"/>
                      <w:r>
                        <w:t xml:space="preserve">. </w:t>
                      </w:r>
                      <w:r w:rsidRPr="00D82A64">
                        <w:t>Representation</w:t>
                      </w:r>
                      <w:r>
                        <w:t xml:space="preserve"> of the rationale design for three </w:t>
                      </w:r>
                      <w:proofErr w:type="spellStart"/>
                      <w:r>
                        <w:t>M</w:t>
                      </w:r>
                      <w:r w:rsidRPr="001B4F87">
                        <w:rPr>
                          <w:vertAlign w:val="superscript"/>
                        </w:rPr>
                        <w:t>pro</w:t>
                      </w:r>
                      <w:proofErr w:type="spellEnd"/>
                      <w:r>
                        <w:t xml:space="preserve"> inhibitor scaffolds: (A) urea, (B) piperazine, and (C) peptidomimetic.</w:t>
                      </w:r>
                      <w:bookmarkEnd w:id="533"/>
                      <w:bookmarkEnd w:id="534"/>
                      <w:r>
                        <w:t xml:space="preserve"> </w:t>
                      </w:r>
                    </w:p>
                    <w:p w14:paraId="3E1AFC24" w14:textId="77777777" w:rsidR="0044257B" w:rsidRPr="00F54C32" w:rsidRDefault="0044257B" w:rsidP="0044257B">
                      <w:proofErr w:type="spellStart"/>
                      <w:r>
                        <w:t>S</w:t>
                      </w:r>
                      <w:r w:rsidRPr="00F54C32">
                        <w:rPr>
                          <w:vertAlign w:val="subscript"/>
                        </w:rPr>
                        <w:t>x</w:t>
                      </w:r>
                      <w:proofErr w:type="spellEnd"/>
                      <w:r>
                        <w:t xml:space="preserve"> denotes </w:t>
                      </w:r>
                      <w:proofErr w:type="spellStart"/>
                      <w:r>
                        <w:t>M</w:t>
                      </w:r>
                      <w:r w:rsidRPr="00F54C32">
                        <w:rPr>
                          <w:vertAlign w:val="superscript"/>
                        </w:rPr>
                        <w:t>pro</w:t>
                      </w:r>
                      <w:proofErr w:type="spellEnd"/>
                      <w:r>
                        <w:t xml:space="preserve"> </w:t>
                      </w:r>
                      <w:proofErr w:type="spellStart"/>
                      <w:r>
                        <w:t>subpockets</w:t>
                      </w:r>
                      <w:proofErr w:type="spellEnd"/>
                      <w:r>
                        <w:t xml:space="preserve">. </w:t>
                      </w:r>
                    </w:p>
                  </w:txbxContent>
                </v:textbox>
                <w10:anchorlock/>
              </v:shape>
            </w:pict>
          </mc:Fallback>
        </mc:AlternateContent>
      </w:r>
      <w:bookmarkEnd w:id="528"/>
    </w:p>
    <w:p w14:paraId="247B1863" w14:textId="7E529BFD" w:rsidR="00621259" w:rsidRDefault="00641111" w:rsidP="00641111">
      <w:bookmarkStart w:id="535" w:name="_Toc100241937"/>
      <w:r w:rsidRPr="0044257B">
        <w:lastRenderedPageBreak/>
        <w:tab/>
        <w:t xml:space="preserve">The results from the Diamond Light Source crystallographic screen inspired the design of three </w:t>
      </w:r>
      <w:proofErr w:type="spellStart"/>
      <w:r w:rsidRPr="0044257B">
        <w:t>M</w:t>
      </w:r>
      <w:r w:rsidRPr="0044257B">
        <w:rPr>
          <w:vertAlign w:val="superscript"/>
        </w:rPr>
        <w:t>pro</w:t>
      </w:r>
      <w:proofErr w:type="spellEnd"/>
      <w:r w:rsidRPr="0044257B">
        <w:t xml:space="preserve"> inhibitor scaffolds: urea, piperazine, and peptidomimetic</w:t>
      </w:r>
      <w:r>
        <w:t xml:space="preserve"> (</w:t>
      </w:r>
      <w:r w:rsidRPr="00641111">
        <w:rPr>
          <w:b/>
          <w:bCs/>
        </w:rPr>
        <w:fldChar w:fldCharType="begin"/>
      </w:r>
      <w:r w:rsidRPr="00641111">
        <w:rPr>
          <w:b/>
          <w:bCs/>
        </w:rPr>
        <w:instrText xml:space="preserve"> REF _Ref100528421 \h </w:instrText>
      </w:r>
      <w:r>
        <w:rPr>
          <w:b/>
          <w:bCs/>
        </w:rPr>
        <w:instrText xml:space="preserve"> \* MERGEFORMAT </w:instrText>
      </w:r>
      <w:r w:rsidRPr="00641111">
        <w:rPr>
          <w:b/>
          <w:bCs/>
        </w:rPr>
      </w:r>
      <w:r w:rsidRPr="00641111">
        <w:rPr>
          <w:b/>
          <w:bCs/>
        </w:rPr>
        <w:fldChar w:fldCharType="separate"/>
      </w:r>
      <w:r w:rsidR="00AA5AAC" w:rsidRPr="00AA5AAC">
        <w:rPr>
          <w:b/>
          <w:bCs/>
        </w:rPr>
        <w:t>Figure 4.9</w:t>
      </w:r>
      <w:r w:rsidRPr="00641111">
        <w:rPr>
          <w:b/>
          <w:bCs/>
        </w:rPr>
        <w:fldChar w:fldCharType="end"/>
      </w:r>
      <w:r>
        <w:t>)</w:t>
      </w:r>
      <w:r w:rsidRPr="0044257B">
        <w:t xml:space="preserve">. Considering the urgency of the COVID-19 pandemic and immediate need for chemotherapeutics, these scaffolds were chosen not only for their ability to span multiple subsites of the binding pocket, but also based on the following criteria: relatively straightforward synthetic methods, affordable building blocks, and multiple substitution sites for diversity-oriented synthesis. These criteria we expected to provide a rapid synthesis of a library of analogs within each scaffold. Efforts towards generating a library of the peptidomimetic scaffold are reported herein. </w:t>
      </w:r>
    </w:p>
    <w:p w14:paraId="1D0168D4" w14:textId="0189F4A5" w:rsidR="0044257B" w:rsidRPr="0044257B" w:rsidRDefault="0044257B" w:rsidP="00595321">
      <w:pPr>
        <w:pStyle w:val="Subsection"/>
      </w:pPr>
      <w:bookmarkStart w:id="536" w:name="_Toc102586300"/>
      <w:r w:rsidRPr="0044257B">
        <w:t>4.2.3 Synthesis of peptidomimetic analogs.</w:t>
      </w:r>
      <w:bookmarkEnd w:id="535"/>
      <w:bookmarkEnd w:id="536"/>
    </w:p>
    <w:p w14:paraId="5A1F4CEE" w14:textId="0511D443" w:rsidR="0044257B" w:rsidRPr="0044257B" w:rsidRDefault="0044257B" w:rsidP="0044257B">
      <w:pPr>
        <w:spacing w:after="0"/>
        <w:rPr>
          <w:rFonts w:cs="Times New Roman"/>
          <w:szCs w:val="24"/>
          <w:vertAlign w:val="superscript"/>
        </w:rPr>
      </w:pPr>
      <w:r w:rsidRPr="0044257B">
        <w:tab/>
        <w:t xml:space="preserve">The urea and piperazine scaffolds were </w:t>
      </w:r>
      <w:r w:rsidR="00641111">
        <w:t>pursued by</w:t>
      </w:r>
      <w:r w:rsidRPr="0044257B">
        <w:t xml:space="preserve"> Ms. Katelyn Stevens and Mr. Quentin Avila, respectively. Thus, I was charged with synthesizing peptidomimetic analogs. First, racemic ML188 (</w:t>
      </w:r>
      <w:r w:rsidRPr="0044257B">
        <w:rPr>
          <w:b/>
          <w:bCs/>
        </w:rPr>
        <w:t>3</w:t>
      </w:r>
      <w:r w:rsidRPr="0044257B">
        <w:t>) was synthesized via the four-component Ugi coupling reaction (</w:t>
      </w:r>
      <w:r w:rsidR="00381C64" w:rsidRPr="00381C64">
        <w:rPr>
          <w:b/>
          <w:bCs/>
        </w:rPr>
        <w:fldChar w:fldCharType="begin"/>
      </w:r>
      <w:r w:rsidR="00381C64" w:rsidRPr="00381C64">
        <w:rPr>
          <w:b/>
          <w:bCs/>
        </w:rPr>
        <w:instrText xml:space="preserve"> REF _Ref100745474 \h  \* MERGEFORMAT </w:instrText>
      </w:r>
      <w:r w:rsidR="00381C64" w:rsidRPr="00381C64">
        <w:rPr>
          <w:b/>
          <w:bCs/>
        </w:rPr>
      </w:r>
      <w:r w:rsidR="00381C64" w:rsidRPr="00381C64">
        <w:rPr>
          <w:b/>
          <w:bCs/>
        </w:rPr>
        <w:fldChar w:fldCharType="separate"/>
      </w:r>
      <w:r w:rsidR="00AA5AAC" w:rsidRPr="00AA5AAC">
        <w:rPr>
          <w:b/>
          <w:bCs/>
        </w:rPr>
        <w:t>Scheme 4.1</w:t>
      </w:r>
      <w:r w:rsidR="00381C64" w:rsidRPr="00381C64">
        <w:rPr>
          <w:b/>
          <w:bCs/>
        </w:rPr>
        <w:fldChar w:fldCharType="end"/>
      </w:r>
      <w:r w:rsidRPr="0044257B">
        <w:t xml:space="preserve">). ML188 is a noncovalent </w:t>
      </w:r>
      <w:proofErr w:type="spellStart"/>
      <w:r w:rsidRPr="0044257B">
        <w:t>M</w:t>
      </w:r>
      <w:r w:rsidRPr="0044257B">
        <w:rPr>
          <w:vertAlign w:val="superscript"/>
        </w:rPr>
        <w:t>pro</w:t>
      </w:r>
      <w:proofErr w:type="spellEnd"/>
      <w:r w:rsidRPr="0044257B">
        <w:t xml:space="preserve"> inhibitor and was generated be used as a control for protease activity assays.</w:t>
      </w:r>
      <w:r w:rsidRPr="0044257B">
        <w:fldChar w:fldCharType="begin"/>
      </w:r>
      <w:r w:rsidRPr="0044257B">
        <w:instrText xml:space="preserve"> ADDIN ZOTERO_ITEM CSL_CITATION {"citationID":"kkC5QLmK","properties":{"formattedCitation":"\\super 16\\nosupersub{}","plainCitation":"16","dontUpdate":true,"noteIndex":0},"citationItems":[{"id":419,"uris":["http://zotero.org/users/6503767/items/FZJRUIXU"],"itemData":{"id":419,"type":"article-journal","abstract":"A high-throughput screen of the NIH molecular libraries sample collection and subsequent optimization of a lead dipeptide-like series of severe acute respiratory syndrome (SARS) main protease (3CLpro) inhibitors led to the identiﬁcation of probe compound ML188 (16-(R), (R)-N-(4-(tertbutyl)phenyl)-N-(2-(tert-butylamino)-2-oxo-1-(pyridin-3-yl)ethyl)furan-2-carboxamide, Pubchem CID: 46897844). Unlike the majority of reported coronavirus 3CLpro inhibitors that act via covalent modiﬁcation of the enzyme, 16-(R) is a noncovalent SARS-CoV 3CLpro inhibitor with moderate MW and good enzyme and antiviral inhibitory activity. A multicomponent Ugi reaction was utilized to rapidly explore structure−activity relationships within S1′, S1, and S2 enzyme binding pockets. The X-ray structure of SARS-CoV 3CLpro bound with 16-(R) was instrumental in guiding subsequent rounds of chemistry optimization. 16-(R) provides an excellent starting point for the further design and reﬁnement of 3CLpro inhibitors that act by a noncovalent mechanism of action.","container-title":"Journal of Medicinal Chemistry","DOI":"10.1021/jm301580n","ISSN":"0022-2623, 1520-4804","issue":"2","journalAbbreviation":"J. Med. Chem.","language":"en","page":"534-546","source":"DOI.org (Crossref)","title":"Discovery, Synthesis, And Structure-Based Optimization of a Series of &lt;i&gt;N&lt;/i&gt; -( &lt;i&gt;tert&lt;/i&gt; -Butyl)-2-( &lt;i&gt;N&lt;/i&gt; -arylamido)-2-(pyridin-3-yl) Acetamides (ML188) as Potent Noncovalent Small Molecule Inhibitors of the Severe Acute Respiratory Syndrome Coronavirus (SARS-CoV) 3CL Protease","volume":"56","author":[{"family":"Jacobs","given":"Jon"},{"family":"Grum-Tokars","given":"Valerie"},{"family":"Zhou","given":"Ya"},{"family":"Turlington","given":"Mark"},{"family":"Saldanha","given":"S. Adrian"},{"family":"Chase","given":"Peter"},{"family":"Eggler","given":"Aimee"},{"family":"Dawson","given":"Eric S."},{"family":"Baez-Santos","given":"Yahira M."},{"family":"Tomar","given":"Sakshi"},{"family":"Mielech","given":"Anna M."},{"family":"Baker","given":"Susan C."},{"family":"Lindsley","given":"Craig W."},{"family":"Hodder","given":"Peter"},{"family":"Mesecar","given":"Andrew"},{"family":"Stauffer","given":"Shaun R."}],"issued":{"date-parts":[["2013",1,24]]}}}],"schema":"https://github.com/citation-style-language/schema/raw/master/csl-citation.json"} </w:instrText>
      </w:r>
      <w:r w:rsidRPr="0044257B">
        <w:fldChar w:fldCharType="separate"/>
      </w:r>
      <w:r w:rsidRPr="0044257B">
        <w:rPr>
          <w:rFonts w:cs="Times New Roman"/>
          <w:szCs w:val="24"/>
          <w:vertAlign w:val="superscript"/>
        </w:rPr>
        <w:t xml:space="preserve">16 </w:t>
      </w:r>
      <w:r w:rsidRPr="0044257B">
        <w:fldChar w:fldCharType="end"/>
      </w:r>
      <w:r w:rsidRPr="0044257B">
        <w:t>Afterwards, I synthesized 18 other peptidomimetic compounds (</w:t>
      </w:r>
      <w:r w:rsidRPr="0044257B">
        <w:rPr>
          <w:b/>
          <w:bCs/>
        </w:rPr>
        <w:fldChar w:fldCharType="begin"/>
      </w:r>
      <w:r w:rsidRPr="0044257B">
        <w:rPr>
          <w:b/>
          <w:bCs/>
        </w:rPr>
        <w:instrText xml:space="preserve"> REF _Ref100528759 \h  \* MERGEFORMAT </w:instrText>
      </w:r>
      <w:r w:rsidRPr="0044257B">
        <w:rPr>
          <w:b/>
          <w:bCs/>
        </w:rPr>
      </w:r>
      <w:r w:rsidRPr="0044257B">
        <w:rPr>
          <w:b/>
          <w:bCs/>
        </w:rPr>
        <w:fldChar w:fldCharType="separate"/>
      </w:r>
      <w:r w:rsidR="00AA5AAC" w:rsidRPr="00AA5AAC">
        <w:rPr>
          <w:b/>
          <w:bCs/>
        </w:rPr>
        <w:t>Figure 4.10</w:t>
      </w:r>
      <w:r w:rsidRPr="0044257B">
        <w:rPr>
          <w:b/>
          <w:bCs/>
        </w:rPr>
        <w:fldChar w:fldCharType="end"/>
      </w:r>
      <w:r w:rsidRPr="0044257B">
        <w:t xml:space="preserve">). </w:t>
      </w:r>
    </w:p>
    <w:p w14:paraId="7DD71DF9" w14:textId="77777777" w:rsidR="0044257B" w:rsidRPr="0044257B" w:rsidRDefault="0044257B" w:rsidP="0044257B">
      <w:pPr>
        <w:spacing w:after="0"/>
      </w:pPr>
      <w:r w:rsidRPr="0044257B">
        <w:rPr>
          <w:noProof/>
        </w:rPr>
        <mc:AlternateContent>
          <mc:Choice Requires="wps">
            <w:drawing>
              <wp:inline distT="0" distB="0" distL="0" distR="0" wp14:anchorId="6680E3D1" wp14:editId="79CF0803">
                <wp:extent cx="5394960" cy="2191578"/>
                <wp:effectExtent l="0" t="0" r="24765" b="18415"/>
                <wp:docPr id="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191578"/>
                        </a:xfrm>
                        <a:prstGeom prst="rect">
                          <a:avLst/>
                        </a:prstGeom>
                        <a:solidFill>
                          <a:srgbClr val="FFFFFF"/>
                        </a:solidFill>
                        <a:ln w="9525">
                          <a:solidFill>
                            <a:srgbClr val="000000"/>
                          </a:solidFill>
                          <a:miter lim="800000"/>
                          <a:headEnd/>
                          <a:tailEnd/>
                        </a:ln>
                      </wps:spPr>
                      <wps:txbx>
                        <w:txbxContent>
                          <w:p w14:paraId="33BCFFF1" w14:textId="77777777" w:rsidR="0044257B" w:rsidRDefault="0044257B" w:rsidP="0044257B">
                            <w:pPr>
                              <w:keepNext/>
                              <w:spacing w:after="0"/>
                            </w:pPr>
                            <w:r>
                              <w:object w:dxaOrig="9074" w:dyaOrig="2533" w14:anchorId="23775322">
                                <v:shape id="_x0000_i1143" type="#_x0000_t75" style="width:407.2pt;height:113.15pt">
                                  <v:imagedata r:id="rId412" o:title=""/>
                                </v:shape>
                                <o:OLEObject Type="Embed" ProgID="ChemDraw.Document.6.0" ShapeID="_x0000_i1143" DrawAspect="Content" ObjectID="_1713353529" r:id="rId413"/>
                              </w:object>
                            </w:r>
                          </w:p>
                          <w:p w14:paraId="74B38A0D" w14:textId="599D944F" w:rsidR="0044257B" w:rsidRDefault="0044257B" w:rsidP="00DF51F5">
                            <w:pPr>
                              <w:pStyle w:val="Caption"/>
                            </w:pPr>
                            <w:bookmarkStart w:id="537" w:name="_Ref100745474"/>
                            <w:r>
                              <w:t>Scheme 4.</w:t>
                            </w:r>
                            <w:fldSimple w:instr=" SEQ Scheme \* ARABIC \r1 ">
                              <w:r w:rsidR="00AA5AAC">
                                <w:rPr>
                                  <w:noProof/>
                                </w:rPr>
                                <w:t>1</w:t>
                              </w:r>
                            </w:fldSimple>
                            <w:bookmarkEnd w:id="537"/>
                            <w:r>
                              <w:t xml:space="preserve">. Ugi reaction for the synthesis of Stauffer’s </w:t>
                            </w:r>
                            <w:proofErr w:type="spellStart"/>
                            <w:r>
                              <w:t>M</w:t>
                            </w:r>
                            <w:r w:rsidRPr="00267343">
                              <w:rPr>
                                <w:vertAlign w:val="superscript"/>
                              </w:rPr>
                              <w:t>pro</w:t>
                            </w:r>
                            <w:proofErr w:type="spellEnd"/>
                            <w:r>
                              <w:t xml:space="preserve"> inhibitor ML188.</w:t>
                            </w:r>
                          </w:p>
                          <w:p w14:paraId="26C41C32" w14:textId="77777777" w:rsidR="0044257B" w:rsidRDefault="0044257B" w:rsidP="0044257B">
                            <w:r>
                              <w:t xml:space="preserve">Reagents and conditions: (a) methanol, 23 </w:t>
                            </w:r>
                            <w:r>
                              <w:rPr>
                                <w:rFonts w:cs="Times New Roman"/>
                              </w:rPr>
                              <w:t>̊</w:t>
                            </w:r>
                            <w:r>
                              <w:t xml:space="preserve">C, 16 h. </w:t>
                            </w:r>
                          </w:p>
                        </w:txbxContent>
                      </wps:txbx>
                      <wps:bodyPr rot="0" vert="horz" wrap="none" lIns="91440" tIns="45720" rIns="91440" bIns="45720" anchor="t" anchorCtr="0">
                        <a:noAutofit/>
                      </wps:bodyPr>
                    </wps:wsp>
                  </a:graphicData>
                </a:graphic>
              </wp:inline>
            </w:drawing>
          </mc:Choice>
          <mc:Fallback>
            <w:pict>
              <v:shape w14:anchorId="6680E3D1" id="_x0000_s1135" type="#_x0000_t202" style="width:424.8pt;height:172.5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">
                <v:textbox>
                  <w:txbxContent>
                    <w:p w14:paraId="33BCFFF1" w14:textId="77777777" w:rsidR="0044257B" w:rsidRDefault="0044257B" w:rsidP="0044257B">
                      <w:pPr>
                        <w:keepNext/>
                        <w:spacing w:after="0"/>
                      </w:pPr>
                      <w:r>
                        <w:object w:dxaOrig="9074" w:dyaOrig="2533" w14:anchorId="23775322">
                          <v:shape id="_x0000_i1143" type="#_x0000_t75" style="width:407.2pt;height:113.15pt">
                            <v:imagedata r:id="rId412" o:title=""/>
                          </v:shape>
                          <o:OLEObject Type="Embed" ProgID="ChemDraw.Document.6.0" ShapeID="_x0000_i1143" DrawAspect="Content" ObjectID="_1713353529" r:id="rId414"/>
                        </w:object>
                      </w:r>
                    </w:p>
                    <w:p w14:paraId="74B38A0D" w14:textId="599D944F" w:rsidR="0044257B" w:rsidRDefault="0044257B" w:rsidP="00DF51F5">
                      <w:pPr>
                        <w:pStyle w:val="Caption"/>
                      </w:pPr>
                      <w:bookmarkStart w:id="538" w:name="_Ref100745474"/>
                      <w:r>
                        <w:t>Scheme 4.</w:t>
                      </w:r>
                      <w:fldSimple w:instr=" SEQ Scheme \* ARABIC \r1 ">
                        <w:r w:rsidR="00AA5AAC">
                          <w:rPr>
                            <w:noProof/>
                          </w:rPr>
                          <w:t>1</w:t>
                        </w:r>
                      </w:fldSimple>
                      <w:bookmarkEnd w:id="538"/>
                      <w:r>
                        <w:t xml:space="preserve">. Ugi reaction for the synthesis of Stauffer’s </w:t>
                      </w:r>
                      <w:proofErr w:type="spellStart"/>
                      <w:r>
                        <w:t>M</w:t>
                      </w:r>
                      <w:r w:rsidRPr="00267343">
                        <w:rPr>
                          <w:vertAlign w:val="superscript"/>
                        </w:rPr>
                        <w:t>pro</w:t>
                      </w:r>
                      <w:proofErr w:type="spellEnd"/>
                      <w:r>
                        <w:t xml:space="preserve"> inhibitor ML188.</w:t>
                      </w:r>
                    </w:p>
                    <w:p w14:paraId="26C41C32" w14:textId="77777777" w:rsidR="0044257B" w:rsidRDefault="0044257B" w:rsidP="0044257B">
                      <w:r>
                        <w:t xml:space="preserve">Reagents and conditions: (a) methanol, 23 </w:t>
                      </w:r>
                      <w:r>
                        <w:rPr>
                          <w:rFonts w:cs="Times New Roman"/>
                        </w:rPr>
                        <w:t>̊</w:t>
                      </w:r>
                      <w:r>
                        <w:t xml:space="preserve">C, 16 h. </w:t>
                      </w:r>
                    </w:p>
                  </w:txbxContent>
                </v:textbox>
                <w10:anchorlock/>
              </v:shape>
            </w:pict>
          </mc:Fallback>
        </mc:AlternateContent>
      </w:r>
    </w:p>
    <w:p w14:paraId="40A5DFA7" w14:textId="740AABF3" w:rsidR="0044257B" w:rsidRPr="0044257B" w:rsidRDefault="0044257B" w:rsidP="0044257B">
      <w:pPr>
        <w:spacing w:after="0"/>
        <w:ind w:firstLine="720"/>
        <w:rPr>
          <w:rFonts w:cs="Times New Roman"/>
          <w:szCs w:val="24"/>
          <w:vertAlign w:val="superscript"/>
        </w:rPr>
      </w:pPr>
      <w:r w:rsidRPr="0044257B">
        <w:t xml:space="preserve">It should be noted that while the </w:t>
      </w:r>
      <w:r w:rsidRPr="0044257B">
        <w:rPr>
          <w:i/>
          <w:iCs/>
        </w:rPr>
        <w:t>R</w:t>
      </w:r>
      <w:r w:rsidRPr="0044257B">
        <w:t xml:space="preserve">-enantiomer of </w:t>
      </w:r>
      <w:r w:rsidRPr="0044257B">
        <w:rPr>
          <w:b/>
          <w:bCs/>
        </w:rPr>
        <w:t>4.10</w:t>
      </w:r>
      <w:r w:rsidRPr="0044257B">
        <w:t xml:space="preserve"> was identified as the eutomer, my approach involved starting with synthesizing the racemic mixtures of each compound so that </w:t>
      </w:r>
      <w:r w:rsidRPr="0044257B">
        <w:lastRenderedPageBreak/>
        <w:t>several analogs could be generated rapidly. If any of the racemic compounds were to show significant protease inhibition activity, then either purification of the enantiomers or a stereoselective synthetic method c</w:t>
      </w:r>
      <w:r w:rsidR="00BE3EC7">
        <w:t>an</w:t>
      </w:r>
      <w:r w:rsidRPr="0044257B">
        <w:t xml:space="preserve"> be employed to provide the </w:t>
      </w:r>
      <w:r w:rsidR="00BE3EC7">
        <w:t>pure</w:t>
      </w:r>
      <w:r w:rsidRPr="0044257B">
        <w:t xml:space="preserve"> enantiomers. This would allow us to then determine the eutomer and distomer of active racemic compounds. </w:t>
      </w:r>
    </w:p>
    <w:p w14:paraId="3681EFCC" w14:textId="73CADA29" w:rsidR="0044257B" w:rsidRPr="0044257B" w:rsidRDefault="0044257B" w:rsidP="0044257B">
      <w:pPr>
        <w:spacing w:after="0"/>
      </w:pPr>
      <w:r w:rsidRPr="0044257B">
        <w:tab/>
        <w:t>The Ugi coupling is a multi-component reaction where a carbonyl compound, an amine, an isocyanide, and a carboxylic acid react to form a bis-amide product in one pot (</w:t>
      </w:r>
      <w:r w:rsidR="00381C64" w:rsidRPr="00381C64">
        <w:rPr>
          <w:b/>
          <w:bCs/>
        </w:rPr>
        <w:fldChar w:fldCharType="begin"/>
      </w:r>
      <w:r w:rsidR="00381C64" w:rsidRPr="00381C64">
        <w:rPr>
          <w:b/>
          <w:bCs/>
        </w:rPr>
        <w:instrText xml:space="preserve"> REF _Ref100745502 \h  \* MERGEFORMAT </w:instrText>
      </w:r>
      <w:r w:rsidR="00381C64" w:rsidRPr="00381C64">
        <w:rPr>
          <w:b/>
          <w:bCs/>
        </w:rPr>
      </w:r>
      <w:r w:rsidR="00381C64" w:rsidRPr="00381C64">
        <w:rPr>
          <w:b/>
          <w:bCs/>
        </w:rPr>
        <w:fldChar w:fldCharType="separate"/>
      </w:r>
      <w:r w:rsidR="00AA5AAC" w:rsidRPr="00AA5AAC">
        <w:rPr>
          <w:b/>
          <w:bCs/>
        </w:rPr>
        <w:t>Scheme 4.2</w:t>
      </w:r>
      <w:r w:rsidR="00381C64" w:rsidRPr="00381C64">
        <w:rPr>
          <w:b/>
          <w:bCs/>
        </w:rPr>
        <w:fldChar w:fldCharType="end"/>
      </w:r>
      <w:r w:rsidRPr="0044257B">
        <w:t>).</w:t>
      </w:r>
      <w:r w:rsidRPr="0044257B">
        <w:fldChar w:fldCharType="begin"/>
      </w:r>
      <w:r w:rsidRPr="0044257B">
        <w:instrText xml:space="preserve"> ADDIN ZOTERO_ITEM CSL_CITATION {"citationID":"PeONOHWw","properties":{"formattedCitation":"\\super 79\\nosupersub{}","plainCitation":"79","noteIndex":0},"citationItems":[{"id":867,"uris":["http://zotero.org/users/6503767/items/V8RMS6E4"],"itemData":{"id":867,"type":"article-journal","abstract":"The α-addition of immonium ions and anions (OH−, SeH−, S2O3 2−, N3− NCO− NCS−, RCO2 −, ROCO2−) to isonitriles, accompanied by secondary reactions provides a means for the one-stage synthesis of organic nitrogen compounds starting with two to five different components. Thus, by the condensations of amines (ammonia, primary, and secondary aliphatic and aromatic amines, hydrazines) and aldehydes or ketones with isonitriles and acids, a number of α-aminocarboxylic acid amides, thioamides, selenoamides, 1,5-disubstituted retrazoles, hydantoin imides, thiohydantoin imides, α-acylamino carboxylic acid amides, oligopeptide derivatives, β-lactams, derivatives of penicillanic acid, urethanes, diacylimides, and various hydrazine derivatives, can be prepared. The reactions are easily carried out and take place under mild conditions. Yields of more than 90% are frequently encountered.","container-title":"Angewandte Chemie International Edition in English","DOI":"10.1002/anie.196200081","ISSN":"1521-3773","issue":"1","language":"en","note":"_eprint: https://onlinelibrary.wiley.com/doi/pdf/10.1002/anie.196200081","page":"8-21","source":"Wiley Online Library","title":"The α-Addition of Immonium Ions and Anions to Isonitriles Accompanied by Secondary Reactions","volume":"1","author":[{"family":"Ugi","given":"Ivar"}],"issued":{"date-parts":[["1962"]]}}}],"schema":"https://github.com/citation-style-language/schema/raw/master/csl-citation.json"} </w:instrText>
      </w:r>
      <w:r w:rsidRPr="0044257B">
        <w:fldChar w:fldCharType="separate"/>
      </w:r>
      <w:r w:rsidRPr="0044257B">
        <w:rPr>
          <w:rFonts w:cs="Times New Roman"/>
          <w:szCs w:val="24"/>
          <w:vertAlign w:val="superscript"/>
        </w:rPr>
        <w:t>79</w:t>
      </w:r>
      <w:r w:rsidRPr="0044257B">
        <w:fldChar w:fldCharType="end"/>
      </w:r>
      <w:r w:rsidRPr="0044257B">
        <w:t xml:space="preserve"> Nicotinic aldehyde (</w:t>
      </w:r>
      <w:r w:rsidRPr="0044257B">
        <w:rPr>
          <w:b/>
          <w:bCs/>
        </w:rPr>
        <w:t>A</w:t>
      </w:r>
      <w:r w:rsidRPr="0044257B">
        <w:t xml:space="preserve">) was employed in every reaction, as it provided the pyridine moiety that is integral to the peptidomimetic scaffold. Cyclohexyl or </w:t>
      </w:r>
      <w:r w:rsidRPr="0044257B">
        <w:rPr>
          <w:i/>
          <w:iCs/>
        </w:rPr>
        <w:t>tert</w:t>
      </w:r>
      <w:r w:rsidRPr="0044257B">
        <w:t xml:space="preserve">-butyl isocyanides were used for component </w:t>
      </w:r>
      <w:r w:rsidRPr="0044257B">
        <w:rPr>
          <w:b/>
          <w:bCs/>
        </w:rPr>
        <w:t>B</w:t>
      </w:r>
      <w:r w:rsidRPr="0044257B">
        <w:t xml:space="preserve">, several aromatic amines were used for component </w:t>
      </w:r>
      <w:r w:rsidRPr="0044257B">
        <w:rPr>
          <w:b/>
          <w:bCs/>
        </w:rPr>
        <w:t>C</w:t>
      </w:r>
      <w:r w:rsidRPr="0044257B">
        <w:t xml:space="preserve">, and a wide assortment of carboxylic acids were used for component </w:t>
      </w:r>
      <w:r w:rsidRPr="0044257B">
        <w:rPr>
          <w:b/>
          <w:bCs/>
        </w:rPr>
        <w:t>D</w:t>
      </w:r>
      <w:r w:rsidRPr="0044257B">
        <w:t xml:space="preserve">. </w:t>
      </w:r>
    </w:p>
    <w:p w14:paraId="31D92EB1" w14:textId="77777777" w:rsidR="0044257B" w:rsidRPr="0044257B" w:rsidRDefault="0044257B" w:rsidP="0044257B">
      <w:pPr>
        <w:spacing w:after="0"/>
      </w:pPr>
      <w:r w:rsidRPr="0044257B">
        <w:rPr>
          <w:noProof/>
        </w:rPr>
        <mc:AlternateContent>
          <mc:Choice Requires="wps">
            <w:drawing>
              <wp:inline distT="0" distB="0" distL="0" distR="0" wp14:anchorId="0B29EACE" wp14:editId="6221A1CC">
                <wp:extent cx="5943600" cy="1979295"/>
                <wp:effectExtent l="0" t="0" r="19050" b="20955"/>
                <wp:docPr id="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979295"/>
                        </a:xfrm>
                        <a:prstGeom prst="rect">
                          <a:avLst/>
                        </a:prstGeom>
                        <a:solidFill>
                          <a:srgbClr val="FFFFFF"/>
                        </a:solidFill>
                        <a:ln w="9525">
                          <a:solidFill>
                            <a:srgbClr val="000000"/>
                          </a:solidFill>
                          <a:miter lim="800000"/>
                          <a:headEnd/>
                          <a:tailEnd/>
                        </a:ln>
                      </wps:spPr>
                      <wps:txbx>
                        <w:txbxContent>
                          <w:p w14:paraId="639C2FE5" w14:textId="77777777" w:rsidR="0044257B" w:rsidRDefault="0044257B" w:rsidP="0044257B">
                            <w:pPr>
                              <w:keepNext/>
                              <w:spacing w:after="0"/>
                              <w:jc w:val="center"/>
                            </w:pPr>
                            <w:r>
                              <w:rPr>
                                <w:b/>
                              </w:rPr>
                              <w:object w:dxaOrig="8146" w:dyaOrig="1514" w14:anchorId="0FBD135A">
                                <v:shape id="_x0000_i1145" type="#_x0000_t75" style="width:407.7pt;height:76.2pt">
                                  <v:imagedata r:id="rId415" o:title=""/>
                                </v:shape>
                                <o:OLEObject Type="Embed" ProgID="ChemDraw.Document.6.0" ShapeID="_x0000_i1145" DrawAspect="Content" ObjectID="_1713353530" r:id="rId416"/>
                              </w:object>
                            </w:r>
                          </w:p>
                          <w:p w14:paraId="79E659FA" w14:textId="137F0F26" w:rsidR="0044257B" w:rsidRDefault="0044257B" w:rsidP="00DF51F5">
                            <w:pPr>
                              <w:pStyle w:val="Caption"/>
                            </w:pPr>
                            <w:bookmarkStart w:id="539" w:name="_Ref100745502"/>
                            <w:r>
                              <w:t>Scheme 4.</w:t>
                            </w:r>
                            <w:fldSimple w:instr=" SEQ Scheme \* ARABIC ">
                              <w:r w:rsidR="00AA5AAC">
                                <w:rPr>
                                  <w:noProof/>
                                </w:rPr>
                                <w:t>2</w:t>
                              </w:r>
                            </w:fldSimple>
                            <w:bookmarkEnd w:id="539"/>
                            <w:r>
                              <w:t xml:space="preserve">. Generic Ugi coupling reaction for the synthesis of compounds within the peptidomimetic scaffold. </w:t>
                            </w:r>
                          </w:p>
                          <w:p w14:paraId="1516BA58" w14:textId="77777777" w:rsidR="0044257B" w:rsidRPr="00A032F3" w:rsidRDefault="0044257B" w:rsidP="0044257B">
                            <w:r>
                              <w:t xml:space="preserve">Reagents and conditions: (a) methanol, 23 </w:t>
                            </w:r>
                            <w:r>
                              <w:rPr>
                                <w:rFonts w:cs="Times New Roman"/>
                              </w:rPr>
                              <w:t>̊</w:t>
                            </w:r>
                            <w:r>
                              <w:t>C, 16 h.</w:t>
                            </w:r>
                          </w:p>
                          <w:p w14:paraId="23F77273" w14:textId="77777777" w:rsidR="0044257B" w:rsidRDefault="0044257B" w:rsidP="0044257B"/>
                        </w:txbxContent>
                      </wps:txbx>
                      <wps:bodyPr rot="0" vert="horz" wrap="square" lIns="91440" tIns="45720" rIns="91440" bIns="45720" anchor="t" anchorCtr="0">
                        <a:noAutofit/>
                      </wps:bodyPr>
                    </wps:wsp>
                  </a:graphicData>
                </a:graphic>
              </wp:inline>
            </w:drawing>
          </mc:Choice>
          <mc:Fallback>
            <w:pict>
              <v:shape w14:anchorId="0B29EACE" id="_x0000_s1136" type="#_x0000_t202" style="width:468pt;height:15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">
                <v:textbox>
                  <w:txbxContent>
                    <w:p w14:paraId="639C2FE5" w14:textId="77777777" w:rsidR="0044257B" w:rsidRDefault="0044257B" w:rsidP="0044257B">
                      <w:pPr>
                        <w:keepNext/>
                        <w:spacing w:after="0"/>
                        <w:jc w:val="center"/>
                      </w:pPr>
                      <w:r>
                        <w:rPr>
                          <w:b/>
                        </w:rPr>
                        <w:object w:dxaOrig="8146" w:dyaOrig="1514" w14:anchorId="0FBD135A">
                          <v:shape id="_x0000_i1145" type="#_x0000_t75" style="width:407.7pt;height:76.2pt">
                            <v:imagedata r:id="rId415" o:title=""/>
                          </v:shape>
                          <o:OLEObject Type="Embed" ProgID="ChemDraw.Document.6.0" ShapeID="_x0000_i1145" DrawAspect="Content" ObjectID="_1713353530" r:id="rId417"/>
                        </w:object>
                      </w:r>
                    </w:p>
                    <w:p w14:paraId="79E659FA" w14:textId="137F0F26" w:rsidR="0044257B" w:rsidRDefault="0044257B" w:rsidP="00DF51F5">
                      <w:pPr>
                        <w:pStyle w:val="Caption"/>
                      </w:pPr>
                      <w:bookmarkStart w:id="540" w:name="_Ref100745502"/>
                      <w:r>
                        <w:t>Scheme 4.</w:t>
                      </w:r>
                      <w:fldSimple w:instr=" SEQ Scheme \* ARABIC ">
                        <w:r w:rsidR="00AA5AAC">
                          <w:rPr>
                            <w:noProof/>
                          </w:rPr>
                          <w:t>2</w:t>
                        </w:r>
                      </w:fldSimple>
                      <w:bookmarkEnd w:id="540"/>
                      <w:r>
                        <w:t xml:space="preserve">. Generic Ugi coupling reaction for the synthesis of compounds within the peptidomimetic scaffold. </w:t>
                      </w:r>
                    </w:p>
                    <w:p w14:paraId="1516BA58" w14:textId="77777777" w:rsidR="0044257B" w:rsidRPr="00A032F3" w:rsidRDefault="0044257B" w:rsidP="0044257B">
                      <w:r>
                        <w:t xml:space="preserve">Reagents and conditions: (a) methanol, 23 </w:t>
                      </w:r>
                      <w:r>
                        <w:rPr>
                          <w:rFonts w:cs="Times New Roman"/>
                        </w:rPr>
                        <w:t>̊</w:t>
                      </w:r>
                      <w:r>
                        <w:t>C, 16 h.</w:t>
                      </w:r>
                    </w:p>
                    <w:p w14:paraId="23F77273" w14:textId="77777777" w:rsidR="0044257B" w:rsidRDefault="0044257B" w:rsidP="0044257B"/>
                  </w:txbxContent>
                </v:textbox>
                <w10:anchorlock/>
              </v:shape>
            </w:pict>
          </mc:Fallback>
        </mc:AlternateContent>
      </w:r>
    </w:p>
    <w:p w14:paraId="73E0FE03" w14:textId="6729B453" w:rsidR="0044257B" w:rsidRPr="0044257B" w:rsidRDefault="0044257B" w:rsidP="0044257B">
      <w:r w:rsidRPr="0044257B">
        <w:tab/>
        <w:t>For this reaction, the aldehyde, amine, and carboxylic acid were dissolved in reagent-grade methanol at room temperature, followed by addition of the isocyanide. The reaction was then allowed to stir overnight, and the product was purified the following morning. The Ugi reaction does not typically require anhydrous conditions,</w:t>
      </w:r>
      <w:r w:rsidRPr="0044257B">
        <w:fldChar w:fldCharType="begin"/>
      </w:r>
      <w:r w:rsidRPr="0044257B">
        <w:instrText xml:space="preserve"> ADDIN ZOTERO_ITEM CSL_CITATION {"citationID":"Vz3o0kI2","properties":{"formattedCitation":"\\super 80\\nosupersub{}","plainCitation":"80","noteIndex":0},"citationItems":[{"id":959,"uris":["http://zotero.org/users/6503767/items/SSAQXEG3"],"itemData":{"id":959,"type":"article-journal","abstract":"With the emergence of high-throughput screening in the pharmaceutical industry in the early 1990's, organic chemists were faced with a new challenge: how to prepare large collections of molecules (the libraries) to “feed” the high-throughput screen? The unique exploratory power of some reactions (such as the 40 year-old Ugi four-component condensation) was soon recognized to be extremely valuable to produce libraries in a time- and cost-effective manner. Over the last five years, industrial and academic researchers have made these powerful transformations into one of the most efficient and cost-effective tools for combinatorial and parallel synthesis.","container-title":"Chemistry – A European Journal","DOI":"10.1002/1521-3765(20000915)6:18&lt;3321::AID-CHEM3321&gt;3.0.CO;2-A","ISSN":"1521-3765","issue":"18","language":"en","note":"_eprint: https://onlinelibrary.wiley.com/doi/pdf/10.1002/1521-3765%2820000915%296%3A18%3C3321%3A%3AAID-CHEM3321%3E3.0.CO%3B2-A","page":"3321-3329","source":"Wiley Online Library","title":"Maximizing Synthetic Efficiency: Multi-Component Transformations Lead the Way","title-short":"Maximizing Synthetic Efficiency","volume":"6","author":[{"family":"Bienaymé","given":"Hugues"},{"family":"Hulme","given":"Chris"},{"family":"Oddon","given":"Gilles"},{"family":"Schmitt","given":"Philippe"}],"issued":{"date-parts":[["2000"]]}}}],"schema":"https://github.com/citation-style-language/schema/raw/master/csl-citation.json"} </w:instrText>
      </w:r>
      <w:r w:rsidRPr="0044257B">
        <w:fldChar w:fldCharType="separate"/>
      </w:r>
      <w:r w:rsidRPr="0044257B">
        <w:rPr>
          <w:rFonts w:cs="Times New Roman"/>
          <w:szCs w:val="24"/>
          <w:vertAlign w:val="superscript"/>
        </w:rPr>
        <w:t>80</w:t>
      </w:r>
      <w:r w:rsidRPr="0044257B">
        <w:fldChar w:fldCharType="end"/>
      </w:r>
      <w:r w:rsidRPr="0044257B">
        <w:t xml:space="preserve"> but each reaction</w:t>
      </w:r>
      <w:r w:rsidR="00BE3EC7">
        <w:t xml:space="preserve"> was conducted</w:t>
      </w:r>
      <w:r w:rsidRPr="0044257B">
        <w:t xml:space="preserve"> under nitrogen atmosphere</w:t>
      </w:r>
      <w:r w:rsidR="00BE3EC7">
        <w:t>.</w:t>
      </w:r>
      <w:r w:rsidRPr="0044257B">
        <w:fldChar w:fldCharType="begin"/>
      </w:r>
      <w:r w:rsidRPr="0044257B">
        <w:instrText xml:space="preserve"> ADDIN ZOTERO_ITEM CSL_CITATION {"citationID":"SJ0kgbk1","properties":{"formattedCitation":"\\super 81\\nosupersub{}","plainCitation":"81","noteIndex":0},"citationItems":[{"id":956,"uris":["http://zotero.org/users/6503767/items/7AWNGM57"],"itemData":{"id":956,"type":"article-journal","abstract":"The first century of isocyanide chemistry, which was then still a rather empty part of Organic Chemistry, began in 1859. In 1958 isocyanides became generally available by dehydration the formylamines. One year later the four component reaction of isocyanides (U-4CR) was introduced. This one-pot reaction is accomplished just by mixing amines, carbonyl compounds, suitable acids and isocyanides. Most chemical reactions have their own ”scope and limitation”, whereas the U-4CR can convert almost all combinations of educts into their products. Until 1995 this chemistry was moderately used, but since then a new era of the U-4CR and its unions with further reactions have become increasingly popular, particularly as libraries. In industry this chemistry became one of its most often used methods of finding new desirable products. In contrast to most other areas of chemistry, isocyanide chemistry is not yet exhausted and still much progress can be expected there.","container-title":"Molecules","DOI":"10.3390/80100053","ISSN":"1420-3049","issue":"1","language":"en","note":"number: 1\npublisher: Molecular Diversity Preservation International","page":"53-66","source":"www.mdpi.com","title":"The Chemistry of Isocyanides, their MultiComponent Reactions and their Libraries","volume":"8","author":[{"family":"Ugi","given":"I."},{"family":"Werner","given":"B."},{"family":"Dömling","given":"A."}],"issued":{"date-parts":[["2003",1]]}}}],"schema":"https://github.com/citation-style-language/schema/raw/master/csl-citation.json"} </w:instrText>
      </w:r>
      <w:r w:rsidRPr="0044257B">
        <w:fldChar w:fldCharType="separate"/>
      </w:r>
      <w:r w:rsidRPr="0044257B">
        <w:rPr>
          <w:rFonts w:cs="Times New Roman"/>
          <w:szCs w:val="24"/>
          <w:vertAlign w:val="superscript"/>
        </w:rPr>
        <w:t>81</w:t>
      </w:r>
      <w:r w:rsidRPr="0044257B">
        <w:fldChar w:fldCharType="end"/>
      </w:r>
      <w:r w:rsidRPr="0044257B">
        <w:t xml:space="preserve"> </w:t>
      </w:r>
    </w:p>
    <w:p w14:paraId="197D9E65" w14:textId="68C5D621" w:rsidR="0044257B" w:rsidRPr="0044257B" w:rsidRDefault="0044257B" w:rsidP="0044257B">
      <w:pPr>
        <w:ind w:firstLine="720"/>
      </w:pPr>
      <w:r w:rsidRPr="0044257B">
        <w:t xml:space="preserve">Fortunately, the Ugi reaction has a straightforward procedure and was widely successful for generating compounds. In fact, 5 compounds were synthesized with yields </w:t>
      </w:r>
      <w:r w:rsidR="00BE3EC7">
        <w:t>&gt;</w:t>
      </w:r>
      <w:r w:rsidRPr="0044257B">
        <w:t>90% (</w:t>
      </w:r>
      <w:r w:rsidRPr="0044257B">
        <w:rPr>
          <w:b/>
          <w:bCs/>
        </w:rPr>
        <w:t>JG55</w:t>
      </w:r>
      <w:r w:rsidRPr="0044257B">
        <w:t xml:space="preserve">, </w:t>
      </w:r>
      <w:r w:rsidRPr="0044257B">
        <w:rPr>
          <w:b/>
          <w:bCs/>
        </w:rPr>
        <w:t>JG56</w:t>
      </w:r>
      <w:r w:rsidRPr="0044257B">
        <w:t xml:space="preserve">, </w:t>
      </w:r>
      <w:r w:rsidRPr="0044257B">
        <w:rPr>
          <w:b/>
          <w:bCs/>
        </w:rPr>
        <w:lastRenderedPageBreak/>
        <w:t>JG59</w:t>
      </w:r>
      <w:r w:rsidRPr="0044257B">
        <w:t xml:space="preserve">, </w:t>
      </w:r>
      <w:r w:rsidRPr="0044257B">
        <w:rPr>
          <w:b/>
          <w:bCs/>
        </w:rPr>
        <w:t>JG5.09</w:t>
      </w:r>
      <w:r w:rsidRPr="0044257B">
        <w:t xml:space="preserve">, </w:t>
      </w:r>
      <w:r w:rsidRPr="0044257B">
        <w:rPr>
          <w:b/>
          <w:bCs/>
        </w:rPr>
        <w:t>JG5.16</w:t>
      </w:r>
      <w:r w:rsidRPr="0044257B">
        <w:t xml:space="preserve">). Interestingly, compounds </w:t>
      </w:r>
      <w:r w:rsidRPr="0044257B">
        <w:rPr>
          <w:b/>
          <w:bCs/>
        </w:rPr>
        <w:t>JG52</w:t>
      </w:r>
      <w:r w:rsidRPr="0044257B">
        <w:t xml:space="preserve"> and </w:t>
      </w:r>
      <w:r w:rsidRPr="0044257B">
        <w:rPr>
          <w:b/>
          <w:bCs/>
        </w:rPr>
        <w:t>JG53</w:t>
      </w:r>
      <w:r w:rsidRPr="0044257B">
        <w:t xml:space="preserve"> were </w:t>
      </w:r>
      <w:r w:rsidR="00BE3EC7">
        <w:t xml:space="preserve">produced </w:t>
      </w:r>
      <w:r w:rsidRPr="0044257B">
        <w:t xml:space="preserve">when I attempted to increase the rate of the reaction by adding acetic acid. I thought acetic acid would act as a mildly acidic catalyst, but, unsurprisingly, the acetate ion competed with the desired carboxylic acid nucleophile, resulting in a terminal methyl group on the bis-amide products. The competition between the carboxylic acid anions resulted in poor yields of 8% and 26% for compounds </w:t>
      </w:r>
      <w:r w:rsidRPr="0044257B">
        <w:rPr>
          <w:b/>
          <w:bCs/>
        </w:rPr>
        <w:t>JG52</w:t>
      </w:r>
      <w:r w:rsidRPr="0044257B">
        <w:t xml:space="preserve"> and </w:t>
      </w:r>
      <w:r w:rsidRPr="0044257B">
        <w:rPr>
          <w:b/>
          <w:bCs/>
        </w:rPr>
        <w:t>JG53</w:t>
      </w:r>
      <w:r w:rsidRPr="0044257B">
        <w:t xml:space="preserve">, respectively. I found that low concentrations of hydrochloric acid are suitable for increasing the acidity of the reaction mixture when necessary. </w:t>
      </w:r>
    </w:p>
    <w:p w14:paraId="0332525A" w14:textId="792A10BC" w:rsidR="0044257B" w:rsidRPr="0044257B" w:rsidRDefault="0044257B" w:rsidP="0044257B">
      <w:pPr>
        <w:spacing w:after="0"/>
        <w:ind w:firstLine="720"/>
      </w:pPr>
      <w:r w:rsidRPr="0044257B">
        <w:t xml:space="preserve">In addition to the 18 compounds I synthesized, </w:t>
      </w:r>
      <w:proofErr w:type="spellStart"/>
      <w:r w:rsidRPr="0044257B">
        <w:t>noopept</w:t>
      </w:r>
      <w:proofErr w:type="spellEnd"/>
      <w:r w:rsidRPr="0044257B">
        <w:t xml:space="preserve"> was also tested for </w:t>
      </w:r>
      <w:proofErr w:type="spellStart"/>
      <w:r w:rsidRPr="0044257B">
        <w:t>M</w:t>
      </w:r>
      <w:r w:rsidRPr="0044257B">
        <w:rPr>
          <w:vertAlign w:val="superscript"/>
        </w:rPr>
        <w:t>pro</w:t>
      </w:r>
      <w:proofErr w:type="spellEnd"/>
      <w:r w:rsidRPr="0044257B">
        <w:rPr>
          <w:vertAlign w:val="superscript"/>
        </w:rPr>
        <w:t xml:space="preserve"> </w:t>
      </w:r>
      <w:r w:rsidRPr="0044257B">
        <w:t>proteolytic activity (</w:t>
      </w:r>
      <w:r w:rsidRPr="0044257B">
        <w:rPr>
          <w:b/>
          <w:bCs/>
        </w:rPr>
        <w:fldChar w:fldCharType="begin"/>
      </w:r>
      <w:r w:rsidRPr="0044257B">
        <w:rPr>
          <w:b/>
          <w:bCs/>
        </w:rPr>
        <w:instrText xml:space="preserve"> REF _Ref100528759 \h  \* MERGEFORMAT </w:instrText>
      </w:r>
      <w:r w:rsidRPr="0044257B">
        <w:rPr>
          <w:b/>
          <w:bCs/>
        </w:rPr>
      </w:r>
      <w:r w:rsidRPr="0044257B">
        <w:rPr>
          <w:b/>
          <w:bCs/>
        </w:rPr>
        <w:fldChar w:fldCharType="separate"/>
      </w:r>
      <w:r w:rsidR="00AA5AAC" w:rsidRPr="00AA5AAC">
        <w:rPr>
          <w:b/>
          <w:bCs/>
        </w:rPr>
        <w:t>Figure 4.10</w:t>
      </w:r>
      <w:r w:rsidRPr="0044257B">
        <w:rPr>
          <w:b/>
          <w:bCs/>
        </w:rPr>
        <w:fldChar w:fldCharType="end"/>
      </w:r>
      <w:r w:rsidRPr="0044257B">
        <w:t xml:space="preserve">). </w:t>
      </w:r>
      <w:proofErr w:type="spellStart"/>
      <w:r w:rsidRPr="0044257B">
        <w:t>Noopept</w:t>
      </w:r>
      <w:proofErr w:type="spellEnd"/>
      <w:r w:rsidRPr="0044257B">
        <w:t>, or N-phenylacetyl-L-</w:t>
      </w:r>
      <w:proofErr w:type="spellStart"/>
      <w:r w:rsidRPr="0044257B">
        <w:t>prolylglycine</w:t>
      </w:r>
      <w:proofErr w:type="spellEnd"/>
      <w:r w:rsidRPr="0044257B">
        <w:t xml:space="preserve"> ethyl ester, is an approved drug in Russia and is available without a prescription. As a research nootropic in the United States, it has been evaluated for neuroprotective effects to prevent and treat Alzheimer’s disease.</w:t>
      </w:r>
      <w:r w:rsidRPr="0044257B">
        <w:fldChar w:fldCharType="begin"/>
      </w:r>
      <w:r w:rsidRPr="0044257B">
        <w:instrText xml:space="preserve"> ADDIN ZOTERO_ITEM CSL_CITATION {"citationID":"50X8QElL","properties":{"formattedCitation":"\\super 82\\nosupersub{}","plainCitation":"82","noteIndex":0},"citationItems":[{"id":870,"uris":["http://zotero.org/users/6503767/items/J37D2NSC"],"itemData":{"id":870,"type":"article-journal","abstract":"The effects of the novel proline-containing nootropic and neuroprotective dipeptide, noopept (GVS-111, N-phenylacetyl-L-prolylglycine ethyl ester) were investigated in NMRI mice following olfactory bulbectomy. We have shown previously that these animals developed Alzheimer's disease (AD)-like behaviour, morphology and biochemistry including impairment of spatial memory, regional neuronal degeneration and elevated Aβ peptide brain levels. In the current investigation, spatial memory was assessed using the Morris water maze and serum antibodies to in vitro morphologically characterized amyloid structures of both Aβ(25—35) peptide and equine lysozyme, as well as to neurotrophic glial factor S100b, were analyzed by enzyme-linked immunosorbent assay (ELISA). Noopept (administered at a dose of 0.01 mg/kg for a period of 21 days and during a further 5 days training) restored spatial memory and increased serum antibody levels to oligomers of Aβ(25—35) peptide but not to equine lysozyme amyloid or S100b protein in bulbectomized animals. The positive immunotropic effect of noopept to Aβ(25—35) peptide prefibrillar aggregates was more marked in sham-operated compared to the bulbectomized subjects which were characterized by an overall suppression of immunoreactivity. Enhancement of the immune response to Aβ(25—35) peptide prefibrils caused by noopept may attenuate the neurotoxic consequences of amyloid fibrillization and also be associated with an improvement in spatial memory in bulbectomized mice. These actions of noopept, combined with it's previously reported neuroprotective and cholinomimetic properties, suggests that this dipeptide may well be useful for improving cognitive deficits induced by neurodegenerative diseases.","container-title":"Journal of Psychopharmacology","DOI":"10.1177/0269881106071335","ISSN":"0269-8811","issue":"6","journalAbbreviation":"J Psychopharmacol","language":"en","note":"publisher: SAGE Publications Ltd STM","page":"611-619","source":"SAGE Journals","title":"The nootropic and neuroprotective proline-containing dipeptide noopept restores spatial memory and increases immunoreactivity to amyloid in an Alzheimer's disease model","volume":"21","author":[{"family":"Ostrovskaya","given":"Rita U."},{"family":"Gruden","given":"Marina A."},{"family":"Bobkova","given":"Natalya A."},{"family":"Sewell","given":"Robert D. E."},{"family":"Gudasheva","given":"Tatyana A."},{"family":"Samokhin","given":"Alexander N."},{"family":"Seredinin","given":"Sergey B."},{"family":"Noppe","given":"Wim"},{"family":"Sherstnev","given":"Vladimir V."},{"family":"Morozova-Roche","given":"Ludmilla A."}],"issued":{"date-parts":[["2007",8,1]]}}}],"schema":"https://github.com/citation-style-language/schema/raw/master/csl-citation.json"} </w:instrText>
      </w:r>
      <w:r w:rsidRPr="0044257B">
        <w:fldChar w:fldCharType="separate"/>
      </w:r>
      <w:r w:rsidRPr="0044257B">
        <w:rPr>
          <w:rFonts w:cs="Times New Roman"/>
          <w:szCs w:val="24"/>
          <w:vertAlign w:val="superscript"/>
        </w:rPr>
        <w:t>82</w:t>
      </w:r>
      <w:r w:rsidRPr="0044257B">
        <w:fldChar w:fldCharType="end"/>
      </w:r>
      <w:r w:rsidRPr="0044257B">
        <w:t xml:space="preserve"> While it has been found to slightly stimulate brain-derived neurotrophic factor (BDNF) expression in rat hippocampus, its mechanism of action is unknown.</w:t>
      </w:r>
      <w:r w:rsidRPr="0044257B">
        <w:fldChar w:fldCharType="begin"/>
      </w:r>
      <w:r w:rsidRPr="0044257B">
        <w:instrText xml:space="preserve"> ADDIN ZOTERO_ITEM CSL_CITATION {"citationID":"DlBWgrEU","properties":{"formattedCitation":"\\super 83\\nosupersub{}","plainCitation":"83","noteIndex":0},"citationItems":[{"id":872,"uris":["http://zotero.org/users/6503767/items/D4RHHCKH"],"itemData":{"id":872,"type":"article-journal","abstract":"We studied the effect of original dipeptide preparation Noopept (N-phenylacetyl-L-prolylglycine ethyl ester, GVS-111) with nootropic and neuroprotective properties on the expression of mRNA for neurotropic factors NGF and BDNF in rat hippocampus. Expression of NGF and BDNF mRNA in the cerebral cortex and hippocampus was studied by Northern blot analysis. Taking into account the fact that pharmacological activity of Noopept is realized after both acute and chronic treatment, we studied the effect of single and long-term treatment (28 days) with this drug. Expression of the studied neurotropic factors in the cerebral cortex was below the control after single administration of Noopept, while chronic administration caused a slight increase in BDNF expression. In the hippocampus, expression of mRNA for both neurotrophins increased after acute administration of Noopept. Chronic treatment with Noopept was not followed by the development of tolerance, but even potentiated the neurotrophic effect. These changes probably play a role in neuronal restoration. We showed that the nootropic drug increases expression of neurotrophic factors in the hippocampus. Our results are consistent with the hypothesis that neurotrophin synthesis in the hippocampus determines cognitive function, particularly in consolidation and delayed memory retrieval. Published data show that neurotrophic factor deficiency in the hippocampus is observed not only in advanced Alzheimer's disease, but also at the stage of mild cognitive impairment (predisease state). In light of this our findings suggest that Noopept holds much promise to prevent the development of Alzheimer's disease in patients with mild cognitive impairment. Moreover, therapeutic effectiveness of Noopept should be evaluated at the initial stage of Alzheimer's disease.","container-title":"Bulletin of Experimental Biology and Medicine","DOI":"10.1007/s10517-008-0297-x","ISSN":"1573-8221","issue":"3","journalAbbreviation":"Bull Exp Biol Med","language":"en","page":"334-337","source":"Springer Link","title":"Noopept stimulates the expression of NGF and BDNF in rat hippocampus","volume":"146","author":[{"family":"Ostrovskaya","given":"R. U."},{"family":"Gudasheva","given":"T. A."},{"family":"Zaplina","given":"A. P."},{"family":"Vahitova","given":"Ju. V."},{"family":"Salimgareeva","given":"M. H."},{"family":"Jamidanov","given":"R. S."},{"family":"Seredenin","given":"S. B."}],"issued":{"date-parts":[["2008",9,1]]}}}],"schema":"https://github.com/citation-style-language/schema/raw/master/csl-citation.json"} </w:instrText>
      </w:r>
      <w:r w:rsidRPr="0044257B">
        <w:fldChar w:fldCharType="separate"/>
      </w:r>
      <w:r w:rsidRPr="0044257B">
        <w:rPr>
          <w:rFonts w:cs="Times New Roman"/>
          <w:szCs w:val="24"/>
          <w:vertAlign w:val="superscript"/>
        </w:rPr>
        <w:t>83</w:t>
      </w:r>
      <w:r w:rsidRPr="0044257B">
        <w:fldChar w:fldCharType="end"/>
      </w:r>
      <w:r w:rsidRPr="0044257B">
        <w:t xml:space="preserve"> As a proline-containing dipeptide that was readily available, I included it in the biological assessment because of its bis-amide structure</w:t>
      </w:r>
      <w:r w:rsidR="00BE3EC7">
        <w:t>.</w:t>
      </w:r>
      <w:r w:rsidRPr="0044257B">
        <w:t xml:space="preserve"> </w:t>
      </w:r>
    </w:p>
    <w:p w14:paraId="3C8DE903" w14:textId="77777777" w:rsidR="0044257B" w:rsidRPr="0044257B" w:rsidRDefault="0044257B" w:rsidP="0044257B">
      <w:r w:rsidRPr="0044257B">
        <w:rPr>
          <w:noProof/>
        </w:rPr>
        <w:lastRenderedPageBreak/>
        <mc:AlternateContent>
          <mc:Choice Requires="wps">
            <w:drawing>
              <wp:inline distT="0" distB="0" distL="0" distR="0" wp14:anchorId="3F48FB75" wp14:editId="6DE38401">
                <wp:extent cx="5943600" cy="8086477"/>
                <wp:effectExtent l="0" t="0" r="19050" b="19050"/>
                <wp:docPr id="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086477"/>
                        </a:xfrm>
                        <a:prstGeom prst="rect">
                          <a:avLst/>
                        </a:prstGeom>
                        <a:solidFill>
                          <a:srgbClr val="FFFFFF"/>
                        </a:solidFill>
                        <a:ln w="9525">
                          <a:solidFill>
                            <a:srgbClr val="000000"/>
                          </a:solidFill>
                          <a:miter lim="800000"/>
                          <a:headEnd/>
                          <a:tailEnd/>
                        </a:ln>
                      </wps:spPr>
                      <wps:txbx>
                        <w:txbxContent>
                          <w:p w14:paraId="7ECD0EB6" w14:textId="77777777" w:rsidR="0044257B" w:rsidRDefault="0044257B" w:rsidP="0044257B">
                            <w:pPr>
                              <w:keepNext/>
                              <w:spacing w:after="0"/>
                              <w:jc w:val="center"/>
                            </w:pPr>
                            <w:r>
                              <w:object w:dxaOrig="11602" w:dyaOrig="15173" w14:anchorId="63E261C1">
                                <v:shape id="_x0000_i1147" type="#_x0000_t75" style="width:458.65pt;height:600.3pt">
                                  <v:imagedata r:id="rId418" o:title=""/>
                                </v:shape>
                                <o:OLEObject Type="Embed" ProgID="ChemDraw.Document.6.0" ShapeID="_x0000_i1147" DrawAspect="Content" ObjectID="_1713353531" r:id="rId419"/>
                              </w:object>
                            </w:r>
                          </w:p>
                          <w:p w14:paraId="1BBA6803" w14:textId="75A05494" w:rsidR="0044257B" w:rsidRDefault="0044257B" w:rsidP="00DF51F5">
                            <w:pPr>
                              <w:pStyle w:val="Caption"/>
                            </w:pPr>
                            <w:bookmarkStart w:id="541" w:name="_Ref100528759"/>
                            <w:bookmarkStart w:id="542" w:name="_Toc100243282"/>
                            <w:bookmarkStart w:id="543" w:name="_Toc100748335"/>
                            <w:r>
                              <w:t>Figure 4.</w:t>
                            </w:r>
                            <w:fldSimple w:instr=" SEQ Figure \* ARABIC ">
                              <w:r w:rsidR="00AA5AAC">
                                <w:rPr>
                                  <w:noProof/>
                                </w:rPr>
                                <w:t>10</w:t>
                              </w:r>
                            </w:fldSimple>
                            <w:bookmarkEnd w:id="541"/>
                            <w:r>
                              <w:t>. Structures of peptidomimetic compounds.</w:t>
                            </w:r>
                            <w:bookmarkEnd w:id="542"/>
                            <w:bookmarkEnd w:id="543"/>
                          </w:p>
                        </w:txbxContent>
                      </wps:txbx>
                      <wps:bodyPr rot="0" vert="horz" wrap="square" lIns="91440" tIns="45720" rIns="91440" bIns="45720" anchor="t" anchorCtr="0">
                        <a:noAutofit/>
                      </wps:bodyPr>
                    </wps:wsp>
                  </a:graphicData>
                </a:graphic>
              </wp:inline>
            </w:drawing>
          </mc:Choice>
          <mc:Fallback>
            <w:pict>
              <v:shape w14:anchorId="3F48FB75" id="_x0000_s1137" type="#_x0000_t202" style="width:468pt;height:6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">
                <v:textbox>
                  <w:txbxContent>
                    <w:p w14:paraId="7ECD0EB6" w14:textId="77777777" w:rsidR="0044257B" w:rsidRDefault="0044257B" w:rsidP="0044257B">
                      <w:pPr>
                        <w:keepNext/>
                        <w:spacing w:after="0"/>
                        <w:jc w:val="center"/>
                      </w:pPr>
                      <w:r>
                        <w:object w:dxaOrig="11602" w:dyaOrig="15173" w14:anchorId="63E261C1">
                          <v:shape id="_x0000_i1147" type="#_x0000_t75" style="width:458.65pt;height:600.3pt">
                            <v:imagedata r:id="rId418" o:title=""/>
                          </v:shape>
                          <o:OLEObject Type="Embed" ProgID="ChemDraw.Document.6.0" ShapeID="_x0000_i1147" DrawAspect="Content" ObjectID="_1713353531" r:id="rId420"/>
                        </w:object>
                      </w:r>
                    </w:p>
                    <w:p w14:paraId="1BBA6803" w14:textId="75A05494" w:rsidR="0044257B" w:rsidRDefault="0044257B" w:rsidP="00DF51F5">
                      <w:pPr>
                        <w:pStyle w:val="Caption"/>
                      </w:pPr>
                      <w:bookmarkStart w:id="544" w:name="_Ref100528759"/>
                      <w:bookmarkStart w:id="545" w:name="_Toc100243282"/>
                      <w:bookmarkStart w:id="546" w:name="_Toc100748335"/>
                      <w:r>
                        <w:t>Figure 4.</w:t>
                      </w:r>
                      <w:fldSimple w:instr=" SEQ Figure \* ARABIC ">
                        <w:r w:rsidR="00AA5AAC">
                          <w:rPr>
                            <w:noProof/>
                          </w:rPr>
                          <w:t>10</w:t>
                        </w:r>
                      </w:fldSimple>
                      <w:bookmarkEnd w:id="544"/>
                      <w:r>
                        <w:t>. Structures of peptidomimetic compounds.</w:t>
                      </w:r>
                      <w:bookmarkEnd w:id="545"/>
                      <w:bookmarkEnd w:id="546"/>
                    </w:p>
                  </w:txbxContent>
                </v:textbox>
                <w10:anchorlock/>
              </v:shape>
            </w:pict>
          </mc:Fallback>
        </mc:AlternateContent>
      </w:r>
    </w:p>
    <w:p w14:paraId="2B30F947" w14:textId="77777777" w:rsidR="0044257B" w:rsidRPr="0044257B" w:rsidRDefault="0044257B" w:rsidP="00595321">
      <w:pPr>
        <w:pStyle w:val="Subsection"/>
      </w:pPr>
      <w:bookmarkStart w:id="547" w:name="_Toc100241938"/>
      <w:bookmarkStart w:id="548" w:name="_Toc102586301"/>
      <w:r w:rsidRPr="0044257B">
        <w:lastRenderedPageBreak/>
        <w:t xml:space="preserve">4.2.4 Preliminary biological evaluation for </w:t>
      </w:r>
      <w:proofErr w:type="spellStart"/>
      <w:r w:rsidRPr="0044257B">
        <w:t>M</w:t>
      </w:r>
      <w:r w:rsidRPr="0044257B">
        <w:rPr>
          <w:vertAlign w:val="superscript"/>
        </w:rPr>
        <w:t>pro</w:t>
      </w:r>
      <w:proofErr w:type="spellEnd"/>
      <w:r w:rsidRPr="0044257B">
        <w:t xml:space="preserve"> inhibition.</w:t>
      </w:r>
      <w:bookmarkEnd w:id="547"/>
      <w:bookmarkEnd w:id="548"/>
      <w:r w:rsidRPr="0044257B">
        <w:t xml:space="preserve"> </w:t>
      </w:r>
    </w:p>
    <w:p w14:paraId="53FABC80" w14:textId="77777777" w:rsidR="00896CAB" w:rsidRDefault="00896CAB" w:rsidP="00896CAB">
      <w:pPr>
        <w:spacing w:after="0"/>
      </w:pPr>
      <w:r w:rsidRPr="0044257B">
        <w:rPr>
          <w:noProof/>
        </w:rPr>
        <mc:AlternateContent>
          <mc:Choice Requires="wps">
            <w:drawing>
              <wp:inline distT="0" distB="0" distL="0" distR="0" wp14:anchorId="7AAC913D" wp14:editId="31DD84C0">
                <wp:extent cx="5943600" cy="4146550"/>
                <wp:effectExtent l="0" t="0" r="19050" b="25400"/>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146550"/>
                        </a:xfrm>
                        <a:prstGeom prst="rect">
                          <a:avLst/>
                        </a:prstGeom>
                        <a:solidFill>
                          <a:srgbClr val="FFFFFF"/>
                        </a:solidFill>
                        <a:ln w="9525">
                          <a:solidFill>
                            <a:srgbClr val="000000"/>
                          </a:solidFill>
                          <a:miter lim="800000"/>
                          <a:headEnd/>
                          <a:tailEnd/>
                        </a:ln>
                      </wps:spPr>
                      <wps:txbx>
                        <w:txbxContent>
                          <w:p w14:paraId="7F27C06A" w14:textId="77777777" w:rsidR="00896CAB" w:rsidRDefault="00896CAB" w:rsidP="00896CAB">
                            <w:pPr>
                              <w:keepNext/>
                              <w:spacing w:after="0" w:line="276" w:lineRule="auto"/>
                              <w:jc w:val="center"/>
                            </w:pPr>
                            <w:r>
                              <w:rPr>
                                <w:noProof/>
                              </w:rPr>
                              <w:drawing>
                                <wp:inline distT="0" distB="0" distL="0" distR="0" wp14:anchorId="72B7E727" wp14:editId="142BC8EB">
                                  <wp:extent cx="5001768" cy="2807208"/>
                                  <wp:effectExtent l="0" t="0" r="8890" b="0"/>
                                  <wp:docPr id="323" name="Picture 323" descr="A picture containing text, sushi, vector graphics, d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ushi, vector graphics, dish&#10;&#10;Description automatically generated"/>
                                          <pic:cNvPicPr/>
                                        </pic:nvPicPr>
                                        <pic:blipFill rotWithShape="1">
                                          <a:blip r:embed="rId421">
                                            <a:extLst>
                                              <a:ext uri="{28A0092B-C50C-407E-A947-70E740481C1C}">
                                                <a14:useLocalDpi xmlns:a14="http://schemas.microsoft.com/office/drawing/2010/main" val="0"/>
                                              </a:ext>
                                            </a:extLst>
                                          </a:blip>
                                          <a:srcRect t="1902" b="1616"/>
                                          <a:stretch/>
                                        </pic:blipFill>
                                        <pic:spPr bwMode="auto">
                                          <a:xfrm>
                                            <a:off x="0" y="0"/>
                                            <a:ext cx="5001768" cy="2807208"/>
                                          </a:xfrm>
                                          <a:prstGeom prst="rect">
                                            <a:avLst/>
                                          </a:prstGeom>
                                          <a:ln>
                                            <a:noFill/>
                                          </a:ln>
                                          <a:extLst>
                                            <a:ext uri="{53640926-AAD7-44D8-BBD7-CCE9431645EC}">
                                              <a14:shadowObscured xmlns:a14="http://schemas.microsoft.com/office/drawing/2010/main"/>
                                            </a:ext>
                                          </a:extLst>
                                        </pic:spPr>
                                      </pic:pic>
                                    </a:graphicData>
                                  </a:graphic>
                                </wp:inline>
                              </w:drawing>
                            </w:r>
                          </w:p>
                          <w:p w14:paraId="330D96CC" w14:textId="36DB4053" w:rsidR="00896CAB" w:rsidRDefault="00896CAB" w:rsidP="00896CAB">
                            <w:pPr>
                              <w:pStyle w:val="Caption"/>
                            </w:pPr>
                            <w:bookmarkStart w:id="549" w:name="_Ref100511070"/>
                            <w:bookmarkStart w:id="550" w:name="_Toc100748336"/>
                            <w:r>
                              <w:t>Figure 4.</w:t>
                            </w:r>
                            <w:fldSimple w:instr=" SEQ Figure \* ARABIC ">
                              <w:r w:rsidR="00AA5AAC">
                                <w:rPr>
                                  <w:noProof/>
                                </w:rPr>
                                <w:t>11</w:t>
                              </w:r>
                            </w:fldSimple>
                            <w:bookmarkEnd w:id="549"/>
                            <w:r>
                              <w:t>. Illustration of the principle behind FRET-based protease assay kit.</w:t>
                            </w:r>
                            <w:bookmarkEnd w:id="550"/>
                            <w:r>
                              <w:t xml:space="preserve"> </w:t>
                            </w:r>
                          </w:p>
                          <w:p w14:paraId="2B5EE65A" w14:textId="77777777" w:rsidR="00896CAB" w:rsidRDefault="00896CAB" w:rsidP="00896CAB">
                            <w:pPr>
                              <w:spacing w:after="0" w:line="240" w:lineRule="auto"/>
                            </w:pPr>
                            <w:r>
                              <w:t>Commercial assay purchased from BPS Bioscience (Main Protease (</w:t>
                            </w:r>
                            <w:proofErr w:type="spellStart"/>
                            <w:r>
                              <w:t>M</w:t>
                            </w:r>
                            <w:r w:rsidRPr="00731E52">
                              <w:rPr>
                                <w:vertAlign w:val="superscript"/>
                              </w:rPr>
                              <w:t>pro</w:t>
                            </w:r>
                            <w:proofErr w:type="spellEnd"/>
                            <w:r w:rsidRPr="00731E52">
                              <w:t>)</w:t>
                            </w:r>
                            <w:r>
                              <w:t xml:space="preserve">, MBP-tagged (SARS-CoV-2) Assay Kit, catalog #79955-1). (A) Upon proteolysis by </w:t>
                            </w:r>
                            <w:proofErr w:type="spellStart"/>
                            <w:r>
                              <w:t>M</w:t>
                            </w:r>
                            <w:r w:rsidRPr="0011716F">
                              <w:rPr>
                                <w:vertAlign w:val="superscript"/>
                              </w:rPr>
                              <w:t>pro</w:t>
                            </w:r>
                            <w:proofErr w:type="spellEnd"/>
                            <w:r>
                              <w:t xml:space="preserve">, the peptide substrate (S) is cleaved at the cleavage site (circled in key) to generate the fluorescent peptide fragment (F’). (B) Small molecule inhibitor (I) blocks the active site of </w:t>
                            </w:r>
                            <w:proofErr w:type="spellStart"/>
                            <w:proofErr w:type="gramStart"/>
                            <w:r>
                              <w:t>M</w:t>
                            </w:r>
                            <w:r w:rsidRPr="00731E52">
                              <w:rPr>
                                <w:vertAlign w:val="superscript"/>
                              </w:rPr>
                              <w:t>pro</w:t>
                            </w:r>
                            <w:proofErr w:type="spellEnd"/>
                            <w:proofErr w:type="gramEnd"/>
                            <w:r>
                              <w:t xml:space="preserve"> and the substrate is not cleaved, leaving the fluorophore quenched (F). </w:t>
                            </w:r>
                          </w:p>
                        </w:txbxContent>
                      </wps:txbx>
                      <wps:bodyPr rot="0" vert="horz" wrap="square" lIns="91440" tIns="45720" rIns="91440" bIns="45720" anchor="t" anchorCtr="0">
                        <a:noAutofit/>
                      </wps:bodyPr>
                    </wps:wsp>
                  </a:graphicData>
                </a:graphic>
              </wp:inline>
            </w:drawing>
          </mc:Choice>
          <mc:Fallback>
            <w:pict>
              <v:shape w14:anchorId="7AAC913D" id="_x0000_s1138" type="#_x0000_t202" style="width:468pt;height:3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">
                <v:textbox>
                  <w:txbxContent>
                    <w:p w14:paraId="7F27C06A" w14:textId="77777777" w:rsidR="00896CAB" w:rsidRDefault="00896CAB" w:rsidP="00896CAB">
                      <w:pPr>
                        <w:keepNext/>
                        <w:spacing w:after="0" w:line="276" w:lineRule="auto"/>
                        <w:jc w:val="center"/>
                      </w:pPr>
                      <w:r>
                        <w:rPr>
                          <w:noProof/>
                        </w:rPr>
                        <w:drawing>
                          <wp:inline distT="0" distB="0" distL="0" distR="0" wp14:anchorId="72B7E727" wp14:editId="142BC8EB">
                            <wp:extent cx="5001768" cy="2807208"/>
                            <wp:effectExtent l="0" t="0" r="8890" b="0"/>
                            <wp:docPr id="323" name="Picture 323" descr="A picture containing text, sushi, vector graphics, d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ushi, vector graphics, dish&#10;&#10;Description automatically generated"/>
                                    <pic:cNvPicPr/>
                                  </pic:nvPicPr>
                                  <pic:blipFill rotWithShape="1">
                                    <a:blip r:embed="rId421">
                                      <a:extLst>
                                        <a:ext uri="{28A0092B-C50C-407E-A947-70E740481C1C}">
                                          <a14:useLocalDpi xmlns:a14="http://schemas.microsoft.com/office/drawing/2010/main" val="0"/>
                                        </a:ext>
                                      </a:extLst>
                                    </a:blip>
                                    <a:srcRect t="1902" b="1616"/>
                                    <a:stretch/>
                                  </pic:blipFill>
                                  <pic:spPr bwMode="auto">
                                    <a:xfrm>
                                      <a:off x="0" y="0"/>
                                      <a:ext cx="5001768" cy="2807208"/>
                                    </a:xfrm>
                                    <a:prstGeom prst="rect">
                                      <a:avLst/>
                                    </a:prstGeom>
                                    <a:ln>
                                      <a:noFill/>
                                    </a:ln>
                                    <a:extLst>
                                      <a:ext uri="{53640926-AAD7-44D8-BBD7-CCE9431645EC}">
                                        <a14:shadowObscured xmlns:a14="http://schemas.microsoft.com/office/drawing/2010/main"/>
                                      </a:ext>
                                    </a:extLst>
                                  </pic:spPr>
                                </pic:pic>
                              </a:graphicData>
                            </a:graphic>
                          </wp:inline>
                        </w:drawing>
                      </w:r>
                    </w:p>
                    <w:p w14:paraId="330D96CC" w14:textId="36DB4053" w:rsidR="00896CAB" w:rsidRDefault="00896CAB" w:rsidP="00896CAB">
                      <w:pPr>
                        <w:pStyle w:val="Caption"/>
                      </w:pPr>
                      <w:bookmarkStart w:id="551" w:name="_Ref100511070"/>
                      <w:bookmarkStart w:id="552" w:name="_Toc100748336"/>
                      <w:r>
                        <w:t>Figure 4.</w:t>
                      </w:r>
                      <w:fldSimple w:instr=" SEQ Figure \* ARABIC ">
                        <w:r w:rsidR="00AA5AAC">
                          <w:rPr>
                            <w:noProof/>
                          </w:rPr>
                          <w:t>11</w:t>
                        </w:r>
                      </w:fldSimple>
                      <w:bookmarkEnd w:id="551"/>
                      <w:r>
                        <w:t>. Illustration of the principle behind FRET-based protease assay kit.</w:t>
                      </w:r>
                      <w:bookmarkEnd w:id="552"/>
                      <w:r>
                        <w:t xml:space="preserve"> </w:t>
                      </w:r>
                    </w:p>
                    <w:p w14:paraId="2B5EE65A" w14:textId="77777777" w:rsidR="00896CAB" w:rsidRDefault="00896CAB" w:rsidP="00896CAB">
                      <w:pPr>
                        <w:spacing w:after="0" w:line="240" w:lineRule="auto"/>
                      </w:pPr>
                      <w:r>
                        <w:t>Commercial assay purchased from BPS Bioscience (Main Protease (</w:t>
                      </w:r>
                      <w:proofErr w:type="spellStart"/>
                      <w:r>
                        <w:t>M</w:t>
                      </w:r>
                      <w:r w:rsidRPr="00731E52">
                        <w:rPr>
                          <w:vertAlign w:val="superscript"/>
                        </w:rPr>
                        <w:t>pro</w:t>
                      </w:r>
                      <w:proofErr w:type="spellEnd"/>
                      <w:r w:rsidRPr="00731E52">
                        <w:t>)</w:t>
                      </w:r>
                      <w:r>
                        <w:t xml:space="preserve">, MBP-tagged (SARS-CoV-2) Assay Kit, catalog #79955-1). (A) Upon proteolysis by </w:t>
                      </w:r>
                      <w:proofErr w:type="spellStart"/>
                      <w:r>
                        <w:t>M</w:t>
                      </w:r>
                      <w:r w:rsidRPr="0011716F">
                        <w:rPr>
                          <w:vertAlign w:val="superscript"/>
                        </w:rPr>
                        <w:t>pro</w:t>
                      </w:r>
                      <w:proofErr w:type="spellEnd"/>
                      <w:r>
                        <w:t xml:space="preserve">, the peptide substrate (S) is cleaved at the cleavage site (circled in key) to generate the fluorescent peptide fragment (F’). (B) Small molecule inhibitor (I) blocks the active site of </w:t>
                      </w:r>
                      <w:proofErr w:type="spellStart"/>
                      <w:proofErr w:type="gramStart"/>
                      <w:r>
                        <w:t>M</w:t>
                      </w:r>
                      <w:r w:rsidRPr="00731E52">
                        <w:rPr>
                          <w:vertAlign w:val="superscript"/>
                        </w:rPr>
                        <w:t>pro</w:t>
                      </w:r>
                      <w:proofErr w:type="spellEnd"/>
                      <w:proofErr w:type="gramEnd"/>
                      <w:r>
                        <w:t xml:space="preserve"> and the substrate is not cleaved, leaving the fluorophore quenched (F). </w:t>
                      </w:r>
                    </w:p>
                  </w:txbxContent>
                </v:textbox>
                <w10:anchorlock/>
              </v:shape>
            </w:pict>
          </mc:Fallback>
        </mc:AlternateContent>
      </w:r>
    </w:p>
    <w:p w14:paraId="10D7D377" w14:textId="54ABFDB4" w:rsidR="0044257B" w:rsidRPr="0044257B" w:rsidRDefault="0044257B" w:rsidP="00896CAB">
      <w:pPr>
        <w:spacing w:after="0"/>
        <w:ind w:firstLine="720"/>
      </w:pPr>
      <w:r w:rsidRPr="0044257B">
        <w:t xml:space="preserve">A commercial kit </w:t>
      </w:r>
      <w:r w:rsidR="00BE3EC7">
        <w:t xml:space="preserve">from BPS Bioscience </w:t>
      </w:r>
      <w:r w:rsidRPr="0044257B">
        <w:t xml:space="preserve">was used to evaluate </w:t>
      </w:r>
      <w:proofErr w:type="spellStart"/>
      <w:r w:rsidRPr="0044257B">
        <w:t>M</w:t>
      </w:r>
      <w:r w:rsidRPr="0044257B">
        <w:rPr>
          <w:vertAlign w:val="superscript"/>
        </w:rPr>
        <w:t>pro</w:t>
      </w:r>
      <w:proofErr w:type="spellEnd"/>
      <w:r w:rsidRPr="0044257B">
        <w:t xml:space="preserve"> inhibitory activity of each compound. The principle behind the protease assay kit is illustrated in </w:t>
      </w:r>
      <w:r w:rsidRPr="0044257B">
        <w:rPr>
          <w:b/>
          <w:bCs/>
        </w:rPr>
        <w:fldChar w:fldCharType="begin"/>
      </w:r>
      <w:r w:rsidRPr="0044257B">
        <w:rPr>
          <w:b/>
          <w:bCs/>
        </w:rPr>
        <w:instrText xml:space="preserve"> REF _Ref100511070 \h  \* MERGEFORMAT </w:instrText>
      </w:r>
      <w:r w:rsidRPr="0044257B">
        <w:rPr>
          <w:b/>
          <w:bCs/>
        </w:rPr>
      </w:r>
      <w:r w:rsidRPr="0044257B">
        <w:rPr>
          <w:b/>
          <w:bCs/>
        </w:rPr>
        <w:fldChar w:fldCharType="separate"/>
      </w:r>
      <w:r w:rsidR="00AA5AAC" w:rsidRPr="00AA5AAC">
        <w:rPr>
          <w:b/>
          <w:bCs/>
        </w:rPr>
        <w:t>Figure 4.11</w:t>
      </w:r>
      <w:r w:rsidRPr="0044257B">
        <w:rPr>
          <w:b/>
          <w:bCs/>
        </w:rPr>
        <w:fldChar w:fldCharType="end"/>
      </w:r>
      <w:r w:rsidRPr="0044257B">
        <w:t xml:space="preserve">. Briefly, the </w:t>
      </w:r>
      <w:proofErr w:type="spellStart"/>
      <w:r w:rsidRPr="0044257B">
        <w:t>M</w:t>
      </w:r>
      <w:r w:rsidRPr="0044257B">
        <w:rPr>
          <w:vertAlign w:val="superscript"/>
        </w:rPr>
        <w:t>pro</w:t>
      </w:r>
      <w:proofErr w:type="spellEnd"/>
      <w:r w:rsidRPr="0044257B">
        <w:t xml:space="preserve"> substrate is an internally quenched 14-residue fluorogenic (FRET) peptide </w:t>
      </w:r>
      <w:proofErr w:type="spellStart"/>
      <w:r w:rsidRPr="0044257B">
        <w:t>dabcyl</w:t>
      </w:r>
      <w:proofErr w:type="spellEnd"/>
      <w:r w:rsidRPr="0044257B">
        <w:t>-KTSAVLQ</w:t>
      </w:r>
      <w:r w:rsidRPr="0044257B">
        <w:rPr>
          <w:rFonts w:cs="Times New Roman"/>
        </w:rPr>
        <w:t>↓</w:t>
      </w:r>
      <w:r w:rsidRPr="0044257B">
        <w:t>SGFRKME-</w:t>
      </w:r>
      <w:proofErr w:type="spellStart"/>
      <w:r w:rsidRPr="0044257B">
        <w:t>edans</w:t>
      </w:r>
      <w:proofErr w:type="spellEnd"/>
      <w:r w:rsidRPr="0044257B">
        <w:t xml:space="preserve"> (cleavage site indicated by </w:t>
      </w:r>
      <w:r w:rsidRPr="0044257B">
        <w:rPr>
          <w:rFonts w:cs="Times New Roman"/>
        </w:rPr>
        <w:t>↓</w:t>
      </w:r>
      <w:r w:rsidRPr="0044257B">
        <w:t>).</w:t>
      </w:r>
      <w:r w:rsidRPr="0044257B">
        <w:fldChar w:fldCharType="begin"/>
      </w:r>
      <w:r w:rsidRPr="0044257B">
        <w:instrText xml:space="preserve"> ADDIN ZOTERO_ITEM CSL_CITATION {"citationID":"C2ofaVya","properties":{"formattedCitation":"\\super 84\\nosupersub{}","plainCitation":"84","noteIndex":0},"citationItems":[{"id":950,"uris":["http://zotero.org/users/6503767/items/KN2Y7KTL"],"itemData":{"id":950,"type":"webpage","container-title":"National Center for Biotechnology Information","title":"PubChem Bioassay Record for AID 756284, Source: ChEMBL","URL":"https://pubchem.ncbi.nlm.nih.gov/bioassay/756284","issued":{"date-parts":[["2022"]]}}}],"schema":"https://github.com/citation-style-language/schema/raw/master/csl-citation.json"} </w:instrText>
      </w:r>
      <w:r w:rsidRPr="0044257B">
        <w:fldChar w:fldCharType="separate"/>
      </w:r>
      <w:r w:rsidRPr="0044257B">
        <w:rPr>
          <w:rFonts w:cs="Times New Roman"/>
          <w:szCs w:val="24"/>
          <w:vertAlign w:val="superscript"/>
        </w:rPr>
        <w:t>84</w:t>
      </w:r>
      <w:r w:rsidRPr="0044257B">
        <w:fldChar w:fldCharType="end"/>
      </w:r>
      <w:r w:rsidRPr="0044257B">
        <w:t xml:space="preserve"> The intact substrate holds the donor (</w:t>
      </w:r>
      <w:proofErr w:type="spellStart"/>
      <w:r w:rsidRPr="0044257B">
        <w:t>edans</w:t>
      </w:r>
      <w:proofErr w:type="spellEnd"/>
      <w:r w:rsidRPr="0044257B">
        <w:t>) and acceptor (</w:t>
      </w:r>
      <w:proofErr w:type="spellStart"/>
      <w:r w:rsidRPr="0044257B">
        <w:t>dabcyl</w:t>
      </w:r>
      <w:proofErr w:type="spellEnd"/>
      <w:r w:rsidRPr="0044257B">
        <w:t xml:space="preserve">) fluorophores in close proximity, thus the energy emitted from </w:t>
      </w:r>
      <w:proofErr w:type="spellStart"/>
      <w:r w:rsidRPr="0044257B">
        <w:t>edans</w:t>
      </w:r>
      <w:proofErr w:type="spellEnd"/>
      <w:r w:rsidRPr="0044257B">
        <w:t xml:space="preserve"> is quenched by </w:t>
      </w:r>
      <w:proofErr w:type="spellStart"/>
      <w:r w:rsidRPr="0044257B">
        <w:t>dabcyl</w:t>
      </w:r>
      <w:proofErr w:type="spellEnd"/>
      <w:r w:rsidRPr="0044257B">
        <w:t xml:space="preserve"> (S-F complex in </w:t>
      </w:r>
      <w:r w:rsidRPr="0044257B">
        <w:rPr>
          <w:b/>
          <w:bCs/>
        </w:rPr>
        <w:fldChar w:fldCharType="begin"/>
      </w:r>
      <w:r w:rsidRPr="0044257B">
        <w:rPr>
          <w:b/>
          <w:bCs/>
        </w:rPr>
        <w:instrText xml:space="preserve"> REF _Ref100511070 \h  \* MERGEFORMAT </w:instrText>
      </w:r>
      <w:r w:rsidRPr="0044257B">
        <w:rPr>
          <w:b/>
          <w:bCs/>
        </w:rPr>
      </w:r>
      <w:r w:rsidRPr="0044257B">
        <w:rPr>
          <w:b/>
          <w:bCs/>
        </w:rPr>
        <w:fldChar w:fldCharType="separate"/>
      </w:r>
      <w:r w:rsidR="00AA5AAC" w:rsidRPr="00AA5AAC">
        <w:rPr>
          <w:b/>
          <w:bCs/>
        </w:rPr>
        <w:t>Figure 4.11</w:t>
      </w:r>
      <w:r w:rsidRPr="0044257B">
        <w:rPr>
          <w:b/>
          <w:bCs/>
        </w:rPr>
        <w:fldChar w:fldCharType="end"/>
      </w:r>
      <w:r w:rsidRPr="0044257B">
        <w:t>).</w:t>
      </w:r>
      <w:r w:rsidRPr="0044257B">
        <w:fldChar w:fldCharType="begin"/>
      </w:r>
      <w:r w:rsidRPr="0044257B">
        <w:instrText xml:space="preserve"> ADDIN ZOTERO_ITEM CSL_CITATION {"citationID":"XygXNC1f","properties":{"formattedCitation":"\\super 85\\nosupersub{}","plainCitation":"85","noteIndex":0},"citationItems":[{"id":952,"uris":["http://zotero.org/users/6503767/items/BPL5LEKG"],"itemData":{"id":952,"type":"webpage","abstract":"3CL Protease (SARS-CoV-2) Assay Kit The 3CL Protease Assay Kit is designed to measure 3CL Protease activity for screening and profiling applications, in a homogeneous assay with no time-consuming washing steps. 3CL inhibitor GC376 is also included as a po","container-title":"BPS Bioscience","language":"en","title":"3CL Protease, MBP-tagged (SARS-CoV-2) Assay Kit","URL":"https://bpsbioscience.com/3cl-protease-sars-cov-2-assay-kit-79955"}}],"schema":"https://github.com/citation-style-language/schema/raw/master/csl-citation.json"} </w:instrText>
      </w:r>
      <w:r w:rsidRPr="0044257B">
        <w:fldChar w:fldCharType="separate"/>
      </w:r>
      <w:r w:rsidRPr="0044257B">
        <w:rPr>
          <w:rFonts w:cs="Times New Roman"/>
          <w:szCs w:val="24"/>
          <w:vertAlign w:val="superscript"/>
        </w:rPr>
        <w:t>85</w:t>
      </w:r>
      <w:r w:rsidRPr="0044257B">
        <w:fldChar w:fldCharType="end"/>
      </w:r>
      <w:r w:rsidRPr="0044257B">
        <w:t xml:space="preserve"> Upon proteolysis by </w:t>
      </w:r>
      <w:proofErr w:type="spellStart"/>
      <w:r w:rsidRPr="0044257B">
        <w:t>Mpro</w:t>
      </w:r>
      <w:proofErr w:type="spellEnd"/>
      <w:r w:rsidRPr="0044257B">
        <w:t>, the peptide substrate is cleaved, creating distance between the fluorophores, generating the highly fluorescent peptide fragment SGFRKME-</w:t>
      </w:r>
      <w:proofErr w:type="spellStart"/>
      <w:r w:rsidRPr="0044257B">
        <w:t>edans</w:t>
      </w:r>
      <w:proofErr w:type="spellEnd"/>
      <w:r w:rsidRPr="0044257B">
        <w:t xml:space="preserve"> (F’ in </w:t>
      </w:r>
      <w:r w:rsidRPr="0044257B">
        <w:rPr>
          <w:b/>
          <w:bCs/>
        </w:rPr>
        <w:fldChar w:fldCharType="begin"/>
      </w:r>
      <w:r w:rsidRPr="0044257B">
        <w:rPr>
          <w:b/>
          <w:bCs/>
        </w:rPr>
        <w:instrText xml:space="preserve"> REF _Ref100511070 \h  \* MERGEFORMAT </w:instrText>
      </w:r>
      <w:r w:rsidRPr="0044257B">
        <w:rPr>
          <w:b/>
          <w:bCs/>
        </w:rPr>
      </w:r>
      <w:r w:rsidRPr="0044257B">
        <w:rPr>
          <w:b/>
          <w:bCs/>
        </w:rPr>
        <w:fldChar w:fldCharType="separate"/>
      </w:r>
      <w:r w:rsidR="00AA5AAC" w:rsidRPr="00AA5AAC">
        <w:rPr>
          <w:b/>
          <w:bCs/>
        </w:rPr>
        <w:t>Figure 4.11</w:t>
      </w:r>
      <w:r w:rsidRPr="0044257B">
        <w:rPr>
          <w:b/>
          <w:bCs/>
        </w:rPr>
        <w:fldChar w:fldCharType="end"/>
      </w:r>
      <w:r w:rsidRPr="0044257B">
        <w:t>). The fluorescence intensity increases proportionally to the activity of M</w:t>
      </w:r>
      <w:r w:rsidRPr="0044257B">
        <w:rPr>
          <w:vertAlign w:val="superscript"/>
        </w:rPr>
        <w:t>pro</w:t>
      </w:r>
      <w:r w:rsidRPr="0044257B">
        <w:t>.</w:t>
      </w:r>
      <w:r w:rsidRPr="0044257B">
        <w:fldChar w:fldCharType="begin"/>
      </w:r>
      <w:r w:rsidRPr="0044257B">
        <w:instrText xml:space="preserve"> ADDIN ZOTERO_ITEM CSL_CITATION {"citationID":"I357e3rQ","properties":{"formattedCitation":"\\super 86\\nosupersub{}","plainCitation":"86","noteIndex":0},"citationItems":[{"id":947,"uris":["http://zotero.org/users/6503767/items/IT89LUYC"],"itemData":{"id":947,"type":"article-journal","abstract":"Coronaviruses infect animals and humans causing a wide range of diseases. The diversity of coronaviruses in many mammalian species is contributed by relatively high mutation and recombination rates during replication. This dynamic nature of coronaviruses may facilitate cross-species transmission and shifts in tissue or cell tropism in a host, resulting in substantial change in virulence. Feline enteric coronavirus (FECV) causes inapparent or mild enteritis in cats, but a highly fatal disease, called feline infectious peritonitis (FIP), can arise through mutation of FECV to FIP virus (FIPV). The pathogenesis of FIP is intimately associated with immune responses and involves depletion of T cells, features shared by some other coronaviruses like Severe Acute Respiratory Syndrome Coronavirus. The increasing risks of highly virulent coronavirus infections in humans or animals call for effective antiviral drugs, but no such measures are yet available. Previously, we have reported the inhibitors that target 3C-like protease (3CLpro) with broad-spectrum activity against important human and animal coronaviruses. Here, we evaluated the therapeutic efficacy of our 3CLpro inhibitor in laboratory cats with FIP. Experimental FIP is 100% fatal once certain clinical and laboratory signs become apparent. We found that antiviral treatment led to full recovery of cats when treatment was started at a stage of disease that would be otherwise fatal if left untreated. Antiviral treatment was associated with a rapid improvement in fever, ascites, lymphopenia and gross signs of illness and cats returned to normal health within 20 days or less of treatment. Significant reduction in viral titers was also observed in cats. These results indicate that continuous virus replication is required for progression of immune-mediated inflammatory disease of FIP. These findings may provide important insights into devising therapeutic strategies and selection of antiviral compounds for further development for important coronaviruses in animals and humans.","container-title":"PLOS Pathogens","DOI":"10.1371/journal.ppat.1005531","ISSN":"1553-7374","issue":"3","journalAbbreviation":"PLOS Pathogens","language":"en","note":"publisher: Public Library of Science","page":"e1005531","source":"PLoS Journals","title":"Reversal of the Progression of Fatal Coronavirus Infection in Cats by a Broad-Spectrum Coronavirus Protease Inhibitor","volume":"12","author":[{"family":"Kim","given":"Yunjeong"},{"family":"Liu","given":"Hongwei"},{"family":"Kankanamalage","given":"Anushka C. Galasiti"},{"family":"Weerasekara","given":"Sahani"},{"family":"Hua","given":"Duy H."},{"family":"Groutas","given":"William C."},{"family":"Chang","given":"Kyeong-Ok"},{"family":"Pedersen","given":"Niels C."}],"issued":{"date-parts":[["2016",3,30]]}}}],"schema":"https://github.com/citation-style-language/schema/raw/master/csl-citation.json"} </w:instrText>
      </w:r>
      <w:r w:rsidRPr="0044257B">
        <w:fldChar w:fldCharType="separate"/>
      </w:r>
      <w:r w:rsidRPr="0044257B">
        <w:rPr>
          <w:rFonts w:cs="Times New Roman"/>
          <w:szCs w:val="24"/>
          <w:vertAlign w:val="superscript"/>
        </w:rPr>
        <w:t>86</w:t>
      </w:r>
      <w:r w:rsidRPr="0044257B">
        <w:fldChar w:fldCharType="end"/>
      </w:r>
      <w:r w:rsidRPr="0044257B">
        <w:t xml:space="preserve"> Thus, blank-corrected fluorescence values were used to calculate percent inhibition with the following equation:</w:t>
      </w:r>
      <w:r w:rsidRPr="0044257B">
        <w:fldChar w:fldCharType="begin"/>
      </w:r>
      <w:r w:rsidRPr="0044257B">
        <w:instrText xml:space="preserve"> ADDIN ZOTERO_ITEM CSL_CITATION {"citationID":"3hX3ejCk","properties":{"formattedCitation":"\\super 87\\nosupersub{}","plainCitation":"87","noteIndex":0},"citationItems":[{"id":426,"uris":["http://zotero.org/users/6503767/items/LEF54J9I"],"itemData":{"id":426,"type":"article-journal","abstract":"Prostatic acid phosphatase (PAP) is expressed in nociceptive neurons and functions as an ectonucleotidase. Injection of the secretory isoform of PAP has potent antinociceptive effects in mouse models of chronic pain. These data suggested that a small molecule activator of PAP may have utility as a novel therapeutic for chronic pain, while inhibitors could be used to acutely inhibit PAP in vitro and in vivo. To identify small molecule modulators of PAP activity, we validated a high throughput, fluorescence-based biochemical assay and then used this assay to screen a compound library. We decreased the frequency of false positive activators by subtracting compound fluorescence from the final assay fluorescence. This approach significantly reduced the number of false positive activators found in the screen. While no activators were confirmed, seven novel inhibitors of PAP were identified. Our results suggest this high throughput assay could be used to identify small molecule modulators of PAP activity.","container-title":"Current Chemical Genomics","DOI":"10.2174/1875397300903010042","ISSN":"1875-3973","journalAbbreviation":"Curr Chem Genomics","note":"PMID: 20161835\nPMCID: PMC2808025","page":"42-49","source":"PubMed Central","title":"A High Throughput Assay to Identify Small Molecule Modulators of Prostatic Acid Phosphatase","volume":"3","author":[{"family":"Larsen","given":"Rylan S"},{"family":"Zylka","given":"Mark J"},{"family":"Scott","given":"John E"}],"issued":{"date-parts":[["2009",6,16]]}}}],"schema":"https://github.com/citation-style-language/schema/raw/master/csl-citation.json"} </w:instrText>
      </w:r>
      <w:r w:rsidRPr="0044257B">
        <w:fldChar w:fldCharType="separate"/>
      </w:r>
      <w:r w:rsidRPr="0044257B">
        <w:rPr>
          <w:rFonts w:cs="Times New Roman"/>
          <w:szCs w:val="24"/>
          <w:vertAlign w:val="superscript"/>
        </w:rPr>
        <w:t>87</w:t>
      </w:r>
      <w:r w:rsidRPr="0044257B">
        <w:fldChar w:fldCharType="end"/>
      </w:r>
      <w:r w:rsidRPr="0044257B">
        <w:t xml:space="preserve"> </w:t>
      </w:r>
    </w:p>
    <w:p w14:paraId="7BF5958D" w14:textId="551E65F2" w:rsidR="0044257B" w:rsidRPr="0044257B" w:rsidRDefault="0044257B" w:rsidP="00896CAB">
      <w:pPr>
        <w:spacing w:after="0"/>
        <w:jc w:val="center"/>
      </w:pPr>
      <w:r w:rsidRPr="0044257B">
        <w:rPr>
          <w:b/>
          <w:bCs/>
        </w:rPr>
        <w:lastRenderedPageBreak/>
        <w:t xml:space="preserve">Equation 1. </w:t>
      </w:r>
      <w:r w:rsidRPr="0044257B">
        <w:t xml:space="preserve">Percent Inhibition = 100 * [1-(sample/control)] </w:t>
      </w:r>
    </w:p>
    <w:p w14:paraId="1777346B" w14:textId="5B62E61C" w:rsidR="0044257B" w:rsidRPr="0044257B" w:rsidRDefault="0044257B" w:rsidP="0044257B">
      <w:pPr>
        <w:spacing w:after="0"/>
        <w:ind w:firstLine="720"/>
      </w:pPr>
      <w:r w:rsidRPr="0044257B">
        <w:t xml:space="preserve">19 compounds (18 synthesized and 1 commercially available) within the peptidomimetic scaffold were evaluated for </w:t>
      </w:r>
      <w:proofErr w:type="spellStart"/>
      <w:r w:rsidRPr="0044257B">
        <w:t>M</w:t>
      </w:r>
      <w:r w:rsidRPr="0044257B">
        <w:rPr>
          <w:vertAlign w:val="superscript"/>
        </w:rPr>
        <w:t>pro</w:t>
      </w:r>
      <w:proofErr w:type="spellEnd"/>
      <w:r w:rsidRPr="0044257B">
        <w:t xml:space="preserve"> inhibitory activity using a commercial enzymatic activity assay kit. The protease (3 – 5 ng/</w:t>
      </w:r>
      <w:proofErr w:type="spellStart"/>
      <w:r w:rsidRPr="0044257B">
        <w:rPr>
          <w:rFonts w:ascii="Calibri" w:hAnsi="Calibri" w:cs="Calibri"/>
        </w:rPr>
        <w:t>μ</w:t>
      </w:r>
      <w:r w:rsidRPr="0044257B">
        <w:t>L</w:t>
      </w:r>
      <w:proofErr w:type="spellEnd"/>
      <w:r w:rsidRPr="0044257B">
        <w:t xml:space="preserve">) in assay buffer, stabilized with 1 mM dithiothreitol (DTT), was incubated with the test inhibitor (200 </w:t>
      </w:r>
      <w:proofErr w:type="spellStart"/>
      <w:r w:rsidRPr="0044257B">
        <w:rPr>
          <w:rFonts w:ascii="Calibri" w:hAnsi="Calibri" w:cs="Calibri"/>
        </w:rPr>
        <w:t>μ</w:t>
      </w:r>
      <w:r w:rsidRPr="0044257B">
        <w:t>M</w:t>
      </w:r>
      <w:proofErr w:type="spellEnd"/>
      <w:r w:rsidRPr="0044257B">
        <w:t xml:space="preserve">) for 30 min at 25 </w:t>
      </w:r>
      <w:r w:rsidRPr="0044257B">
        <w:rPr>
          <w:rFonts w:cs="Times New Roman"/>
        </w:rPr>
        <w:t>̊</w:t>
      </w:r>
      <w:r w:rsidRPr="0044257B">
        <w:t>C before the reaction was started by substrate</w:t>
      </w:r>
      <w:r w:rsidR="00BE3EC7">
        <w:t xml:space="preserve"> addition</w:t>
      </w:r>
      <w:r w:rsidRPr="0044257B">
        <w:t>. Fluorescence readings were taken every hour until a maximum value of the negative control (</w:t>
      </w:r>
      <w:proofErr w:type="spellStart"/>
      <w:r w:rsidRPr="0044257B">
        <w:t>M</w:t>
      </w:r>
      <w:r w:rsidRPr="0044257B">
        <w:rPr>
          <w:vertAlign w:val="superscript"/>
        </w:rPr>
        <w:t>pro</w:t>
      </w:r>
      <w:proofErr w:type="spellEnd"/>
      <w:r w:rsidRPr="0044257B">
        <w:t xml:space="preserve"> incubated in absence of inhibitor) was achieved. ML188 (</w:t>
      </w:r>
      <w:r w:rsidRPr="0044257B">
        <w:rPr>
          <w:b/>
          <w:bCs/>
        </w:rPr>
        <w:t>4.10</w:t>
      </w:r>
      <w:r w:rsidRPr="0044257B">
        <w:t xml:space="preserve">) was used as the positive control because it is a known non-covalent </w:t>
      </w:r>
      <w:proofErr w:type="spellStart"/>
      <w:r w:rsidRPr="0044257B">
        <w:t>M</w:t>
      </w:r>
      <w:r w:rsidRPr="0044257B">
        <w:rPr>
          <w:vertAlign w:val="superscript"/>
        </w:rPr>
        <w:t>pro</w:t>
      </w:r>
      <w:proofErr w:type="spellEnd"/>
      <w:r w:rsidRPr="0044257B">
        <w:t xml:space="preserve"> inhibitor.</w:t>
      </w:r>
      <w:r w:rsidRPr="0044257B">
        <w:fldChar w:fldCharType="begin"/>
      </w:r>
      <w:r w:rsidRPr="0044257B">
        <w:instrText xml:space="preserve"> ADDIN ZOTERO_ITEM CSL_CITATION {"citationID":"BKhGPbcI","properties":{"formattedCitation":"\\super 48,88\\nosupersub{}","plainCitation":"48,88","noteIndex":0},"citationItems":[{"id":419,"uris":["http://zotero.org/users/6503767/items/FZJRUIXU"],"itemData":{"id":419,"type":"article-journal","abstract":"A high-throughput screen of the NIH molecular libraries sample collection and subsequent optimization of a lead dipeptide-like series of severe acute respiratory syndrome (SARS) main protease (3CLpro) inhibitors led to the identiﬁcation of probe compound ML188 (16-(R), (R)-N-(4-(tertbutyl)phenyl)-N-(2-(tert-butylamino)-2-oxo-1-(pyridin-3-yl)ethyl)furan-2-carboxamide, Pubchem CID: 46897844). Unlike the majority of reported coronavirus 3CLpro inhibitors that act via covalent modiﬁcation of the enzyme, 16-(R) is a noncovalent SARS-CoV 3CLpro inhibitor with moderate MW and good enzyme and antiviral inhibitory activity. A multicomponent Ugi reaction was utilized to rapidly explore structure−activity relationships within S1′, S1, and S2 enzyme binding pockets. The X-ray structure of SARS-CoV 3CLpro bound with 16-(R) was instrumental in guiding subsequent rounds of chemistry optimization. 16-(R) provides an excellent starting point for the further design and reﬁnement of 3CLpro inhibitors that act by a noncovalent mechanism of action.","container-title":"Journal of Medicinal Chemistry","DOI":"10.1021/jm301580n","ISSN":"0022-2623, 1520-4804","issue":"2","journalAbbreviation":"J. Med. Chem.","language":"en","page":"534-546","source":"DOI.org (Crossref)","title":"Discovery, Synthesis, And Structure-Based Optimization of a Series of &lt;i&gt;N&lt;/i&gt; -( &lt;i&gt;tert&lt;/i&gt; -Butyl)-2-( &lt;i&gt;N&lt;/i&gt; -arylamido)-2-(pyridin-3-yl) Acetamides (ML188) as Potent Noncovalent Small Molecule Inhibitors of the Severe Acute Respiratory Syndrome Coronavirus (SARS-CoV) 3CL Protease","volume":"56","author":[{"family":"Jacobs","given":"Jon"},{"family":"Grum-Tokars","given":"Valerie"},{"family":"Zhou","given":"Ya"},{"family":"Turlington","given":"Mark"},{"family":"Saldanha","given":"S. Adrian"},{"family":"Chase","given":"Peter"},{"family":"Eggler","given":"Aimee"},{"family":"Dawson","given":"Eric S."},{"family":"Baez-Santos","given":"Yahira M."},{"family":"Tomar","given":"Sakshi"},{"family":"Mielech","given":"Anna M."},{"family":"Baker","given":"Susan C."},{"family":"Lindsley","given":"Craig W."},{"family":"Hodder","given":"Peter"},{"family":"Mesecar","given":"Andrew"},{"family":"Stauffer","given":"Shaun R."}],"issued":{"date-parts":[["2013",1,24]]}}},{"id":51,"uris":["http://zotero.org/users/6503767/items/A23WQW9R"],"itemData":{"id":51,"type":"article-journal","abstract":"Herein we report the discovery and SAR of a novel series of SARS-CoV 3CLpro inhibitors identiﬁed through the NIH Molecular Libraries Probe Production Centers Network (MLPCN). In addition to ML188, ML300 represents the second probe declared for 3CLpro from this collaborative effort. The Xray structure of SARS-CoV 3CLpro bound with a ML300 analog highlights a unique induced-ﬁt reorganization of the S2–S4 binding pockets leading to the ﬁrst sub-micromolar noncovalent 3CLpro inhibitors retaining a single amide bond.","container-title":"Bioorganic &amp; Medicinal Chemistry Letters","DOI":"10.1016/j.bmcl.2013.08.112","ISSN":"0960894X","issue":"22","journalAbbreviation":"Bioorganic &amp; Medicinal Chemistry Letters","language":"en","page":"6172-6177","source":"DOI.org (Crossref)","title":"Discovery of N-(benzo[1,2,3]triazol-1-yl)-N-(benzyl)acetamido)phenyl) carboxamides as severe acute respiratory syndrome coronavirus (SARS-CoV) 3CLpro inhibitors: Identification of ML300 and noncovalent nanomolar inhibitors with an induced-fit binding","title-short":"Discovery of N-(benzo[1,2,3]triazol-1-yl)-N-(benzyl)acetamido)phenyl) carboxamides as severe acute respiratory syndrome coronavirus (SARS-CoV) 3CLpro inhibitors","volume":"23","author":[{"family":"Turlington","given":"Mark"},{"family":"Chun","given":"Aspen"},{"family":"Tomar","given":"Sakshi"},{"family":"Eggler","given":"Aimee"},{"family":"Grum-Tokars","given":"Valerie"},{"family":"Jacobs","given":"Jon"},{"family":"Daniels","given":"J. Scott"},{"family":"Dawson","given":"Eric"},{"family":"Saldanha","given":"Adrian"},{"family":"Chase","given":"Peter"},{"family":"Baez-Santos","given":"Yahira M."},{"family":"Lindsley","given":"Craig W."},{"family":"Hodder","given":"Peter"},{"family":"Mesecar","given":"Andrew D."},{"family":"Stauffer","given":"Shaun R."}],"issued":{"date-parts":[["2013",11]]}}}],"schema":"https://github.com/citation-style-language/schema/raw/master/csl-citation.json"} </w:instrText>
      </w:r>
      <w:r w:rsidRPr="0044257B">
        <w:fldChar w:fldCharType="separate"/>
      </w:r>
      <w:r w:rsidRPr="0044257B">
        <w:rPr>
          <w:rFonts w:cs="Times New Roman"/>
          <w:szCs w:val="24"/>
          <w:vertAlign w:val="superscript"/>
        </w:rPr>
        <w:t>48,88</w:t>
      </w:r>
      <w:r w:rsidRPr="0044257B">
        <w:fldChar w:fldCharType="end"/>
      </w:r>
      <w:r w:rsidRPr="0044257B">
        <w:t xml:space="preserve"> Each reaction was </w:t>
      </w:r>
      <w:r w:rsidR="00BE3EC7">
        <w:t xml:space="preserve">conducted </w:t>
      </w:r>
      <w:r w:rsidRPr="0044257B">
        <w:t xml:space="preserve">in technical duplicate with </w:t>
      </w:r>
      <w:r w:rsidR="00BE3EC7">
        <w:t>four</w:t>
      </w:r>
      <w:r w:rsidRPr="0044257B">
        <w:t xml:space="preserve"> biological replicates to provide </w:t>
      </w:r>
      <w:r w:rsidR="00BE3EC7">
        <w:t>four</w:t>
      </w:r>
      <w:r w:rsidRPr="0044257B">
        <w:t xml:space="preserve"> percent inhibition values for each compound. The average percent inhibition for each compound is listed in</w:t>
      </w:r>
      <w:r w:rsidR="00DA6C81">
        <w:rPr>
          <w:b/>
          <w:bCs/>
        </w:rPr>
        <w:t xml:space="preserve"> </w:t>
      </w:r>
      <w:r w:rsidR="00896CAB">
        <w:rPr>
          <w:b/>
          <w:bCs/>
        </w:rPr>
        <w:fldChar w:fldCharType="begin"/>
      </w:r>
      <w:r w:rsidR="00896CAB">
        <w:rPr>
          <w:b/>
          <w:bCs/>
        </w:rPr>
        <w:instrText xml:space="preserve"> REF _Ref100520098 \h </w:instrText>
      </w:r>
      <w:r w:rsidR="00896CAB">
        <w:rPr>
          <w:b/>
          <w:bCs/>
        </w:rPr>
      </w:r>
      <w:r w:rsidR="00896CAB">
        <w:rPr>
          <w:b/>
          <w:bCs/>
        </w:rPr>
        <w:fldChar w:fldCharType="separate"/>
      </w:r>
      <w:r w:rsidR="00AA5AAC" w:rsidRPr="0044257B">
        <w:rPr>
          <w:b/>
          <w:iCs/>
          <w:szCs w:val="18"/>
        </w:rPr>
        <w:t>Table 4.</w:t>
      </w:r>
      <w:r w:rsidR="00AA5AAC">
        <w:rPr>
          <w:b/>
          <w:iCs/>
          <w:noProof/>
          <w:szCs w:val="18"/>
        </w:rPr>
        <w:t>2</w:t>
      </w:r>
      <w:r w:rsidR="00896CAB">
        <w:rPr>
          <w:b/>
          <w:bCs/>
        </w:rPr>
        <w:fldChar w:fldCharType="end"/>
      </w:r>
      <w:r w:rsidRPr="0044257B">
        <w:t xml:space="preserve">. </w:t>
      </w:r>
    </w:p>
    <w:p w14:paraId="53229974" w14:textId="77777777" w:rsidR="0044257B" w:rsidRPr="0044257B" w:rsidRDefault="0044257B" w:rsidP="0044257B">
      <w:pPr>
        <w:spacing w:after="0"/>
        <w:ind w:firstLine="720"/>
      </w:pPr>
    </w:p>
    <w:p w14:paraId="7165D3E6" w14:textId="1BC2F631" w:rsidR="0044257B" w:rsidRPr="0044257B" w:rsidRDefault="0044257B" w:rsidP="0044257B">
      <w:pPr>
        <w:keepNext/>
        <w:spacing w:after="240" w:line="240" w:lineRule="auto"/>
        <w:rPr>
          <w:b/>
          <w:iCs/>
          <w:szCs w:val="18"/>
        </w:rPr>
      </w:pPr>
      <w:bookmarkStart w:id="553" w:name="_Ref100520098"/>
      <w:r w:rsidRPr="0044257B">
        <w:rPr>
          <w:b/>
          <w:iCs/>
          <w:szCs w:val="18"/>
        </w:rPr>
        <w:t>Table 4.</w:t>
      </w:r>
      <w:r w:rsidRPr="0044257B">
        <w:rPr>
          <w:b/>
          <w:iCs/>
          <w:szCs w:val="18"/>
        </w:rPr>
        <w:fldChar w:fldCharType="begin"/>
      </w:r>
      <w:r w:rsidRPr="0044257B">
        <w:rPr>
          <w:b/>
          <w:iCs/>
          <w:szCs w:val="18"/>
        </w:rPr>
        <w:instrText xml:space="preserve"> SEQ Table \* ARABIC </w:instrText>
      </w:r>
      <w:r w:rsidRPr="0044257B">
        <w:rPr>
          <w:b/>
          <w:iCs/>
          <w:szCs w:val="18"/>
        </w:rPr>
        <w:fldChar w:fldCharType="separate"/>
      </w:r>
      <w:r w:rsidR="00AA5AAC">
        <w:rPr>
          <w:b/>
          <w:iCs/>
          <w:noProof/>
          <w:szCs w:val="18"/>
        </w:rPr>
        <w:t>2</w:t>
      </w:r>
      <w:r w:rsidRPr="0044257B">
        <w:rPr>
          <w:b/>
          <w:iCs/>
          <w:noProof/>
          <w:szCs w:val="18"/>
        </w:rPr>
        <w:fldChar w:fldCharType="end"/>
      </w:r>
      <w:bookmarkEnd w:id="553"/>
      <w:r w:rsidRPr="0044257B">
        <w:rPr>
          <w:b/>
          <w:iCs/>
          <w:szCs w:val="18"/>
        </w:rPr>
        <w:t xml:space="preserve">. Average percent inhibition for each compound at 200 </w:t>
      </w:r>
      <w:proofErr w:type="spellStart"/>
      <w:r w:rsidRPr="0044257B">
        <w:rPr>
          <w:rFonts w:ascii="Calibri" w:hAnsi="Calibri" w:cs="Calibri"/>
          <w:b/>
          <w:iCs/>
          <w:szCs w:val="18"/>
        </w:rPr>
        <w:t>μ</w:t>
      </w:r>
      <w:r w:rsidRPr="0044257B">
        <w:rPr>
          <w:b/>
          <w:iCs/>
          <w:szCs w:val="18"/>
        </w:rPr>
        <w:t>M</w:t>
      </w:r>
      <w:proofErr w:type="spellEnd"/>
      <w:r w:rsidRPr="0044257B">
        <w:rPr>
          <w:b/>
          <w:iCs/>
          <w:szCs w:val="18"/>
        </w:rPr>
        <w:t xml:space="preserve">. </w:t>
      </w:r>
    </w:p>
    <w:tbl>
      <w:tblPr>
        <w:tblStyle w:val="TableGrid"/>
        <w:tblW w:w="14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653"/>
        <w:gridCol w:w="2027"/>
        <w:gridCol w:w="2610"/>
        <w:gridCol w:w="5266"/>
      </w:tblGrid>
      <w:tr w:rsidR="0044257B" w:rsidRPr="0044257B" w14:paraId="6E9142ED" w14:textId="77777777" w:rsidTr="00562397">
        <w:trPr>
          <w:gridAfter w:val="1"/>
          <w:wAfter w:w="5266" w:type="dxa"/>
          <w:trHeight w:val="305"/>
        </w:trPr>
        <w:tc>
          <w:tcPr>
            <w:tcW w:w="2065" w:type="dxa"/>
            <w:tcBorders>
              <w:top w:val="single" w:sz="4" w:space="0" w:color="auto"/>
              <w:left w:val="single" w:sz="4" w:space="0" w:color="auto"/>
            </w:tcBorders>
            <w:shd w:val="clear" w:color="auto" w:fill="E7E6E6" w:themeFill="background2"/>
          </w:tcPr>
          <w:p w14:paraId="6A7F19CF" w14:textId="77777777" w:rsidR="0044257B" w:rsidRPr="0044257B" w:rsidRDefault="0044257B" w:rsidP="0044257B">
            <w:pPr>
              <w:spacing w:line="240" w:lineRule="auto"/>
              <w:jc w:val="right"/>
              <w:rPr>
                <w:rFonts w:eastAsia="Times New Roman" w:cs="Times New Roman"/>
                <w:b/>
                <w:bCs/>
                <w:szCs w:val="20"/>
              </w:rPr>
            </w:pPr>
            <w:r w:rsidRPr="0044257B">
              <w:rPr>
                <w:rFonts w:eastAsia="Times New Roman" w:cs="Times New Roman"/>
                <w:b/>
                <w:bCs/>
                <w:szCs w:val="20"/>
              </w:rPr>
              <w:t>Compound</w:t>
            </w:r>
          </w:p>
        </w:tc>
        <w:tc>
          <w:tcPr>
            <w:tcW w:w="2653" w:type="dxa"/>
            <w:tcBorders>
              <w:top w:val="single" w:sz="4" w:space="0" w:color="auto"/>
              <w:right w:val="single" w:sz="4" w:space="0" w:color="auto"/>
            </w:tcBorders>
            <w:shd w:val="clear" w:color="auto" w:fill="E7E6E6" w:themeFill="background2"/>
          </w:tcPr>
          <w:p w14:paraId="290E12C3" w14:textId="77777777" w:rsidR="0044257B" w:rsidRPr="0044257B" w:rsidRDefault="0044257B" w:rsidP="0044257B">
            <w:pPr>
              <w:spacing w:line="240" w:lineRule="auto"/>
              <w:jc w:val="left"/>
              <w:rPr>
                <w:rFonts w:eastAsia="Times New Roman" w:cs="Times New Roman"/>
                <w:b/>
                <w:bCs/>
                <w:szCs w:val="20"/>
              </w:rPr>
            </w:pPr>
            <w:r w:rsidRPr="0044257B">
              <w:rPr>
                <w:rFonts w:eastAsia="Times New Roman" w:cs="Times New Roman"/>
                <w:b/>
                <w:bCs/>
                <w:szCs w:val="20"/>
              </w:rPr>
              <w:t>Mean Inhibition (%)</w:t>
            </w:r>
          </w:p>
        </w:tc>
        <w:tc>
          <w:tcPr>
            <w:tcW w:w="2027" w:type="dxa"/>
            <w:tcBorders>
              <w:top w:val="single" w:sz="4" w:space="0" w:color="auto"/>
              <w:left w:val="single" w:sz="4" w:space="0" w:color="auto"/>
            </w:tcBorders>
            <w:shd w:val="clear" w:color="auto" w:fill="E7E6E6" w:themeFill="background2"/>
          </w:tcPr>
          <w:p w14:paraId="1BF28049" w14:textId="77777777" w:rsidR="0044257B" w:rsidRPr="0044257B" w:rsidRDefault="0044257B" w:rsidP="0044257B">
            <w:pPr>
              <w:spacing w:line="240" w:lineRule="auto"/>
              <w:jc w:val="right"/>
              <w:rPr>
                <w:rFonts w:eastAsia="Times New Roman" w:cs="Times New Roman"/>
                <w:b/>
                <w:bCs/>
                <w:szCs w:val="20"/>
              </w:rPr>
            </w:pPr>
            <w:r w:rsidRPr="0044257B">
              <w:rPr>
                <w:rFonts w:eastAsia="Times New Roman" w:cs="Times New Roman"/>
                <w:b/>
                <w:bCs/>
                <w:szCs w:val="20"/>
              </w:rPr>
              <w:t>Compound</w:t>
            </w:r>
          </w:p>
        </w:tc>
        <w:tc>
          <w:tcPr>
            <w:tcW w:w="2610" w:type="dxa"/>
            <w:tcBorders>
              <w:top w:val="single" w:sz="4" w:space="0" w:color="auto"/>
              <w:right w:val="single" w:sz="4" w:space="0" w:color="auto"/>
            </w:tcBorders>
            <w:shd w:val="clear" w:color="auto" w:fill="E7E6E6" w:themeFill="background2"/>
          </w:tcPr>
          <w:p w14:paraId="413021E6" w14:textId="77777777" w:rsidR="0044257B" w:rsidRPr="0044257B" w:rsidRDefault="0044257B" w:rsidP="0044257B">
            <w:pPr>
              <w:spacing w:line="240" w:lineRule="auto"/>
              <w:jc w:val="left"/>
              <w:rPr>
                <w:rFonts w:eastAsia="Times New Roman" w:cs="Times New Roman"/>
                <w:b/>
                <w:bCs/>
                <w:szCs w:val="20"/>
              </w:rPr>
            </w:pPr>
            <w:r w:rsidRPr="0044257B">
              <w:rPr>
                <w:rFonts w:eastAsia="Times New Roman" w:cs="Times New Roman"/>
                <w:b/>
                <w:bCs/>
                <w:szCs w:val="20"/>
              </w:rPr>
              <w:t>Mean Inhibition (%)</w:t>
            </w:r>
          </w:p>
        </w:tc>
      </w:tr>
      <w:tr w:rsidR="0044257B" w:rsidRPr="0044257B" w14:paraId="1B480807" w14:textId="77777777" w:rsidTr="00562397">
        <w:trPr>
          <w:gridAfter w:val="1"/>
          <w:wAfter w:w="5266" w:type="dxa"/>
        </w:trPr>
        <w:tc>
          <w:tcPr>
            <w:tcW w:w="2065" w:type="dxa"/>
            <w:tcBorders>
              <w:left w:val="single" w:sz="4" w:space="0" w:color="auto"/>
            </w:tcBorders>
          </w:tcPr>
          <w:p w14:paraId="55C17E26"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ML188</w:t>
            </w:r>
          </w:p>
        </w:tc>
        <w:tc>
          <w:tcPr>
            <w:tcW w:w="2653" w:type="dxa"/>
            <w:tcBorders>
              <w:right w:val="single" w:sz="4" w:space="0" w:color="auto"/>
            </w:tcBorders>
          </w:tcPr>
          <w:p w14:paraId="7B1161FA" w14:textId="6A6BCDB8"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4</w:t>
            </w:r>
            <w:r w:rsidR="00BE3EC7">
              <w:rPr>
                <w:rFonts w:eastAsia="Times New Roman" w:cs="Times New Roman"/>
                <w:szCs w:val="20"/>
              </w:rPr>
              <w:t>6</w:t>
            </w:r>
          </w:p>
        </w:tc>
        <w:tc>
          <w:tcPr>
            <w:tcW w:w="2027" w:type="dxa"/>
            <w:tcBorders>
              <w:left w:val="single" w:sz="4" w:space="0" w:color="auto"/>
            </w:tcBorders>
          </w:tcPr>
          <w:p w14:paraId="64E89C6B"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JG59</w:t>
            </w:r>
          </w:p>
        </w:tc>
        <w:tc>
          <w:tcPr>
            <w:tcW w:w="2610" w:type="dxa"/>
            <w:tcBorders>
              <w:right w:val="single" w:sz="4" w:space="0" w:color="auto"/>
            </w:tcBorders>
          </w:tcPr>
          <w:p w14:paraId="4AC5A497" w14:textId="24565298"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4</w:t>
            </w:r>
            <w:r w:rsidR="00BE3EC7">
              <w:rPr>
                <w:rFonts w:eastAsia="Times New Roman" w:cs="Times New Roman"/>
                <w:szCs w:val="20"/>
              </w:rPr>
              <w:t>8</w:t>
            </w:r>
          </w:p>
        </w:tc>
      </w:tr>
      <w:tr w:rsidR="0044257B" w:rsidRPr="0044257B" w14:paraId="0D4B0546" w14:textId="77777777" w:rsidTr="00562397">
        <w:trPr>
          <w:gridAfter w:val="1"/>
          <w:wAfter w:w="5266" w:type="dxa"/>
        </w:trPr>
        <w:tc>
          <w:tcPr>
            <w:tcW w:w="2065" w:type="dxa"/>
            <w:tcBorders>
              <w:left w:val="single" w:sz="4" w:space="0" w:color="auto"/>
            </w:tcBorders>
          </w:tcPr>
          <w:p w14:paraId="3568BFD9"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JG50</w:t>
            </w:r>
          </w:p>
        </w:tc>
        <w:tc>
          <w:tcPr>
            <w:tcW w:w="2653" w:type="dxa"/>
            <w:tcBorders>
              <w:right w:val="single" w:sz="4" w:space="0" w:color="auto"/>
            </w:tcBorders>
          </w:tcPr>
          <w:p w14:paraId="0E94B05E" w14:textId="11795523"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44</w:t>
            </w:r>
          </w:p>
        </w:tc>
        <w:tc>
          <w:tcPr>
            <w:tcW w:w="2027" w:type="dxa"/>
            <w:tcBorders>
              <w:left w:val="single" w:sz="4" w:space="0" w:color="auto"/>
            </w:tcBorders>
          </w:tcPr>
          <w:p w14:paraId="793EB307"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JG5.06</w:t>
            </w:r>
          </w:p>
        </w:tc>
        <w:tc>
          <w:tcPr>
            <w:tcW w:w="2610" w:type="dxa"/>
            <w:tcBorders>
              <w:right w:val="single" w:sz="4" w:space="0" w:color="auto"/>
            </w:tcBorders>
          </w:tcPr>
          <w:p w14:paraId="75670C2D" w14:textId="77777777" w:rsidR="0044257B" w:rsidRPr="0044257B" w:rsidRDefault="0044257B" w:rsidP="0044257B">
            <w:pPr>
              <w:spacing w:line="240" w:lineRule="auto"/>
              <w:jc w:val="left"/>
              <w:rPr>
                <w:rFonts w:eastAsia="Times New Roman" w:cs="Times New Roman"/>
                <w:szCs w:val="20"/>
              </w:rPr>
            </w:pPr>
            <w:proofErr w:type="spellStart"/>
            <w:r w:rsidRPr="0044257B">
              <w:rPr>
                <w:rFonts w:eastAsia="Times New Roman" w:cs="Times New Roman"/>
                <w:szCs w:val="20"/>
              </w:rPr>
              <w:t>ND</w:t>
            </w:r>
            <w:r w:rsidRPr="0044257B">
              <w:rPr>
                <w:rFonts w:eastAsia="Times New Roman" w:cs="Times New Roman"/>
                <w:szCs w:val="20"/>
                <w:vertAlign w:val="superscript"/>
              </w:rPr>
              <w:t>a</w:t>
            </w:r>
            <w:proofErr w:type="spellEnd"/>
          </w:p>
        </w:tc>
      </w:tr>
      <w:tr w:rsidR="0044257B" w:rsidRPr="0044257B" w14:paraId="616A9359" w14:textId="77777777" w:rsidTr="00562397">
        <w:trPr>
          <w:gridAfter w:val="1"/>
          <w:wAfter w:w="5266" w:type="dxa"/>
        </w:trPr>
        <w:tc>
          <w:tcPr>
            <w:tcW w:w="2065" w:type="dxa"/>
            <w:tcBorders>
              <w:left w:val="single" w:sz="4" w:space="0" w:color="auto"/>
            </w:tcBorders>
          </w:tcPr>
          <w:p w14:paraId="121609B3"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JG51</w:t>
            </w:r>
          </w:p>
        </w:tc>
        <w:tc>
          <w:tcPr>
            <w:tcW w:w="2653" w:type="dxa"/>
            <w:tcBorders>
              <w:right w:val="single" w:sz="4" w:space="0" w:color="auto"/>
            </w:tcBorders>
          </w:tcPr>
          <w:p w14:paraId="727EE580" w14:textId="37B97CBC"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3</w:t>
            </w:r>
            <w:r w:rsidR="00BE3EC7">
              <w:rPr>
                <w:rFonts w:eastAsia="Times New Roman" w:cs="Times New Roman"/>
                <w:szCs w:val="20"/>
              </w:rPr>
              <w:t>6</w:t>
            </w:r>
          </w:p>
        </w:tc>
        <w:tc>
          <w:tcPr>
            <w:tcW w:w="2027" w:type="dxa"/>
            <w:tcBorders>
              <w:left w:val="single" w:sz="4" w:space="0" w:color="auto"/>
            </w:tcBorders>
          </w:tcPr>
          <w:p w14:paraId="093758AA"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JG5.08</w:t>
            </w:r>
          </w:p>
        </w:tc>
        <w:tc>
          <w:tcPr>
            <w:tcW w:w="2610" w:type="dxa"/>
            <w:tcBorders>
              <w:right w:val="single" w:sz="4" w:space="0" w:color="auto"/>
            </w:tcBorders>
          </w:tcPr>
          <w:p w14:paraId="2B511A4C" w14:textId="39833901"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3</w:t>
            </w:r>
            <w:r w:rsidR="00BE3EC7">
              <w:rPr>
                <w:rFonts w:eastAsia="Times New Roman" w:cs="Times New Roman"/>
                <w:szCs w:val="20"/>
              </w:rPr>
              <w:t>3</w:t>
            </w:r>
          </w:p>
        </w:tc>
      </w:tr>
      <w:tr w:rsidR="0044257B" w:rsidRPr="0044257B" w14:paraId="4B56D48E" w14:textId="77777777" w:rsidTr="00562397">
        <w:trPr>
          <w:gridAfter w:val="1"/>
          <w:wAfter w:w="5266" w:type="dxa"/>
        </w:trPr>
        <w:tc>
          <w:tcPr>
            <w:tcW w:w="2065" w:type="dxa"/>
            <w:tcBorders>
              <w:left w:val="single" w:sz="4" w:space="0" w:color="auto"/>
            </w:tcBorders>
          </w:tcPr>
          <w:p w14:paraId="50A3B0F2"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JG52</w:t>
            </w:r>
          </w:p>
        </w:tc>
        <w:tc>
          <w:tcPr>
            <w:tcW w:w="2653" w:type="dxa"/>
            <w:tcBorders>
              <w:right w:val="single" w:sz="4" w:space="0" w:color="auto"/>
            </w:tcBorders>
          </w:tcPr>
          <w:p w14:paraId="32C8182B" w14:textId="4595942E"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33</w:t>
            </w:r>
          </w:p>
        </w:tc>
        <w:tc>
          <w:tcPr>
            <w:tcW w:w="2027" w:type="dxa"/>
            <w:tcBorders>
              <w:left w:val="single" w:sz="4" w:space="0" w:color="auto"/>
            </w:tcBorders>
          </w:tcPr>
          <w:p w14:paraId="415404CF"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JG5.09</w:t>
            </w:r>
          </w:p>
        </w:tc>
        <w:tc>
          <w:tcPr>
            <w:tcW w:w="2610" w:type="dxa"/>
            <w:tcBorders>
              <w:right w:val="single" w:sz="4" w:space="0" w:color="auto"/>
            </w:tcBorders>
          </w:tcPr>
          <w:p w14:paraId="4F495536" w14:textId="0CA52F05"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4</w:t>
            </w:r>
            <w:r w:rsidR="00BE3EC7">
              <w:rPr>
                <w:rFonts w:eastAsia="Times New Roman" w:cs="Times New Roman"/>
                <w:szCs w:val="20"/>
              </w:rPr>
              <w:t>4</w:t>
            </w:r>
          </w:p>
        </w:tc>
      </w:tr>
      <w:tr w:rsidR="0044257B" w:rsidRPr="0044257B" w14:paraId="0B0008C8" w14:textId="77777777" w:rsidTr="00562397">
        <w:trPr>
          <w:gridAfter w:val="1"/>
          <w:wAfter w:w="5266" w:type="dxa"/>
        </w:trPr>
        <w:tc>
          <w:tcPr>
            <w:tcW w:w="2065" w:type="dxa"/>
            <w:tcBorders>
              <w:left w:val="single" w:sz="4" w:space="0" w:color="auto"/>
            </w:tcBorders>
          </w:tcPr>
          <w:p w14:paraId="5D25208E"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JG53</w:t>
            </w:r>
          </w:p>
        </w:tc>
        <w:tc>
          <w:tcPr>
            <w:tcW w:w="2653" w:type="dxa"/>
            <w:tcBorders>
              <w:right w:val="single" w:sz="4" w:space="0" w:color="auto"/>
            </w:tcBorders>
          </w:tcPr>
          <w:p w14:paraId="745EC0AC" w14:textId="5B3FF804"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32</w:t>
            </w:r>
          </w:p>
        </w:tc>
        <w:tc>
          <w:tcPr>
            <w:tcW w:w="2027" w:type="dxa"/>
            <w:tcBorders>
              <w:left w:val="single" w:sz="4" w:space="0" w:color="auto"/>
            </w:tcBorders>
          </w:tcPr>
          <w:p w14:paraId="7212858F"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JG5.11</w:t>
            </w:r>
          </w:p>
        </w:tc>
        <w:tc>
          <w:tcPr>
            <w:tcW w:w="2610" w:type="dxa"/>
            <w:tcBorders>
              <w:right w:val="single" w:sz="4" w:space="0" w:color="auto"/>
            </w:tcBorders>
          </w:tcPr>
          <w:p w14:paraId="4B9AC18D" w14:textId="34139518"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2</w:t>
            </w:r>
            <w:r w:rsidR="00BE3EC7">
              <w:rPr>
                <w:rFonts w:eastAsia="Times New Roman" w:cs="Times New Roman"/>
                <w:szCs w:val="20"/>
              </w:rPr>
              <w:t>9</w:t>
            </w:r>
          </w:p>
        </w:tc>
      </w:tr>
      <w:tr w:rsidR="0044257B" w:rsidRPr="0044257B" w14:paraId="5780AAE7" w14:textId="77777777" w:rsidTr="00562397">
        <w:trPr>
          <w:gridAfter w:val="1"/>
          <w:wAfter w:w="5266" w:type="dxa"/>
        </w:trPr>
        <w:tc>
          <w:tcPr>
            <w:tcW w:w="2065" w:type="dxa"/>
            <w:tcBorders>
              <w:left w:val="single" w:sz="4" w:space="0" w:color="auto"/>
            </w:tcBorders>
          </w:tcPr>
          <w:p w14:paraId="1B5D89DF"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JG54</w:t>
            </w:r>
          </w:p>
        </w:tc>
        <w:tc>
          <w:tcPr>
            <w:tcW w:w="2653" w:type="dxa"/>
            <w:tcBorders>
              <w:right w:val="single" w:sz="4" w:space="0" w:color="auto"/>
            </w:tcBorders>
          </w:tcPr>
          <w:p w14:paraId="6E7EDFBD" w14:textId="56ABFEEA"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38</w:t>
            </w:r>
          </w:p>
        </w:tc>
        <w:tc>
          <w:tcPr>
            <w:tcW w:w="2027" w:type="dxa"/>
            <w:tcBorders>
              <w:left w:val="single" w:sz="4" w:space="0" w:color="auto"/>
            </w:tcBorders>
          </w:tcPr>
          <w:p w14:paraId="145A4A8D"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JG5.13</w:t>
            </w:r>
          </w:p>
        </w:tc>
        <w:tc>
          <w:tcPr>
            <w:tcW w:w="2610" w:type="dxa"/>
            <w:tcBorders>
              <w:right w:val="single" w:sz="4" w:space="0" w:color="auto"/>
            </w:tcBorders>
          </w:tcPr>
          <w:p w14:paraId="66EAC47C" w14:textId="62C4F980"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28</w:t>
            </w:r>
          </w:p>
        </w:tc>
      </w:tr>
      <w:tr w:rsidR="0044257B" w:rsidRPr="0044257B" w14:paraId="73196C25" w14:textId="77777777" w:rsidTr="00562397">
        <w:trPr>
          <w:gridAfter w:val="1"/>
          <w:wAfter w:w="5266" w:type="dxa"/>
        </w:trPr>
        <w:tc>
          <w:tcPr>
            <w:tcW w:w="2065" w:type="dxa"/>
            <w:tcBorders>
              <w:left w:val="single" w:sz="4" w:space="0" w:color="auto"/>
            </w:tcBorders>
          </w:tcPr>
          <w:p w14:paraId="7E29424C"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JG55</w:t>
            </w:r>
          </w:p>
        </w:tc>
        <w:tc>
          <w:tcPr>
            <w:tcW w:w="2653" w:type="dxa"/>
            <w:tcBorders>
              <w:right w:val="single" w:sz="4" w:space="0" w:color="auto"/>
            </w:tcBorders>
          </w:tcPr>
          <w:p w14:paraId="0FE14A69" w14:textId="24E9E396"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58</w:t>
            </w:r>
          </w:p>
        </w:tc>
        <w:tc>
          <w:tcPr>
            <w:tcW w:w="2027" w:type="dxa"/>
            <w:tcBorders>
              <w:left w:val="single" w:sz="4" w:space="0" w:color="auto"/>
            </w:tcBorders>
          </w:tcPr>
          <w:p w14:paraId="50F047BB"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JG5.14</w:t>
            </w:r>
          </w:p>
        </w:tc>
        <w:tc>
          <w:tcPr>
            <w:tcW w:w="2610" w:type="dxa"/>
            <w:tcBorders>
              <w:right w:val="single" w:sz="4" w:space="0" w:color="auto"/>
            </w:tcBorders>
          </w:tcPr>
          <w:p w14:paraId="2CFCA382" w14:textId="49906C20"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4</w:t>
            </w:r>
            <w:r w:rsidR="00BE3EC7">
              <w:rPr>
                <w:rFonts w:eastAsia="Times New Roman" w:cs="Times New Roman"/>
                <w:szCs w:val="20"/>
              </w:rPr>
              <w:t>3</w:t>
            </w:r>
          </w:p>
        </w:tc>
      </w:tr>
      <w:tr w:rsidR="0044257B" w:rsidRPr="0044257B" w14:paraId="3941C69A" w14:textId="77777777" w:rsidTr="00562397">
        <w:trPr>
          <w:gridAfter w:val="1"/>
          <w:wAfter w:w="5266" w:type="dxa"/>
        </w:trPr>
        <w:tc>
          <w:tcPr>
            <w:tcW w:w="2065" w:type="dxa"/>
            <w:tcBorders>
              <w:left w:val="single" w:sz="4" w:space="0" w:color="auto"/>
            </w:tcBorders>
          </w:tcPr>
          <w:p w14:paraId="3156B0F1"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JG56</w:t>
            </w:r>
          </w:p>
        </w:tc>
        <w:tc>
          <w:tcPr>
            <w:tcW w:w="2653" w:type="dxa"/>
            <w:tcBorders>
              <w:right w:val="single" w:sz="4" w:space="0" w:color="auto"/>
            </w:tcBorders>
          </w:tcPr>
          <w:p w14:paraId="65CEDDCC" w14:textId="3A8A4E96"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35</w:t>
            </w:r>
          </w:p>
        </w:tc>
        <w:tc>
          <w:tcPr>
            <w:tcW w:w="2027" w:type="dxa"/>
            <w:tcBorders>
              <w:left w:val="single" w:sz="4" w:space="0" w:color="auto"/>
            </w:tcBorders>
          </w:tcPr>
          <w:p w14:paraId="4C1FC98E"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JG5.16</w:t>
            </w:r>
          </w:p>
        </w:tc>
        <w:tc>
          <w:tcPr>
            <w:tcW w:w="2610" w:type="dxa"/>
            <w:tcBorders>
              <w:right w:val="single" w:sz="4" w:space="0" w:color="auto"/>
            </w:tcBorders>
          </w:tcPr>
          <w:p w14:paraId="7A841C62" w14:textId="06851421"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28</w:t>
            </w:r>
          </w:p>
        </w:tc>
      </w:tr>
      <w:tr w:rsidR="0044257B" w:rsidRPr="0044257B" w14:paraId="67B7C431" w14:textId="77777777" w:rsidTr="00562397">
        <w:trPr>
          <w:gridAfter w:val="1"/>
          <w:wAfter w:w="5266" w:type="dxa"/>
        </w:trPr>
        <w:tc>
          <w:tcPr>
            <w:tcW w:w="2065" w:type="dxa"/>
            <w:tcBorders>
              <w:left w:val="single" w:sz="4" w:space="0" w:color="auto"/>
            </w:tcBorders>
          </w:tcPr>
          <w:p w14:paraId="2B6CC41C"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JG57</w:t>
            </w:r>
          </w:p>
        </w:tc>
        <w:tc>
          <w:tcPr>
            <w:tcW w:w="2653" w:type="dxa"/>
            <w:tcBorders>
              <w:right w:val="single" w:sz="4" w:space="0" w:color="auto"/>
            </w:tcBorders>
          </w:tcPr>
          <w:p w14:paraId="06AC2890" w14:textId="24DA8785"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4</w:t>
            </w:r>
            <w:r w:rsidR="00BE3EC7">
              <w:rPr>
                <w:rFonts w:eastAsia="Times New Roman" w:cs="Times New Roman"/>
                <w:szCs w:val="20"/>
              </w:rPr>
              <w:t>4</w:t>
            </w:r>
          </w:p>
        </w:tc>
        <w:tc>
          <w:tcPr>
            <w:tcW w:w="2027" w:type="dxa"/>
            <w:tcBorders>
              <w:left w:val="single" w:sz="4" w:space="0" w:color="auto"/>
            </w:tcBorders>
          </w:tcPr>
          <w:p w14:paraId="159CCD3E"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JG5.17</w:t>
            </w:r>
          </w:p>
        </w:tc>
        <w:tc>
          <w:tcPr>
            <w:tcW w:w="2610" w:type="dxa"/>
            <w:tcBorders>
              <w:right w:val="single" w:sz="4" w:space="0" w:color="auto"/>
            </w:tcBorders>
          </w:tcPr>
          <w:p w14:paraId="3B7A8E74" w14:textId="5899D3A9"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36</w:t>
            </w:r>
          </w:p>
        </w:tc>
      </w:tr>
      <w:tr w:rsidR="0044257B" w:rsidRPr="0044257B" w14:paraId="4BE23D35" w14:textId="77777777" w:rsidTr="00562397">
        <w:tc>
          <w:tcPr>
            <w:tcW w:w="2065" w:type="dxa"/>
            <w:tcBorders>
              <w:left w:val="single" w:sz="4" w:space="0" w:color="auto"/>
              <w:bottom w:val="single" w:sz="4" w:space="0" w:color="auto"/>
            </w:tcBorders>
          </w:tcPr>
          <w:p w14:paraId="0FEE73A8" w14:textId="77777777" w:rsidR="0044257B" w:rsidRPr="0044257B" w:rsidRDefault="0044257B" w:rsidP="0044257B">
            <w:pPr>
              <w:spacing w:line="240" w:lineRule="auto"/>
              <w:jc w:val="right"/>
              <w:rPr>
                <w:rFonts w:eastAsia="Times New Roman" w:cs="Times New Roman"/>
                <w:szCs w:val="20"/>
              </w:rPr>
            </w:pPr>
            <w:r w:rsidRPr="0044257B">
              <w:rPr>
                <w:rFonts w:eastAsia="Times New Roman" w:cs="Times New Roman"/>
                <w:szCs w:val="20"/>
              </w:rPr>
              <w:t>JG58</w:t>
            </w:r>
          </w:p>
        </w:tc>
        <w:tc>
          <w:tcPr>
            <w:tcW w:w="2653" w:type="dxa"/>
            <w:tcBorders>
              <w:bottom w:val="single" w:sz="4" w:space="0" w:color="auto"/>
              <w:right w:val="single" w:sz="4" w:space="0" w:color="auto"/>
            </w:tcBorders>
          </w:tcPr>
          <w:p w14:paraId="49D79E11" w14:textId="0B04689F"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6</w:t>
            </w:r>
            <w:r w:rsidR="00BE3EC7">
              <w:rPr>
                <w:rFonts w:eastAsia="Times New Roman" w:cs="Times New Roman"/>
                <w:szCs w:val="20"/>
              </w:rPr>
              <w:t>6</w:t>
            </w:r>
          </w:p>
        </w:tc>
        <w:tc>
          <w:tcPr>
            <w:tcW w:w="2027" w:type="dxa"/>
            <w:tcBorders>
              <w:left w:val="single" w:sz="4" w:space="0" w:color="auto"/>
              <w:bottom w:val="single" w:sz="4" w:space="0" w:color="auto"/>
            </w:tcBorders>
          </w:tcPr>
          <w:p w14:paraId="6FD7C831" w14:textId="77777777" w:rsidR="0044257B" w:rsidRPr="0044257B" w:rsidRDefault="0044257B" w:rsidP="0044257B">
            <w:pPr>
              <w:spacing w:line="240" w:lineRule="auto"/>
              <w:jc w:val="right"/>
              <w:rPr>
                <w:rFonts w:eastAsia="Times New Roman" w:cs="Times New Roman"/>
                <w:szCs w:val="20"/>
              </w:rPr>
            </w:pPr>
            <w:proofErr w:type="spellStart"/>
            <w:r w:rsidRPr="0044257B">
              <w:rPr>
                <w:rFonts w:eastAsia="Times New Roman" w:cs="Times New Roman"/>
                <w:szCs w:val="20"/>
              </w:rPr>
              <w:t>Noopept</w:t>
            </w:r>
            <w:proofErr w:type="spellEnd"/>
          </w:p>
        </w:tc>
        <w:tc>
          <w:tcPr>
            <w:tcW w:w="2610" w:type="dxa"/>
            <w:tcBorders>
              <w:bottom w:val="single" w:sz="4" w:space="0" w:color="auto"/>
              <w:right w:val="single" w:sz="4" w:space="0" w:color="auto"/>
            </w:tcBorders>
          </w:tcPr>
          <w:p w14:paraId="4427EDB8" w14:textId="33ADF6C2" w:rsidR="0044257B" w:rsidRPr="0044257B" w:rsidRDefault="0044257B" w:rsidP="0044257B">
            <w:pPr>
              <w:spacing w:line="240" w:lineRule="auto"/>
              <w:jc w:val="left"/>
              <w:rPr>
                <w:rFonts w:eastAsia="Times New Roman" w:cs="Times New Roman"/>
                <w:szCs w:val="20"/>
              </w:rPr>
            </w:pPr>
            <w:r w:rsidRPr="0044257B">
              <w:rPr>
                <w:rFonts w:eastAsia="Times New Roman" w:cs="Times New Roman"/>
                <w:szCs w:val="20"/>
              </w:rPr>
              <w:t>42</w:t>
            </w:r>
          </w:p>
        </w:tc>
        <w:tc>
          <w:tcPr>
            <w:tcW w:w="5266" w:type="dxa"/>
            <w:tcBorders>
              <w:left w:val="single" w:sz="4" w:space="0" w:color="auto"/>
            </w:tcBorders>
          </w:tcPr>
          <w:p w14:paraId="4AD797AA" w14:textId="77777777" w:rsidR="0044257B" w:rsidRPr="0044257B" w:rsidRDefault="0044257B" w:rsidP="0044257B">
            <w:pPr>
              <w:spacing w:line="259" w:lineRule="auto"/>
              <w:jc w:val="left"/>
              <w:rPr>
                <w:rFonts w:eastAsia="Times New Roman" w:cs="Times New Roman"/>
                <w:szCs w:val="20"/>
              </w:rPr>
            </w:pPr>
          </w:p>
        </w:tc>
      </w:tr>
    </w:tbl>
    <w:p w14:paraId="4152FC09" w14:textId="77777777" w:rsidR="0044257B" w:rsidRPr="0044257B" w:rsidRDefault="0044257B" w:rsidP="0044257B">
      <w:pPr>
        <w:spacing w:after="0"/>
        <w:jc w:val="left"/>
      </w:pPr>
      <w:r w:rsidRPr="0044257B">
        <w:rPr>
          <w:vertAlign w:val="superscript"/>
        </w:rPr>
        <w:t>a</w:t>
      </w:r>
      <w:r w:rsidRPr="0044257B">
        <w:t xml:space="preserve"> JG5.06 was omitted from enzymatic assays because it is insoluble assay buffer. ND = no data.</w:t>
      </w:r>
    </w:p>
    <w:p w14:paraId="279BC0AF" w14:textId="77777777" w:rsidR="0044257B" w:rsidRPr="0044257B" w:rsidRDefault="0044257B" w:rsidP="0044257B">
      <w:pPr>
        <w:spacing w:after="0"/>
      </w:pPr>
    </w:p>
    <w:p w14:paraId="1D3BC421" w14:textId="36C31CFF" w:rsidR="0044257B" w:rsidRPr="0044257B" w:rsidRDefault="00CD60B7" w:rsidP="0044257B">
      <w:pPr>
        <w:spacing w:after="0"/>
        <w:ind w:firstLine="720"/>
      </w:pPr>
      <w:r>
        <w:t xml:space="preserve">As shown in </w:t>
      </w:r>
      <w:r w:rsidRPr="00CD60B7">
        <w:rPr>
          <w:b/>
          <w:bCs/>
        </w:rPr>
        <w:fldChar w:fldCharType="begin"/>
      </w:r>
      <w:r w:rsidRPr="00CD60B7">
        <w:rPr>
          <w:b/>
          <w:bCs/>
        </w:rPr>
        <w:instrText xml:space="preserve"> REF _Ref100521053 \h </w:instrText>
      </w:r>
      <w:r>
        <w:rPr>
          <w:b/>
          <w:bCs/>
        </w:rPr>
        <w:instrText xml:space="preserve"> \* MERGEFORMAT </w:instrText>
      </w:r>
      <w:r w:rsidRPr="00CD60B7">
        <w:rPr>
          <w:b/>
          <w:bCs/>
        </w:rPr>
      </w:r>
      <w:r w:rsidRPr="00CD60B7">
        <w:rPr>
          <w:b/>
          <w:bCs/>
        </w:rPr>
        <w:fldChar w:fldCharType="separate"/>
      </w:r>
      <w:r w:rsidR="00AA5AAC" w:rsidRPr="00AA5AAC">
        <w:rPr>
          <w:b/>
          <w:bCs/>
        </w:rPr>
        <w:t>Figure 4.12</w:t>
      </w:r>
      <w:r w:rsidRPr="00CD60B7">
        <w:rPr>
          <w:b/>
          <w:bCs/>
        </w:rPr>
        <w:fldChar w:fldCharType="end"/>
      </w:r>
      <w:r>
        <w:t>, p</w:t>
      </w:r>
      <w:r w:rsidR="0044257B" w:rsidRPr="0044257B">
        <w:t xml:space="preserve">ercent inhibition data is presented as a box and whisker plot </w:t>
      </w:r>
      <w:r>
        <w:t>with</w:t>
      </w:r>
      <w:r w:rsidR="0044257B" w:rsidRPr="0044257B">
        <w:t xml:space="preserve"> outliers and mean values visually represented. In this graph, the significant outliers are marked as single points (dots), and the mean values are denoted by the X. The control compound, </w:t>
      </w:r>
      <w:r w:rsidR="0044257B" w:rsidRPr="0044257B">
        <w:lastRenderedPageBreak/>
        <w:t xml:space="preserve">ML188, gave relatively consistent results with an average </w:t>
      </w:r>
      <w:r>
        <w:t xml:space="preserve">inhibition </w:t>
      </w:r>
      <w:r w:rsidR="0044257B" w:rsidRPr="0044257B">
        <w:t xml:space="preserve">of 46%. Compounds with mean inhibition </w:t>
      </w:r>
      <w:r>
        <w:t xml:space="preserve">at or </w:t>
      </w:r>
      <w:r w:rsidR="0044257B" w:rsidRPr="0044257B">
        <w:t xml:space="preserve">above ML188 include </w:t>
      </w:r>
      <w:r w:rsidR="0044257B" w:rsidRPr="0044257B">
        <w:rPr>
          <w:b/>
          <w:bCs/>
        </w:rPr>
        <w:t>JG59</w:t>
      </w:r>
      <w:r w:rsidR="0044257B" w:rsidRPr="0044257B">
        <w:t xml:space="preserve"> (4</w:t>
      </w:r>
      <w:r>
        <w:t>8</w:t>
      </w:r>
      <w:r w:rsidR="0044257B" w:rsidRPr="0044257B">
        <w:t xml:space="preserve">%), </w:t>
      </w:r>
      <w:r w:rsidR="0044257B" w:rsidRPr="0044257B">
        <w:rPr>
          <w:b/>
          <w:bCs/>
        </w:rPr>
        <w:t>JG55</w:t>
      </w:r>
      <w:r w:rsidR="0044257B" w:rsidRPr="0044257B">
        <w:t xml:space="preserve"> (58%), and </w:t>
      </w:r>
      <w:r w:rsidR="0044257B" w:rsidRPr="0044257B">
        <w:rPr>
          <w:b/>
          <w:bCs/>
        </w:rPr>
        <w:t>JG58</w:t>
      </w:r>
      <w:r w:rsidR="0044257B" w:rsidRPr="0044257B">
        <w:t xml:space="preserve"> (6</w:t>
      </w:r>
      <w:r>
        <w:t>6</w:t>
      </w:r>
      <w:r w:rsidR="0044257B" w:rsidRPr="0044257B">
        <w:t xml:space="preserve">%). </w:t>
      </w:r>
    </w:p>
    <w:p w14:paraId="18DFF591" w14:textId="77777777" w:rsidR="0044257B" w:rsidRPr="0044257B" w:rsidRDefault="0044257B" w:rsidP="0044257B">
      <w:pPr>
        <w:spacing w:after="0"/>
      </w:pPr>
      <w:r w:rsidRPr="0044257B">
        <w:rPr>
          <w:noProof/>
        </w:rPr>
        <mc:AlternateContent>
          <mc:Choice Requires="wps">
            <w:drawing>
              <wp:inline distT="0" distB="0" distL="0" distR="0" wp14:anchorId="65A40E39" wp14:editId="61C29FDC">
                <wp:extent cx="5943600" cy="4023360"/>
                <wp:effectExtent l="0" t="0" r="19050" b="15240"/>
                <wp:docPr id="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3360"/>
                        </a:xfrm>
                        <a:prstGeom prst="rect">
                          <a:avLst/>
                        </a:prstGeom>
                        <a:solidFill>
                          <a:srgbClr val="FFFFFF"/>
                        </a:solidFill>
                        <a:ln w="9525">
                          <a:solidFill>
                            <a:srgbClr val="000000"/>
                          </a:solidFill>
                          <a:miter lim="800000"/>
                          <a:headEnd/>
                          <a:tailEnd/>
                        </a:ln>
                      </wps:spPr>
                      <wps:txbx>
                        <w:txbxContent>
                          <w:p w14:paraId="4651B961" w14:textId="77777777" w:rsidR="0044257B" w:rsidRDefault="0044257B" w:rsidP="0044257B">
                            <w:pPr>
                              <w:keepNext/>
                              <w:spacing w:after="0"/>
                            </w:pPr>
                            <w:r>
                              <w:rPr>
                                <w:noProof/>
                              </w:rPr>
                              <mc:AlternateContent>
                                <mc:Choice Requires="cx1">
                                  <w:drawing>
                                    <wp:inline distT="0" distB="0" distL="0" distR="0" wp14:anchorId="6123559C" wp14:editId="2F45B12B">
                                      <wp:extent cx="5828665" cy="2895269"/>
                                      <wp:effectExtent l="0" t="0" r="635" b="635"/>
                                      <wp:docPr id="424" name="Chart 424" descr="Boxplot of percent inhibition values for each compound. ">
                                        <a:extLst xmlns:a="http://schemas.openxmlformats.org/drawingml/2006/main">
                                          <a:ext uri="{FF2B5EF4-FFF2-40B4-BE49-F238E27FC236}">
                                            <a16:creationId xmlns:a16="http://schemas.microsoft.com/office/drawing/2014/main" id="{D4A53B4E-A1F1-47A0-9D25-5F38589D1AB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22"/>
                                        </a:graphicData>
                                      </a:graphic>
                                    </wp:inline>
                                  </w:drawing>
                                </mc:Choice>
                                <mc:Fallback>
                                  <w:drawing>
                                    <wp:inline distT="0" distB="0" distL="0" distR="0" wp14:anchorId="6123559C" wp14:editId="2F45B12B">
                                      <wp:extent cx="5828665" cy="2895269"/>
                                      <wp:effectExtent l="0" t="0" r="635" b="635"/>
                                      <wp:docPr id="424" name="Chart 424" descr="Boxplot of percent inhibition values for each compound. ">
                                        <a:extLst xmlns:a="http://schemas.openxmlformats.org/drawingml/2006/main">
                                          <a:ext uri="{FF2B5EF4-FFF2-40B4-BE49-F238E27FC236}">
                                            <a16:creationId xmlns:a16="http://schemas.microsoft.com/office/drawing/2014/main" id="{D4A53B4E-A1F1-47A0-9D25-5F38589D1AB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24" name="Chart 424" descr="Boxplot of percent inhibition values for each compound. ">
                                                <a:extLst>
                                                  <a:ext uri="{FF2B5EF4-FFF2-40B4-BE49-F238E27FC236}">
                                                    <a16:creationId xmlns:a16="http://schemas.microsoft.com/office/drawing/2014/main" id="{D4A53B4E-A1F1-47A0-9D25-5F38589D1AB9}"/>
                                                  </a:ext>
                                                </a:extLst>
                                              </pic:cNvPr>
                                              <pic:cNvPicPr>
                                                <a:picLocks noGrp="1" noRot="1" noChangeAspect="1" noMove="1" noResize="1" noEditPoints="1" noAdjustHandles="1" noChangeArrowheads="1" noChangeShapeType="1"/>
                                              </pic:cNvPicPr>
                                            </pic:nvPicPr>
                                            <pic:blipFill>
                                              <a:blip r:embed="rId423"/>
                                              <a:stretch>
                                                <a:fillRect/>
                                              </a:stretch>
                                            </pic:blipFill>
                                            <pic:spPr>
                                              <a:xfrm>
                                                <a:off x="0" y="0"/>
                                                <a:ext cx="5828665" cy="2894965"/>
                                              </a:xfrm>
                                              <a:prstGeom prst="rect">
                                                <a:avLst/>
                                              </a:prstGeom>
                                            </pic:spPr>
                                          </pic:pic>
                                        </a:graphicData>
                                      </a:graphic>
                                    </wp:inline>
                                  </w:drawing>
                                </mc:Fallback>
                              </mc:AlternateContent>
                            </w:r>
                          </w:p>
                          <w:p w14:paraId="484198AD" w14:textId="5105735E" w:rsidR="0044257B" w:rsidRDefault="0044257B" w:rsidP="00DF51F5">
                            <w:pPr>
                              <w:pStyle w:val="Caption"/>
                            </w:pPr>
                            <w:bookmarkStart w:id="554" w:name="_Ref100521053"/>
                            <w:bookmarkStart w:id="555" w:name="_Toc100243283"/>
                            <w:bookmarkStart w:id="556" w:name="_Toc100748337"/>
                            <w:r>
                              <w:t>Figure 4.</w:t>
                            </w:r>
                            <w:fldSimple w:instr=" SEQ Figure \* ARABIC ">
                              <w:r w:rsidR="00AA5AAC">
                                <w:rPr>
                                  <w:noProof/>
                                </w:rPr>
                                <w:t>12</w:t>
                              </w:r>
                            </w:fldSimple>
                            <w:bookmarkEnd w:id="554"/>
                            <w:r>
                              <w:t>. Boxplot of percent inhibition values for each compound.</w:t>
                            </w:r>
                            <w:bookmarkEnd w:id="555"/>
                            <w:bookmarkEnd w:id="556"/>
                            <w:r>
                              <w:t xml:space="preserve"> </w:t>
                            </w:r>
                          </w:p>
                          <w:p w14:paraId="178B07E8" w14:textId="77777777" w:rsidR="0044257B" w:rsidRPr="00375D3A" w:rsidRDefault="0044257B" w:rsidP="0044257B">
                            <w:pPr>
                              <w:spacing w:line="240" w:lineRule="auto"/>
                            </w:pPr>
                            <w:r>
                              <w:t>Four data points for each compound are plotted in this graph, where the dots represent outlier points. The points marked as X are the mean percent inhibition values. The graph was created in Excel using an inclusive median quartile calculation.</w:t>
                            </w:r>
                          </w:p>
                        </w:txbxContent>
                      </wps:txbx>
                      <wps:bodyPr rot="0" vert="horz" wrap="square" lIns="91440" tIns="45720" rIns="91440" bIns="45720" anchor="t" anchorCtr="0">
                        <a:noAutofit/>
                      </wps:bodyPr>
                    </wps:wsp>
                  </a:graphicData>
                </a:graphic>
              </wp:inline>
            </w:drawing>
          </mc:Choice>
          <mc:Fallback>
            <w:pict>
              <v:shape w14:anchorId="65A40E39" id="_x0000_s1139" type="#_x0000_t202" style="width:468pt;height:3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">
                <v:textbox>
                  <w:txbxContent>
                    <w:p w14:paraId="4651B961" w14:textId="77777777" w:rsidR="0044257B" w:rsidRDefault="0044257B" w:rsidP="0044257B">
                      <w:pPr>
                        <w:keepNext/>
                        <w:spacing w:after="0"/>
                      </w:pPr>
                      <w:r>
                        <w:rPr>
                          <w:noProof/>
                        </w:rPr>
                        <mc:AlternateContent>
                          <mc:Choice Requires="cx1">
                            <w:drawing>
                              <wp:inline distT="0" distB="0" distL="0" distR="0" wp14:anchorId="6123559C" wp14:editId="2F45B12B">
                                <wp:extent cx="5828665" cy="2895269"/>
                                <wp:effectExtent l="0" t="0" r="635" b="635"/>
                                <wp:docPr id="424" name="Chart 424" descr="Boxplot of percent inhibition values for each compound. ">
                                  <a:extLst xmlns:a="http://schemas.openxmlformats.org/drawingml/2006/main">
                                    <a:ext uri="{FF2B5EF4-FFF2-40B4-BE49-F238E27FC236}">
                                      <a16:creationId xmlns:a16="http://schemas.microsoft.com/office/drawing/2014/main" id="{D4A53B4E-A1F1-47A0-9D25-5F38589D1AB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22"/>
                                  </a:graphicData>
                                </a:graphic>
                              </wp:inline>
                            </w:drawing>
                          </mc:Choice>
                          <mc:Fallback>
                            <w:drawing>
                              <wp:inline distT="0" distB="0" distL="0" distR="0" wp14:anchorId="6123559C" wp14:editId="2F45B12B">
                                <wp:extent cx="5828665" cy="2895269"/>
                                <wp:effectExtent l="0" t="0" r="635" b="635"/>
                                <wp:docPr id="424" name="Chart 424" descr="Boxplot of percent inhibition values for each compound. ">
                                  <a:extLst xmlns:a="http://schemas.openxmlformats.org/drawingml/2006/main">
                                    <a:ext uri="{FF2B5EF4-FFF2-40B4-BE49-F238E27FC236}">
                                      <a16:creationId xmlns:a16="http://schemas.microsoft.com/office/drawing/2014/main" id="{D4A53B4E-A1F1-47A0-9D25-5F38589D1AB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24" name="Chart 424" descr="Boxplot of percent inhibition values for each compound. ">
                                          <a:extLst>
                                            <a:ext uri="{FF2B5EF4-FFF2-40B4-BE49-F238E27FC236}">
                                              <a16:creationId xmlns:a16="http://schemas.microsoft.com/office/drawing/2014/main" id="{D4A53B4E-A1F1-47A0-9D25-5F38589D1AB9}"/>
                                            </a:ext>
                                          </a:extLst>
                                        </pic:cNvPr>
                                        <pic:cNvPicPr>
                                          <a:picLocks noGrp="1" noRot="1" noChangeAspect="1" noMove="1" noResize="1" noEditPoints="1" noAdjustHandles="1" noChangeArrowheads="1" noChangeShapeType="1"/>
                                        </pic:cNvPicPr>
                                      </pic:nvPicPr>
                                      <pic:blipFill>
                                        <a:blip r:embed="rId423"/>
                                        <a:stretch>
                                          <a:fillRect/>
                                        </a:stretch>
                                      </pic:blipFill>
                                      <pic:spPr>
                                        <a:xfrm>
                                          <a:off x="0" y="0"/>
                                          <a:ext cx="5828665" cy="2894965"/>
                                        </a:xfrm>
                                        <a:prstGeom prst="rect">
                                          <a:avLst/>
                                        </a:prstGeom>
                                      </pic:spPr>
                                    </pic:pic>
                                  </a:graphicData>
                                </a:graphic>
                              </wp:inline>
                            </w:drawing>
                          </mc:Fallback>
                        </mc:AlternateContent>
                      </w:r>
                    </w:p>
                    <w:p w14:paraId="484198AD" w14:textId="5105735E" w:rsidR="0044257B" w:rsidRDefault="0044257B" w:rsidP="00DF51F5">
                      <w:pPr>
                        <w:pStyle w:val="Caption"/>
                      </w:pPr>
                      <w:bookmarkStart w:id="557" w:name="_Ref100521053"/>
                      <w:bookmarkStart w:id="558" w:name="_Toc100243283"/>
                      <w:bookmarkStart w:id="559" w:name="_Toc100748337"/>
                      <w:r>
                        <w:t>Figure 4.</w:t>
                      </w:r>
                      <w:fldSimple w:instr=" SEQ Figure \* ARABIC ">
                        <w:r w:rsidR="00AA5AAC">
                          <w:rPr>
                            <w:noProof/>
                          </w:rPr>
                          <w:t>12</w:t>
                        </w:r>
                      </w:fldSimple>
                      <w:bookmarkEnd w:id="557"/>
                      <w:r>
                        <w:t>. Boxplot of percent inhibition values for each compound.</w:t>
                      </w:r>
                      <w:bookmarkEnd w:id="558"/>
                      <w:bookmarkEnd w:id="559"/>
                      <w:r>
                        <w:t xml:space="preserve"> </w:t>
                      </w:r>
                    </w:p>
                    <w:p w14:paraId="178B07E8" w14:textId="77777777" w:rsidR="0044257B" w:rsidRPr="00375D3A" w:rsidRDefault="0044257B" w:rsidP="0044257B">
                      <w:pPr>
                        <w:spacing w:line="240" w:lineRule="auto"/>
                      </w:pPr>
                      <w:r>
                        <w:t>Four data points for each compound are plotted in this graph, where the dots represent outlier points. The points marked as X are the mean percent inhibition values. The graph was created in Excel using an inclusive median quartile calculation.</w:t>
                      </w:r>
                    </w:p>
                  </w:txbxContent>
                </v:textbox>
                <w10:anchorlock/>
              </v:shape>
            </w:pict>
          </mc:Fallback>
        </mc:AlternateContent>
      </w:r>
    </w:p>
    <w:p w14:paraId="62DC6B67" w14:textId="007432F3" w:rsidR="0044257B" w:rsidRPr="0044257B" w:rsidRDefault="0044257B" w:rsidP="0044257B">
      <w:pPr>
        <w:spacing w:after="0"/>
        <w:ind w:firstLine="720"/>
      </w:pPr>
      <w:r w:rsidRPr="0044257B">
        <w:t xml:space="preserve">Utilizing bio-isosteric replacement strategies, replacing the furan heterocycle with a pyridine resulted in ~10% increase in inhibitory activity (blue, </w:t>
      </w:r>
      <w:r w:rsidRPr="0044257B">
        <w:rPr>
          <w:b/>
          <w:bCs/>
        </w:rPr>
        <w:fldChar w:fldCharType="begin"/>
      </w:r>
      <w:r w:rsidRPr="0044257B">
        <w:rPr>
          <w:b/>
          <w:bCs/>
        </w:rPr>
        <w:instrText xml:space="preserve"> REF _Ref100525076 \h  \* MERGEFORMAT </w:instrText>
      </w:r>
      <w:r w:rsidRPr="0044257B">
        <w:rPr>
          <w:b/>
          <w:bCs/>
        </w:rPr>
      </w:r>
      <w:r w:rsidRPr="0044257B">
        <w:rPr>
          <w:b/>
          <w:bCs/>
        </w:rPr>
        <w:fldChar w:fldCharType="separate"/>
      </w:r>
      <w:r w:rsidR="00AA5AAC" w:rsidRPr="00AA5AAC">
        <w:rPr>
          <w:b/>
          <w:bCs/>
        </w:rPr>
        <w:t>Figure 4.13</w:t>
      </w:r>
      <w:r w:rsidRPr="0044257B">
        <w:rPr>
          <w:b/>
          <w:bCs/>
        </w:rPr>
        <w:fldChar w:fldCharType="end"/>
      </w:r>
      <w:r w:rsidRPr="0044257B">
        <w:t xml:space="preserve">), which led me to pursue pyridine and nitrogen heterocycles at this position. Interestingly, replacing the t-butyl groups with cyclohexyl and ethyl groups (highlighted in orange and green, respectively in </w:t>
      </w:r>
      <w:r w:rsidRPr="0044257B">
        <w:rPr>
          <w:b/>
          <w:bCs/>
        </w:rPr>
        <w:fldChar w:fldCharType="begin"/>
      </w:r>
      <w:r w:rsidRPr="0044257B">
        <w:rPr>
          <w:b/>
          <w:bCs/>
        </w:rPr>
        <w:instrText xml:space="preserve"> REF _Ref100525076 \h  \* MERGEFORMAT </w:instrText>
      </w:r>
      <w:r w:rsidRPr="0044257B">
        <w:rPr>
          <w:b/>
          <w:bCs/>
        </w:rPr>
      </w:r>
      <w:r w:rsidRPr="0044257B">
        <w:rPr>
          <w:b/>
          <w:bCs/>
        </w:rPr>
        <w:fldChar w:fldCharType="separate"/>
      </w:r>
      <w:r w:rsidR="00AA5AAC" w:rsidRPr="00AA5AAC">
        <w:rPr>
          <w:b/>
          <w:bCs/>
        </w:rPr>
        <w:t>Figure 4.13</w:t>
      </w:r>
      <w:r w:rsidRPr="0044257B">
        <w:rPr>
          <w:b/>
          <w:bCs/>
        </w:rPr>
        <w:fldChar w:fldCharType="end"/>
      </w:r>
      <w:r w:rsidRPr="0044257B">
        <w:t xml:space="preserve">) </w:t>
      </w:r>
      <w:r w:rsidR="00CD60B7">
        <w:t>resulted in</w:t>
      </w:r>
      <w:r w:rsidRPr="0044257B">
        <w:t xml:space="preserve"> decrease</w:t>
      </w:r>
      <w:r w:rsidR="00CD60B7">
        <w:t xml:space="preserve">d </w:t>
      </w:r>
      <w:r w:rsidRPr="0044257B">
        <w:t xml:space="preserve">activity, with compounds </w:t>
      </w:r>
      <w:r w:rsidRPr="0044257B">
        <w:rPr>
          <w:b/>
          <w:bCs/>
        </w:rPr>
        <w:t>JG59</w:t>
      </w:r>
      <w:r w:rsidRPr="0044257B">
        <w:t xml:space="preserve"> and </w:t>
      </w:r>
      <w:r w:rsidRPr="0044257B">
        <w:rPr>
          <w:b/>
          <w:bCs/>
        </w:rPr>
        <w:t>JG57</w:t>
      </w:r>
      <w:r w:rsidRPr="0044257B">
        <w:t xml:space="preserve"> showing similar percent inhibition as ML188. However, when </w:t>
      </w:r>
      <w:r w:rsidR="00CD60B7">
        <w:t>incorporation of</w:t>
      </w:r>
      <w:r w:rsidRPr="0044257B">
        <w:t xml:space="preserve"> the cyclohexyl (orange), ethyl (green), and pyridine (blue) groups </w:t>
      </w:r>
      <w:r w:rsidR="00CD60B7">
        <w:t>simultaneously</w:t>
      </w:r>
      <w:r w:rsidRPr="0044257B">
        <w:t xml:space="preserve">, </w:t>
      </w:r>
      <w:r w:rsidR="00CD60B7">
        <w:t>led to</w:t>
      </w:r>
      <w:r w:rsidRPr="0044257B">
        <w:t xml:space="preserve"> </w:t>
      </w:r>
      <w:r w:rsidRPr="0044257B">
        <w:rPr>
          <w:b/>
          <w:bCs/>
        </w:rPr>
        <w:t>JG58</w:t>
      </w:r>
      <w:r w:rsidRPr="0044257B">
        <w:t xml:space="preserve"> which exhibits</w:t>
      </w:r>
      <w:r w:rsidR="00CD60B7">
        <w:t xml:space="preserve"> a</w:t>
      </w:r>
      <w:r w:rsidRPr="0044257B">
        <w:t xml:space="preserve"> ~20% increase in inhibitory activity compared to ML188 (</w:t>
      </w:r>
      <w:r w:rsidRPr="0044257B">
        <w:rPr>
          <w:b/>
          <w:bCs/>
        </w:rPr>
        <w:fldChar w:fldCharType="begin"/>
      </w:r>
      <w:r w:rsidRPr="0044257B">
        <w:rPr>
          <w:b/>
          <w:bCs/>
        </w:rPr>
        <w:instrText xml:space="preserve"> REF _Ref100525076 \h  \* MERGEFORMAT </w:instrText>
      </w:r>
      <w:r w:rsidRPr="0044257B">
        <w:rPr>
          <w:b/>
          <w:bCs/>
        </w:rPr>
      </w:r>
      <w:r w:rsidRPr="0044257B">
        <w:rPr>
          <w:b/>
          <w:bCs/>
        </w:rPr>
        <w:fldChar w:fldCharType="separate"/>
      </w:r>
      <w:r w:rsidR="00AA5AAC" w:rsidRPr="00AA5AAC">
        <w:rPr>
          <w:b/>
          <w:bCs/>
        </w:rPr>
        <w:t>Figure 4.13</w:t>
      </w:r>
      <w:r w:rsidRPr="0044257B">
        <w:rPr>
          <w:b/>
          <w:bCs/>
        </w:rPr>
        <w:fldChar w:fldCharType="end"/>
      </w:r>
      <w:r w:rsidRPr="0044257B">
        <w:t xml:space="preserve">). </w:t>
      </w:r>
    </w:p>
    <w:p w14:paraId="3D11434E" w14:textId="77777777" w:rsidR="0044257B" w:rsidRPr="0044257B" w:rsidRDefault="0044257B" w:rsidP="0044257B">
      <w:pPr>
        <w:spacing w:after="0"/>
      </w:pPr>
      <w:r w:rsidRPr="0044257B">
        <w:rPr>
          <w:noProof/>
        </w:rPr>
        <w:lastRenderedPageBreak/>
        <mc:AlternateContent>
          <mc:Choice Requires="wps">
            <w:drawing>
              <wp:inline distT="0" distB="0" distL="0" distR="0" wp14:anchorId="027B9E22" wp14:editId="5B6E1E58">
                <wp:extent cx="5943600" cy="4086970"/>
                <wp:effectExtent l="0" t="0" r="19050" b="27940"/>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86970"/>
                        </a:xfrm>
                        <a:prstGeom prst="rect">
                          <a:avLst/>
                        </a:prstGeom>
                        <a:solidFill>
                          <a:srgbClr val="FFFFFF"/>
                        </a:solidFill>
                        <a:ln w="9525">
                          <a:solidFill>
                            <a:srgbClr val="000000"/>
                          </a:solidFill>
                          <a:miter lim="800000"/>
                          <a:headEnd/>
                          <a:tailEnd/>
                        </a:ln>
                      </wps:spPr>
                      <wps:txbx>
                        <w:txbxContent>
                          <w:p w14:paraId="228E86C6" w14:textId="77777777" w:rsidR="0044257B" w:rsidRDefault="0044257B" w:rsidP="0044257B">
                            <w:pPr>
                              <w:keepNext/>
                              <w:spacing w:after="0"/>
                              <w:jc w:val="center"/>
                            </w:pPr>
                            <w:r>
                              <w:rPr>
                                <w:noProof/>
                              </w:rPr>
                              <w:drawing>
                                <wp:inline distT="0" distB="0" distL="0" distR="0" wp14:anchorId="14606F17" wp14:editId="529294C7">
                                  <wp:extent cx="5327374" cy="3303141"/>
                                  <wp:effectExtent l="0" t="0" r="6985" b="0"/>
                                  <wp:docPr id="324" name="Picture 32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5335854" cy="3308399"/>
                                          </a:xfrm>
                                          <a:prstGeom prst="rect">
                                            <a:avLst/>
                                          </a:prstGeom>
                                        </pic:spPr>
                                      </pic:pic>
                                    </a:graphicData>
                                  </a:graphic>
                                </wp:inline>
                              </w:drawing>
                            </w:r>
                          </w:p>
                          <w:p w14:paraId="50D5236F" w14:textId="28755484" w:rsidR="0044257B" w:rsidRDefault="0044257B" w:rsidP="00DF51F5">
                            <w:pPr>
                              <w:pStyle w:val="Caption"/>
                            </w:pPr>
                            <w:bookmarkStart w:id="560" w:name="_Ref100525076"/>
                            <w:bookmarkStart w:id="561" w:name="_Toc100748338"/>
                            <w:r>
                              <w:t>Figure 4.</w:t>
                            </w:r>
                            <w:fldSimple w:instr=" SEQ Figure \* ARABIC ">
                              <w:r w:rsidR="00AA5AAC">
                                <w:rPr>
                                  <w:noProof/>
                                </w:rPr>
                                <w:t>13</w:t>
                              </w:r>
                            </w:fldSimple>
                            <w:bookmarkEnd w:id="560"/>
                            <w:r>
                              <w:t>. Structural evolution from ML188 to JG58.</w:t>
                            </w:r>
                            <w:bookmarkEnd w:id="561"/>
                            <w:r>
                              <w:t xml:space="preserve"> </w:t>
                            </w:r>
                          </w:p>
                          <w:p w14:paraId="1BBD3A6F" w14:textId="77777777" w:rsidR="0044257B" w:rsidRPr="00886205" w:rsidRDefault="0044257B" w:rsidP="0044257B">
                            <w:r>
                              <w:t xml:space="preserve">Percent inhibition is shown under compound name. </w:t>
                            </w:r>
                          </w:p>
                          <w:p w14:paraId="45777763" w14:textId="77777777" w:rsidR="0044257B" w:rsidRDefault="0044257B" w:rsidP="0044257B"/>
                        </w:txbxContent>
                      </wps:txbx>
                      <wps:bodyPr rot="0" vert="horz" wrap="square" lIns="91440" tIns="45720" rIns="91440" bIns="45720" anchor="t" anchorCtr="0">
                        <a:noAutofit/>
                      </wps:bodyPr>
                    </wps:wsp>
                  </a:graphicData>
                </a:graphic>
              </wp:inline>
            </w:drawing>
          </mc:Choice>
          <mc:Fallback>
            <w:pict>
              <v:shape w14:anchorId="027B9E22" id="_x0000_s1140" type="#_x0000_t202" style="width:468pt;height:32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">
                <v:textbox>
                  <w:txbxContent>
                    <w:p w14:paraId="228E86C6" w14:textId="77777777" w:rsidR="0044257B" w:rsidRDefault="0044257B" w:rsidP="0044257B">
                      <w:pPr>
                        <w:keepNext/>
                        <w:spacing w:after="0"/>
                        <w:jc w:val="center"/>
                      </w:pPr>
                      <w:r>
                        <w:rPr>
                          <w:noProof/>
                        </w:rPr>
                        <w:drawing>
                          <wp:inline distT="0" distB="0" distL="0" distR="0" wp14:anchorId="14606F17" wp14:editId="529294C7">
                            <wp:extent cx="5327374" cy="3303141"/>
                            <wp:effectExtent l="0" t="0" r="6985" b="0"/>
                            <wp:docPr id="324" name="Picture 32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pic:cNvPicPr/>
                                  </pic:nvPicPr>
                                  <pic:blipFill>
                                    <a:blip r:embed="rId101">
                                      <a:extLst>
                                        <a:ext uri="{28A0092B-C50C-407E-A947-70E740481C1C}">
                                          <a14:useLocalDpi xmlns:a14="http://schemas.microsoft.com/office/drawing/2010/main" val="0"/>
                                        </a:ext>
                                      </a:extLst>
                                    </a:blip>
                                    <a:stretch>
                                      <a:fillRect/>
                                    </a:stretch>
                                  </pic:blipFill>
                                  <pic:spPr>
                                    <a:xfrm>
                                      <a:off x="0" y="0"/>
                                      <a:ext cx="5335854" cy="3308399"/>
                                    </a:xfrm>
                                    <a:prstGeom prst="rect">
                                      <a:avLst/>
                                    </a:prstGeom>
                                  </pic:spPr>
                                </pic:pic>
                              </a:graphicData>
                            </a:graphic>
                          </wp:inline>
                        </w:drawing>
                      </w:r>
                    </w:p>
                    <w:p w14:paraId="50D5236F" w14:textId="28755484" w:rsidR="0044257B" w:rsidRDefault="0044257B" w:rsidP="00DF51F5">
                      <w:pPr>
                        <w:pStyle w:val="Caption"/>
                      </w:pPr>
                      <w:bookmarkStart w:id="562" w:name="_Ref100525076"/>
                      <w:bookmarkStart w:id="563" w:name="_Toc100748338"/>
                      <w:r>
                        <w:t>Figure 4.</w:t>
                      </w:r>
                      <w:fldSimple w:instr=" SEQ Figure \* ARABIC ">
                        <w:r w:rsidR="00AA5AAC">
                          <w:rPr>
                            <w:noProof/>
                          </w:rPr>
                          <w:t>13</w:t>
                        </w:r>
                      </w:fldSimple>
                      <w:bookmarkEnd w:id="562"/>
                      <w:r>
                        <w:t>. Structural evolution from ML188 to JG58.</w:t>
                      </w:r>
                      <w:bookmarkEnd w:id="563"/>
                      <w:r>
                        <w:t xml:space="preserve"> </w:t>
                      </w:r>
                    </w:p>
                    <w:p w14:paraId="1BBD3A6F" w14:textId="77777777" w:rsidR="0044257B" w:rsidRPr="00886205" w:rsidRDefault="0044257B" w:rsidP="0044257B">
                      <w:r>
                        <w:t xml:space="preserve">Percent inhibition is shown under compound name. </w:t>
                      </w:r>
                    </w:p>
                    <w:p w14:paraId="45777763" w14:textId="77777777" w:rsidR="0044257B" w:rsidRDefault="0044257B" w:rsidP="0044257B"/>
                  </w:txbxContent>
                </v:textbox>
                <w10:anchorlock/>
              </v:shape>
            </w:pict>
          </mc:Fallback>
        </mc:AlternateContent>
      </w:r>
    </w:p>
    <w:p w14:paraId="5A4FEEF6" w14:textId="77777777" w:rsidR="0044257B" w:rsidRPr="0044257B" w:rsidRDefault="0044257B" w:rsidP="0044257B">
      <w:pPr>
        <w:spacing w:after="0"/>
      </w:pPr>
    </w:p>
    <w:p w14:paraId="478F3539" w14:textId="77777777" w:rsidR="0044257B" w:rsidRPr="0044257B" w:rsidRDefault="0044257B" w:rsidP="00595321">
      <w:pPr>
        <w:pStyle w:val="Section"/>
      </w:pPr>
      <w:bookmarkStart w:id="564" w:name="_Toc100241939"/>
      <w:bookmarkStart w:id="565" w:name="_Toc102586302"/>
      <w:r w:rsidRPr="0044257B">
        <w:t>4.3 Conclusions</w:t>
      </w:r>
      <w:bookmarkEnd w:id="564"/>
      <w:bookmarkEnd w:id="565"/>
    </w:p>
    <w:p w14:paraId="5BF9AE16" w14:textId="77777777" w:rsidR="0044257B" w:rsidRPr="0044257B" w:rsidRDefault="0044257B" w:rsidP="0044257B">
      <w:pPr>
        <w:spacing w:after="0"/>
        <w:ind w:firstLine="720"/>
      </w:pPr>
      <w:r w:rsidRPr="0044257B">
        <w:t xml:space="preserve">Overall, during our exploratory investigation into SARS-CoV-2 protease inhibitors, we found that our previous research on bacterial protease inhibitors does not translate to coronavirus targets, and the 25 compounds we had evaluated for viral replication inhibition were all inactive. We also designed three scaffolds (urea, piperazine, and peptidomimetic) based on computational modeling of the </w:t>
      </w:r>
      <w:proofErr w:type="spellStart"/>
      <w:r w:rsidRPr="0044257B">
        <w:t>M</w:t>
      </w:r>
      <w:r w:rsidRPr="0044257B">
        <w:rPr>
          <w:vertAlign w:val="superscript"/>
        </w:rPr>
        <w:t>pro</w:t>
      </w:r>
      <w:proofErr w:type="spellEnd"/>
      <w:r w:rsidRPr="0044257B">
        <w:t xml:space="preserve"> active site, and I synthesized and tested 18 peptidomimetic compounds where preliminary data suggested that 3 of my compounds exhibit modest to improved inhibitory activity when compared to the ML188 control. </w:t>
      </w:r>
    </w:p>
    <w:p w14:paraId="14986ECB" w14:textId="77777777" w:rsidR="0044257B" w:rsidRPr="0044257B" w:rsidRDefault="0044257B" w:rsidP="0044257B">
      <w:pPr>
        <w:spacing w:after="0"/>
        <w:ind w:firstLine="720"/>
      </w:pPr>
      <w:r w:rsidRPr="0044257B">
        <w:rPr>
          <w:noProof/>
        </w:rPr>
        <w:lastRenderedPageBreak/>
        <mc:AlternateContent>
          <mc:Choice Requires="wps">
            <w:drawing>
              <wp:inline distT="0" distB="0" distL="0" distR="0" wp14:anchorId="2A8F0551" wp14:editId="4BCBBBC2">
                <wp:extent cx="5025224" cy="4158532"/>
                <wp:effectExtent l="0" t="0" r="23495" b="13970"/>
                <wp:docPr id="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5224" cy="4158532"/>
                        </a:xfrm>
                        <a:prstGeom prst="rect">
                          <a:avLst/>
                        </a:prstGeom>
                        <a:solidFill>
                          <a:srgbClr val="FFFFFF"/>
                        </a:solidFill>
                        <a:ln w="9525">
                          <a:solidFill>
                            <a:srgbClr val="000000"/>
                          </a:solidFill>
                          <a:miter lim="800000"/>
                          <a:headEnd/>
                          <a:tailEnd/>
                        </a:ln>
                      </wps:spPr>
                      <wps:txbx>
                        <w:txbxContent>
                          <w:p w14:paraId="4A8DF654" w14:textId="77777777" w:rsidR="0044257B" w:rsidRDefault="0044257B" w:rsidP="0044257B">
                            <w:pPr>
                              <w:keepNext/>
                              <w:spacing w:after="0"/>
                              <w:jc w:val="center"/>
                            </w:pPr>
                            <w:r>
                              <w:object w:dxaOrig="5974" w:dyaOrig="5278" w14:anchorId="5C6284D0">
                                <v:shape id="_x0000_i1149" type="#_x0000_t75" style="width:298.3pt;height:264.15pt">
                                  <v:imagedata r:id="rId424" o:title=""/>
                                </v:shape>
                                <o:OLEObject Type="Embed" ProgID="ChemDraw.Document.6.0" ShapeID="_x0000_i1149" DrawAspect="Content" ObjectID="_1713353532" r:id="rId425"/>
                              </w:object>
                            </w:r>
                          </w:p>
                          <w:p w14:paraId="432FDB64" w14:textId="008D81EF" w:rsidR="0044257B" w:rsidRDefault="0044257B" w:rsidP="00DF51F5">
                            <w:pPr>
                              <w:pStyle w:val="Caption"/>
                            </w:pPr>
                            <w:bookmarkStart w:id="566" w:name="_Ref100745530"/>
                            <w:bookmarkStart w:id="567" w:name="_Toc100243286"/>
                            <w:bookmarkStart w:id="568" w:name="_Toc100748339"/>
                            <w:r>
                              <w:t>Figure 4.</w:t>
                            </w:r>
                            <w:fldSimple w:instr=" SEQ Figure \* ARABIC ">
                              <w:r w:rsidR="00AA5AAC">
                                <w:rPr>
                                  <w:noProof/>
                                </w:rPr>
                                <w:t>14</w:t>
                              </w:r>
                            </w:fldSimple>
                            <w:bookmarkEnd w:id="566"/>
                            <w:r>
                              <w:t xml:space="preserve">. Structure of Pfizer’s orally active </w:t>
                            </w:r>
                            <w:proofErr w:type="spellStart"/>
                            <w:r>
                              <w:t>M</w:t>
                            </w:r>
                            <w:r w:rsidRPr="0003335B">
                              <w:rPr>
                                <w:vertAlign w:val="superscript"/>
                              </w:rPr>
                              <w:t>pro</w:t>
                            </w:r>
                            <w:proofErr w:type="spellEnd"/>
                            <w:r>
                              <w:t xml:space="preserve"> inhibitors.</w:t>
                            </w:r>
                            <w:bookmarkEnd w:id="567"/>
                            <w:bookmarkEnd w:id="568"/>
                            <w:r>
                              <w:t xml:space="preserve"> </w:t>
                            </w:r>
                          </w:p>
                          <w:p w14:paraId="1E00743B" w14:textId="77777777" w:rsidR="0044257B" w:rsidRPr="00345B15" w:rsidRDefault="0044257B" w:rsidP="0044257B">
                            <w:r>
                              <w:t xml:space="preserve">Warhead groups are labeled in red. </w:t>
                            </w:r>
                          </w:p>
                        </w:txbxContent>
                      </wps:txbx>
                      <wps:bodyPr rot="0" vert="horz" wrap="square" lIns="91440" tIns="45720" rIns="91440" bIns="45720" anchor="t" anchorCtr="0">
                        <a:noAutofit/>
                      </wps:bodyPr>
                    </wps:wsp>
                  </a:graphicData>
                </a:graphic>
              </wp:inline>
            </w:drawing>
          </mc:Choice>
          <mc:Fallback>
            <w:pict>
              <v:shape w14:anchorId="2A8F0551" id="_x0000_s1141" type="#_x0000_t202" style="width:395.7pt;height:32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">
                <v:textbox>
                  <w:txbxContent>
                    <w:p w14:paraId="4A8DF654" w14:textId="77777777" w:rsidR="0044257B" w:rsidRDefault="0044257B" w:rsidP="0044257B">
                      <w:pPr>
                        <w:keepNext/>
                        <w:spacing w:after="0"/>
                        <w:jc w:val="center"/>
                      </w:pPr>
                      <w:r>
                        <w:object w:dxaOrig="5974" w:dyaOrig="5278" w14:anchorId="5C6284D0">
                          <v:shape id="_x0000_i1149" type="#_x0000_t75" style="width:298.3pt;height:264.15pt">
                            <v:imagedata r:id="rId424" o:title=""/>
                          </v:shape>
                          <o:OLEObject Type="Embed" ProgID="ChemDraw.Document.6.0" ShapeID="_x0000_i1149" DrawAspect="Content" ObjectID="_1713353532" r:id="rId426"/>
                        </w:object>
                      </w:r>
                    </w:p>
                    <w:p w14:paraId="432FDB64" w14:textId="008D81EF" w:rsidR="0044257B" w:rsidRDefault="0044257B" w:rsidP="00DF51F5">
                      <w:pPr>
                        <w:pStyle w:val="Caption"/>
                      </w:pPr>
                      <w:bookmarkStart w:id="569" w:name="_Ref100745530"/>
                      <w:bookmarkStart w:id="570" w:name="_Toc100243286"/>
                      <w:bookmarkStart w:id="571" w:name="_Toc100748339"/>
                      <w:r>
                        <w:t>Figure 4.</w:t>
                      </w:r>
                      <w:fldSimple w:instr=" SEQ Figure \* ARABIC ">
                        <w:r w:rsidR="00AA5AAC">
                          <w:rPr>
                            <w:noProof/>
                          </w:rPr>
                          <w:t>14</w:t>
                        </w:r>
                      </w:fldSimple>
                      <w:bookmarkEnd w:id="569"/>
                      <w:r>
                        <w:t xml:space="preserve">. Structure of Pfizer’s orally active </w:t>
                      </w:r>
                      <w:proofErr w:type="spellStart"/>
                      <w:r>
                        <w:t>M</w:t>
                      </w:r>
                      <w:r w:rsidRPr="0003335B">
                        <w:rPr>
                          <w:vertAlign w:val="superscript"/>
                        </w:rPr>
                        <w:t>pro</w:t>
                      </w:r>
                      <w:proofErr w:type="spellEnd"/>
                      <w:r>
                        <w:t xml:space="preserve"> inhibitors.</w:t>
                      </w:r>
                      <w:bookmarkEnd w:id="570"/>
                      <w:bookmarkEnd w:id="571"/>
                      <w:r>
                        <w:t xml:space="preserve"> </w:t>
                      </w:r>
                    </w:p>
                    <w:p w14:paraId="1E00743B" w14:textId="77777777" w:rsidR="0044257B" w:rsidRPr="00345B15" w:rsidRDefault="0044257B" w:rsidP="0044257B">
                      <w:r>
                        <w:t xml:space="preserve">Warhead groups are labeled in red. </w:t>
                      </w:r>
                    </w:p>
                  </w:txbxContent>
                </v:textbox>
                <w10:anchorlock/>
              </v:shape>
            </w:pict>
          </mc:Fallback>
        </mc:AlternateContent>
      </w:r>
    </w:p>
    <w:p w14:paraId="36DF0B55" w14:textId="43826B85" w:rsidR="0044257B" w:rsidRPr="0044257B" w:rsidRDefault="0044257B" w:rsidP="0044257B">
      <w:pPr>
        <w:ind w:firstLine="720"/>
      </w:pPr>
      <w:r w:rsidRPr="0044257B">
        <w:t xml:space="preserve">While we investigated noncovalent </w:t>
      </w:r>
      <w:proofErr w:type="spellStart"/>
      <w:r w:rsidRPr="0044257B">
        <w:t>M</w:t>
      </w:r>
      <w:r w:rsidRPr="0044257B">
        <w:rPr>
          <w:vertAlign w:val="superscript"/>
        </w:rPr>
        <w:t>pro</w:t>
      </w:r>
      <w:proofErr w:type="spellEnd"/>
      <w:r w:rsidRPr="0044257B">
        <w:t xml:space="preserve"> inhibitors, other laboratories pursued inhibitors that covalently bind to the </w:t>
      </w:r>
      <w:proofErr w:type="spellStart"/>
      <w:r w:rsidRPr="0044257B">
        <w:t>M</w:t>
      </w:r>
      <w:r w:rsidRPr="0044257B">
        <w:rPr>
          <w:vertAlign w:val="superscript"/>
        </w:rPr>
        <w:t>pro</w:t>
      </w:r>
      <w:proofErr w:type="spellEnd"/>
      <w:r w:rsidRPr="0044257B">
        <w:t xml:space="preserve"> catalytic dyad.</w:t>
      </w:r>
      <w:r w:rsidRPr="0044257B">
        <w:fldChar w:fldCharType="begin"/>
      </w:r>
      <w:r w:rsidRPr="0044257B">
        <w:instrText xml:space="preserve"> ADDIN ZOTERO_ITEM CSL_CITATION {"citationID":"bWSwGYJq","properties":{"formattedCitation":"\\super 40,64,89\\nosupersub{}","plainCitation":"40,64,89","noteIndex":0},"citationItems":[{"id":855,"uris":["http://zotero.org/users/6503767/items/YWCSE7HM"],"itemData":{"id":855,"type":"article-journal","abstract":"β-coronavirus (CoVs) alone has been responsible for three major global outbreaks in the 21st century. The current crisis has led to an urgent requirement to develop therapeutics. Even though a number of vaccines are available, alternative strategies targeting essential viral components are required as a backup against the emergence of lethal viral variants. One such target is the main protease (Mpro) that plays an indispensable role in viral replication. The availability of over 270 Mpro X-ray structures in complex with inhibitors provides unique insights into ligand–protein interactions. Herein, we provide a comprehensive comparison of all nonredundant ligand-binding sites available for SARS-CoV2, SARS-CoV, and MERS-CoV Mpro. Extensive adaptive sampling has been used to investigate structural conservation of ligand-binding sites using Markov state models (MSMs) and compare conformational dynamics employing convolutional variational auto-encoder-based deep learning. Our results indicate that not all ligand-binding sites are dynamically conserved despite high sequence and structural conservation across β-CoV homologs. This highlights the complexity in targeting all three Mpro enzymes with a single pan inhibitor.","container-title":"Journal of Chemical Information and Modeling","DOI":"10.1021/acs.jcim.1c00449","ISSN":"1549-9596","issue":"6","journalAbbreviation":"J. Chem. Inf. Model.","note":"publisher: American Chemical Society","page":"3058-3073","source":"ACS Publications","title":"Dynamic Profiling of β-Coronavirus 3CL Mpro Protease Ligand-Binding Sites","volume":"61","author":[{"family":"Cho","given":"Eunice"},{"family":"Rosa","given":"Margarida"},{"family":"Anjum","given":"Ruhi"},{"family":"Mehmood","given":"Saman"},{"family":"Soban","given":"Mariya"},{"family":"Mujtaba","given":"Moniza"},{"family":"Bux","given":"Khair"},{"family":"Moin","given":"Syed T."},{"family":"Tanweer","given":"Mohammad"},{"family":"Dantu","given":"Sarath"},{"family":"Pandini","given":"Alessandro"},{"family":"Yin","given":"Junqi"},{"family":"Ma","given":"Heng"},{"family":"Ramanathan","given":"Arvind"},{"family":"Islam","given":"Barira"},{"family":"Mey","given":"Antonia S. J. S."},{"family":"Bhowmik","given":"Debsindhu"},{"family":"Haider","given":"Shozeb"}],"issued":{"date-parts":[["2021",6,28]]}}},{"id":848,"uris":["http://zotero.org/users/6503767/items/DSTZ67RQ"],"itemData":{"id":848,"type":"article-journal","container-title":"Science","DOI":"10.1126/science.abl4784","issue":"6575","note":"publisher: American Association for the Advancement of Science","page":"1586-1593","source":"www-science-org.ezproxy.lib.ou.edu (Atypon)","title":"An oral SARS-CoV-2 Mpro inhibitor clinical candidate for the treatment of COVID-19","volume":"374","author":[{"family":"Owen","given":"Dafydd R."},{"family":"Allerton","given":"Charlotte M. N."},{"family":"Anderson","given":"Annaliesa S."},{"family":"Aschenbrenner","given":"Lisa"},{"family":"Avery","given":"Melissa"},{"family":"Berritt","given":"Simon"},{"family":"Boras","given":"Britton"},{"family":"Cardin","given":"Rhonda D."},{"family":"Carlo","given":"Anthony"},{"family":"Coffman","given":"Karen J."},{"family":"Dantonio","given":"Alyssa"},{"family":"Di","given":"Li"},{"family":"Eng","given":"Heather"},{"family":"Ferre","given":"RoseAnn"},{"family":"Gajiwala","given":"Ketan S."},{"family":"Gibson","given":"Scott A."},{"family":"Greasley","given":"Samantha E."},{"family":"Hurst","given":"Brett L."},{"family":"Kadar","given":"Eugene P."},{"family":"Kalgutkar","given":"Amit S."},{"family":"Lee","given":"Jack C."},{"family":"Lee","given":"Jisun"},{"family":"Liu","given":"Wei"},{"family":"Mason","given":"Stephen W."},{"family":"Noell","given":"Stephen"},{"family":"Novak","given":"Jonathan J."},{"family":"Obach","given":"R. Scott"},{"family":"Ogilvie","given":"Kevin"},{"family":"Patel","given":"Nandini C."},{"family":"Pettersson","given":"Martin"},{"family":"Rai","given":"Devendra K."},{"family":"Reese","given":"Matthew R."},{"family":"Sammons","given":"Matthew F."},{"family":"Sathish","given":"Jean G."},{"family":"Singh","given":"Ravi Shankar P."},{"family":"Steppan","given":"Claire M."},{"family":"Stewart","given":"Al E."},{"family":"Tuttle","given":"Jamison B."},{"family":"Updyke","given":"Lawrence"},{"family":"Verhoest","given":"Patrick R."},{"family":"Wei","given":"Liuqing"},{"family":"Yang","given":"Qingyi"},{"family":"Zhu","given":"Yuao"}],"issued":{"date-parts":[["2021",12,24]]}}},{"id":874,"uris":["http://zotero.org/users/6503767/items/QININNKK"],"itemData":{"id":874,"type":"article-journal","abstract":"The novel coronavirus disease COVID-19 that emerged in 2019 is caused by the virus SARS CoV-2 and named for its close genetic similarity to SARS CoV-1 that caused severe acute respiratory syndrome (SARS) in 2002. Both SARS coronavirus genomes encode two overlapping large polyproteins, which are cleaved at specific sites by a 3C-like cysteine protease (3CLpro) in a post-translational processing step that is critical for coronavirus replication. The 3CLpro sequences for CoV-1 and CoV-2 viruses are 100% identical in the catalytic domain that carries out protein cleavage. A research effort that focused on the discovery of reversible and irreversible ketone-based inhibitors of SARS CoV-1 3CLpro employing ligand-protease structures solved by X-ray crystallography led to the identification of 3 and 4. Preclinical experiments reveal 4 (PF-00835231) as a potent inhibitor of CoV-2 3CLpro with suitable pharmaceutical properties to warrant further development as an intravenous treatment for COVID-19.","container-title":"Journal of Medicinal Chemistry","DOI":"10.1021/acs.jmedchem.0c01063","ISSN":"0022-2623","issue":"21","journalAbbreviation":"J. Med. Chem.","note":"publisher: American Chemical Society","page":"12725-12747","source":"ACS Publications","title":"Discovery of Ketone-Based Covalent Inhibitors of Coronavirus 3CL Proteases for the Potential Therapeutic Treatment of COVID-19","volume":"63","author":[{"family":"Hoffman","given":"Robert L."},{"family":"Kania","given":"Robert S."},{"family":"Brothers","given":"Mary A."},{"family":"Davies","given":"Jay F."},{"family":"Ferre","given":"Rose A."},{"family":"Gajiwala","given":"Ketan S."},{"family":"He","given":"Mingying"},{"family":"Hogan","given":"Robert J."},{"family":"Kozminski","given":"Kirk"},{"family":"Li","given":"Lilian Y."},{"family":"Lockner","given":"Jonathan W."},{"family":"Lou","given":"Jihong"},{"family":"Marra","given":"Michelle T."},{"family":"Mitchell","given":"Lennert J."},{"family":"Murray","given":"Brion W."},{"family":"Nieman","given":"James A."},{"family":"Noell","given":"Stephen"},{"family":"Planken","given":"Simon P."},{"family":"Rowe","given":"Thomas"},{"family":"Ryan","given":"Kevin"},{"family":"Smith","given":"George J."},{"family":"Solowiej","given":"James E."},{"family":"Steppan","given":"Claire M."},{"family":"Taggart","given":"Barbara"}],"issued":{"date-parts":[["2020",11,12]]}}}],"schema":"https://github.com/citation-style-language/schema/raw/master/csl-citation.json"} </w:instrText>
      </w:r>
      <w:r w:rsidRPr="0044257B">
        <w:fldChar w:fldCharType="separate"/>
      </w:r>
      <w:r w:rsidRPr="0044257B">
        <w:rPr>
          <w:rFonts w:cs="Times New Roman"/>
          <w:szCs w:val="24"/>
          <w:vertAlign w:val="superscript"/>
        </w:rPr>
        <w:t>40,64,89</w:t>
      </w:r>
      <w:r w:rsidRPr="0044257B">
        <w:fldChar w:fldCharType="end"/>
      </w:r>
      <w:r w:rsidRPr="0044257B">
        <w:t xml:space="preserve"> Covalent inhibitors sometimes pose the risk of unpredictable toxicity because of the reactive electrophilic moieties that make up the “warhead” functional group. Reactive warheads include Michael acceptors,</w:t>
      </w:r>
      <w:r w:rsidRPr="0044257B">
        <w:fldChar w:fldCharType="begin"/>
      </w:r>
      <w:r w:rsidRPr="0044257B">
        <w:instrText xml:space="preserve"> ADDIN ZOTERO_ITEM CSL_CITATION {"citationID":"PZk0kSiL","properties":{"formattedCitation":"\\super 90\\nosupersub{}","plainCitation":"90","noteIndex":0},"citationItems":[{"id":877,"uris":["http://zotero.org/users/6503767/items/PMMNGFRR"],"itemData":{"id":877,"type":"article-journal","abstract":"The viral proteases have proven to be the most selective and useful for removing the fusion tags in fusion protein expression systems. As a key enzyme in the viral life-cycle, the main protease (Mpro) is most attractive for drug design targeting the SARS coronavirus (SARS-CoV), the etiological agent responsible for the outbreak of severe acute respiratory syndrome (SARS) in 2003. In this study, SARS-CoV Mpro was used to specifically remove the GST tag in a new fusion protein expression system. We report a new method to produce wild-type (WT) SARS-CoV Mpro with authentic N and C termini, and compare the activity of WT protease with those of three different types of SARS-CoV Mpro with additional residues at the N or C terminus. Our results show that additional residues at the N terminus, but not at the C terminus, of Mpro are detrimental to enzyme activity. To explain this, the crystal structures of WT SARS-CoV Mpro and its complex with a Michael acceptor inhibitor were determined to 1.6 Å and 1.95 Å resolution respectively. These crystal structures reveal that the first residue of this protease is important for sustaining the substrate-binding pocket and inhibitor binding. This study suggests that SARS-CoV Mpro could serve as a new tag-cleavage endopeptidase for protein overproduction, and the WT SARS-CoV Mpro is more appropriate for mechanistic characterization and inhibitor design.","container-title":"Journal of Molecular Biology","DOI":"10.1016/j.jmb.2006.11.073","ISSN":"0022-2836","issue":"3","journalAbbreviation":"J Mol Biol","note":"PMID: 17189639\nPMCID: PMC7094453","page":"965-975","source":"PubMed Central","title":"Production of Authentic SARS-CoV Mpro with Enhanced Activity: Application as a Novel Tag-cleavage Endopeptidase for Protein Overproduction","title-short":"Production of Authentic SARS-CoV Mpro with Enhanced Activity","volume":"366","author":[{"family":"Xue","given":"Xiaoyu"},{"family":"Yang","given":"Haitao"},{"family":"Shen","given":"Wei"},{"family":"Zhao","given":"Qi"},{"family":"Li","given":"Jun"},{"family":"Yang","given":"Kailin"},{"family":"Chen","given":"Cheng"},{"family":"Jin","given":"Yinghua"},{"family":"Bartlam","given":"Mark"},{"family":"Rao","given":"Zihe"}],"issued":{"date-parts":[["2007",2,23]]}}}],"schema":"https://github.com/citation-style-language/schema/raw/master/csl-citation.json"} </w:instrText>
      </w:r>
      <w:r w:rsidRPr="0044257B">
        <w:fldChar w:fldCharType="separate"/>
      </w:r>
      <w:r w:rsidRPr="0044257B">
        <w:rPr>
          <w:rFonts w:cs="Times New Roman"/>
          <w:szCs w:val="24"/>
          <w:vertAlign w:val="superscript"/>
        </w:rPr>
        <w:t>90</w:t>
      </w:r>
      <w:r w:rsidRPr="0044257B">
        <w:fldChar w:fldCharType="end"/>
      </w:r>
      <w:r w:rsidRPr="0044257B">
        <w:t xml:space="preserve"> </w:t>
      </w:r>
      <w:r w:rsidRPr="0044257B">
        <w:rPr>
          <w:rFonts w:cs="Times New Roman"/>
        </w:rPr>
        <w:t>α</w:t>
      </w:r>
      <w:r w:rsidRPr="0044257B">
        <w:t>-ketoamides (boceprevir,</w:t>
      </w:r>
      <w:r w:rsidRPr="0044257B">
        <w:fldChar w:fldCharType="begin"/>
      </w:r>
      <w:r w:rsidRPr="0044257B">
        <w:instrText xml:space="preserve"> ADDIN ZOTERO_ITEM CSL_CITATION {"citationID":"gzVR7Skp","properties":{"formattedCitation":"\\super 68\\nosupersub{}","plainCitation":"68","noteIndex":0},"citationItems":[{"id":817,"uris":["http://zotero.org/users/6503767/items/WWZ7BXAR"],"itemData":{"id":817,"type":"article-journal","abstract":"A new coronavirus SARS-CoV-2, also called novel coronavirus 2019 (2019-nCoV), started to circulate among humans around December 2019, and it is now widespread as a global pandemic. The disease caused by SARS-CoV-2 virus is called COVID-19, which is highly contagious and has an overall mortality rate of 6.35% as of May 26, 2020. There is no vaccine or antiviral available for SARS-CoV-2. In this study, we report our discovery of inhibitors targeting the SARS-CoV-2 main protease (Mpro). Using the FRET-based enzymatic assay, several inhibitors including boceprevir, GC-376, and calpain inhibitors II, and XII were identified to have potent activity with single-digit to submicromolar IC50 values in the enzymatic assay. The mechanism of action of the hits was further characterized using enzyme kinetic studies, thermal shift binding assays, and native mass spectrometry. Significantly, four compounds (boceprevir, GC-376, calpain inhibitors II and XII) inhibit SARS-CoV-2 viral replication in cell culture with EC50 values ranging from 0.49 to 3.37 µM. Notably, boceprevir, calpain inhibitors II and XII represent novel chemotypes that are distinct from known substrate-based peptidomimetic Mpro inhibitors. A complex crystal structure of SARS-CoV-2 Mpro with GC-376, determined at 2.15 Å resolution with three protomers per asymmetric unit, revealed two unique binding configurations, shedding light on the molecular interactions and protein conformational flexibility underlying substrate and inhibitor binding by Mpro. Overall, the compounds identified herein provide promising starting points for the further development of SARS-CoV-2 therapeutics.","container-title":"Cell Research","DOI":"10.1038/s41422-020-0356-z","ISSN":"1748-7838","issue":"8","journalAbbreviation":"Cell Res","language":"en","note":"number: 8\npublisher: Nature Publishing Group","page":"678-692","source":"www-nature-com.ezproxy.lib.ou.edu","title":"Boceprevir, GC-376, and calpain inhibitors II, XII inhibit SARS-CoV-2 viral replication by targeting the viral main protease","volume":"30","author":[{"family":"Ma","given":"Chunlong"},{"family":"Sacco","given":"Michael Dominic"},{"family":"Hurst","given":"Brett"},{"family":"Townsend","given":"Julia Alma"},{"family":"Hu","given":"Yanmei"},{"family":"Szeto","given":"Tommy"},{"family":"Zhang","given":"Xiujun"},{"family":"Tarbet","given":"Bart"},{"family":"Marty","given":"Michael Thomas"},{"family":"Chen","given":"Yu"},{"family":"Wang","given":"Jun"}],"issued":{"date-parts":[["2020",8]]}}}],"schema":"https://github.com/citation-style-language/schema/raw/master/csl-citation.json"} </w:instrText>
      </w:r>
      <w:r w:rsidRPr="0044257B">
        <w:fldChar w:fldCharType="separate"/>
      </w:r>
      <w:r w:rsidRPr="0044257B">
        <w:rPr>
          <w:rFonts w:cs="Times New Roman"/>
          <w:szCs w:val="24"/>
          <w:vertAlign w:val="superscript"/>
        </w:rPr>
        <w:t>68</w:t>
      </w:r>
      <w:r w:rsidRPr="0044257B">
        <w:fldChar w:fldCharType="end"/>
      </w:r>
      <w:r w:rsidRPr="0044257B">
        <w:t xml:space="preserve"> or broad-spectrum inhibitors</w:t>
      </w:r>
      <w:r w:rsidRPr="0044257B">
        <w:fldChar w:fldCharType="begin"/>
      </w:r>
      <w:r w:rsidRPr="0044257B">
        <w:instrText xml:space="preserve"> ADDIN ZOTERO_ITEM CSL_CITATION {"citationID":"H3lphSfF","properties":{"formattedCitation":"\\super 74\\nosupersub{}","plainCitation":"74","noteIndex":0},"citationItems":[{"id":696,"uris":["http://zotero.org/users/6503767/items/CM4FCGW5"],"itemData":{"id":696,"type":"article-journal","abstract":"The coronavirus disease 2019 (COVID-19) pandemic caused by severe acute respiratory syndrome-coronavirus 2 (SARS-CoV-2) is a global health emergency. An attractive drug target among coronaviruses is the main protease (Mpro, also called 3CLpro) because of its essential role in processing the polyproteins that are translated from the viral RNA. We report the x-ray structures of the unliganded SARS-CoV-2 Mpro and its complex with an α-ketoamide inhibitor. This was derived from a previously designed inhibitor but with the P3-P2 amide bond incorporated into a pyridone ring to enhance the half-life of the compound in plasma. On the basis of the unliganded structure, we developed the lead compound into a potent inhibitor of the SARS-CoV-2 Mpro The pharmacokinetic characterization of the optimized inhibitor reveals a pronounced lung tropism and suitability for administration by the inhalative route.","container-title":"Science (New York, N.Y.)","DOI":"10.1126/science.abb3405","ISSN":"1095-9203","issue":"6489","journalAbbreviation":"Science","language":"eng","note":"PMID: 32198291\nPMCID: PMC7164518","page":"409-412","source":"PubMed","title":"Crystal structure of SARS-CoV-2 main protease provides a basis for design of improved α-ketoamide inhibitors","volume":"368","author":[{"family":"Zhang","given":"Linlin"},{"family":"Lin","given":"Daizong"},{"family":"Sun","given":"Xinyuanyuan"},{"family":"Curth","given":"Ute"},{"family":"Drosten","given":"Christian"},{"family":"Sauerhering","given":"Lucie"},{"family":"Becker","given":"Stephan"},{"family":"Rox","given":"Katharina"},{"family":"Hilgenfeld","given":"Rolf"}],"issued":{"date-parts":[["2020",4,24]]}}}],"schema":"https://github.com/citation-style-language/schema/raw/master/csl-citation.json"} </w:instrText>
      </w:r>
      <w:r w:rsidRPr="0044257B">
        <w:fldChar w:fldCharType="separate"/>
      </w:r>
      <w:r w:rsidRPr="0044257B">
        <w:rPr>
          <w:rFonts w:cs="Times New Roman"/>
          <w:szCs w:val="24"/>
          <w:vertAlign w:val="superscript"/>
        </w:rPr>
        <w:t>74</w:t>
      </w:r>
      <w:r w:rsidRPr="0044257B">
        <w:fldChar w:fldCharType="end"/>
      </w:r>
      <w:r w:rsidRPr="0044257B">
        <w:t>), thioacetals,</w:t>
      </w:r>
      <w:r w:rsidRPr="0044257B">
        <w:fldChar w:fldCharType="begin"/>
      </w:r>
      <w:r w:rsidRPr="0044257B">
        <w:instrText xml:space="preserve"> ADDIN ZOTERO_ITEM CSL_CITATION {"citationID":"68xpw9cO","properties":{"formattedCitation":"\\super 41\\nosupersub{}","plainCitation":"41","noteIndex":0},"citationItems":[{"id":12,"uris":["http://zotero.org/users/6503767/items/8YF6ZUBS"],"itemData":{"id":12,"type":"article-journal","container-title":"Drug Discovery Today","DOI":"10.1016/j.drudis.2020.01.015","ISSN":"13596446","journalAbbreviation":"Drug Discovery Today","language":"en","page":"S1359644620300416","source":"DOI.org (Crossref)","title":"Recent discovery and development of inhibitors targeting coronaviruses","author":[{"family":"Pillaiyar","given":"Thanigaimalai"},{"family":"Meenakshisundaram","given":"Sangeetha"},{"family":"Manickam","given":"Manoj"}],"issued":{"date-parts":[["2020",1]]}}}],"schema":"https://github.com/citation-style-language/schema/raw/master/csl-citation.json"} </w:instrText>
      </w:r>
      <w:r w:rsidRPr="0044257B">
        <w:fldChar w:fldCharType="separate"/>
      </w:r>
      <w:r w:rsidRPr="0044257B">
        <w:rPr>
          <w:rFonts w:cs="Times New Roman"/>
          <w:szCs w:val="24"/>
          <w:vertAlign w:val="superscript"/>
        </w:rPr>
        <w:t>41</w:t>
      </w:r>
      <w:r w:rsidRPr="0044257B">
        <w:fldChar w:fldCharType="end"/>
      </w:r>
      <w:r w:rsidRPr="0044257B">
        <w:t xml:space="preserve"> or nitriles.</w:t>
      </w:r>
      <w:r w:rsidRPr="0044257B">
        <w:fldChar w:fldCharType="begin"/>
      </w:r>
      <w:r w:rsidRPr="0044257B">
        <w:instrText xml:space="preserve"> ADDIN ZOTERO_ITEM CSL_CITATION {"citationID":"nQTyt5GY","properties":{"formattedCitation":"\\super 64\\nosupersub{}","plainCitation":"64","noteIndex":0},"citationItems":[{"id":848,"uris":["http://zotero.org/users/6503767/items/DSTZ67RQ"],"itemData":{"id":848,"type":"article-journal","container-title":"Science","DOI":"10.1126/science.abl4784","issue":"6575","note":"publisher: American Association for the Advancement of Science","page":"1586-1593","source":"www-science-org.ezproxy.lib.ou.edu (Atypon)","title":"An oral SARS-CoV-2 Mpro inhibitor clinical candidate for the treatment of COVID-19","volume":"374","author":[{"family":"Owen","given":"Dafydd R."},{"family":"Allerton","given":"Charlotte M. N."},{"family":"Anderson","given":"Annaliesa S."},{"family":"Aschenbrenner","given":"Lisa"},{"family":"Avery","given":"Melissa"},{"family":"Berritt","given":"Simon"},{"family":"Boras","given":"Britton"},{"family":"Cardin","given":"Rhonda D."},{"family":"Carlo","given":"Anthony"},{"family":"Coffman","given":"Karen J."},{"family":"Dantonio","given":"Alyssa"},{"family":"Di","given":"Li"},{"family":"Eng","given":"Heather"},{"family":"Ferre","given":"RoseAnn"},{"family":"Gajiwala","given":"Ketan S."},{"family":"Gibson","given":"Scott A."},{"family":"Greasley","given":"Samantha E."},{"family":"Hurst","given":"Brett L."},{"family":"Kadar","given":"Eugene P."},{"family":"Kalgutkar","given":"Amit S."},{"family":"Lee","given":"Jack C."},{"family":"Lee","given":"Jisun"},{"family":"Liu","given":"Wei"},{"family":"Mason","given":"Stephen W."},{"family":"Noell","given":"Stephen"},{"family":"Novak","given":"Jonathan J."},{"family":"Obach","given":"R. Scott"},{"family":"Ogilvie","given":"Kevin"},{"family":"Patel","given":"Nandini C."},{"family":"Pettersson","given":"Martin"},{"family":"Rai","given":"Devendra K."},{"family":"Reese","given":"Matthew R."},{"family":"Sammons","given":"Matthew F."},{"family":"Sathish","given":"Jean G."},{"family":"Singh","given":"Ravi Shankar P."},{"family":"Steppan","given":"Claire M."},{"family":"Stewart","given":"Al E."},{"family":"Tuttle","given":"Jamison B."},{"family":"Updyke","given":"Lawrence"},{"family":"Verhoest","given":"Patrick R."},{"family":"Wei","given":"Liuqing"},{"family":"Yang","given":"Qingyi"},{"family":"Zhu","given":"Yuao"}],"issued":{"date-parts":[["2021",12,24]]}}}],"schema":"https://github.com/citation-style-language/schema/raw/master/csl-citation.json"} </w:instrText>
      </w:r>
      <w:r w:rsidRPr="0044257B">
        <w:fldChar w:fldCharType="separate"/>
      </w:r>
      <w:r w:rsidRPr="0044257B">
        <w:rPr>
          <w:rFonts w:cs="Times New Roman"/>
          <w:szCs w:val="24"/>
          <w:vertAlign w:val="superscript"/>
        </w:rPr>
        <w:t>64</w:t>
      </w:r>
      <w:r w:rsidRPr="0044257B">
        <w:fldChar w:fldCharType="end"/>
      </w:r>
      <w:r w:rsidRPr="0044257B">
        <w:t xml:space="preserve"> Covalent inhibitors can be reversible, such as PF-0835231 and PF-7321332, or irreversible such as PF-0956378 (</w:t>
      </w:r>
      <w:r w:rsidR="00381C64" w:rsidRPr="00381C64">
        <w:rPr>
          <w:b/>
          <w:bCs/>
        </w:rPr>
        <w:fldChar w:fldCharType="begin"/>
      </w:r>
      <w:r w:rsidR="00381C64" w:rsidRPr="00381C64">
        <w:rPr>
          <w:b/>
          <w:bCs/>
        </w:rPr>
        <w:instrText xml:space="preserve"> REF _Ref100745530 \h  \* MERGEFORMAT </w:instrText>
      </w:r>
      <w:r w:rsidR="00381C64" w:rsidRPr="00381C64">
        <w:rPr>
          <w:b/>
          <w:bCs/>
        </w:rPr>
      </w:r>
      <w:r w:rsidR="00381C64" w:rsidRPr="00381C64">
        <w:rPr>
          <w:b/>
          <w:bCs/>
        </w:rPr>
        <w:fldChar w:fldCharType="separate"/>
      </w:r>
      <w:r w:rsidR="00AA5AAC" w:rsidRPr="00AA5AAC">
        <w:rPr>
          <w:b/>
          <w:bCs/>
        </w:rPr>
        <w:t>Figure 4.14</w:t>
      </w:r>
      <w:r w:rsidR="00381C64" w:rsidRPr="00381C64">
        <w:rPr>
          <w:b/>
          <w:bCs/>
        </w:rPr>
        <w:fldChar w:fldCharType="end"/>
      </w:r>
      <w:r w:rsidRPr="0044257B">
        <w:t>). For compound PF-7321332, the nitrile forms a reversible covalent thioimidate adduct with the nucleophilic Cys145. These structures were recently unveiled at the American Chemical Society (ACS) Spring 2021 meeting</w:t>
      </w:r>
      <w:r w:rsidRPr="0044257B">
        <w:fldChar w:fldCharType="begin"/>
      </w:r>
      <w:r w:rsidRPr="0044257B">
        <w:instrText xml:space="preserve"> ADDIN ZOTERO_ITEM CSL_CITATION {"citationID":"GroOqWZm","properties":{"formattedCitation":"\\super 91\\nosupersub{}","plainCitation":"91","noteIndex":0},"citationItems":[{"id":559,"uris":["http://zotero.org/users/6503767/items/Z5WDSCCN"],"itemData":{"id":559,"type":"webpage","abstract":"The antiviral candidate is the first orally administered compound to enter clinical trials that targets the virus&amp;#8217;s main protease","container-title":"Chemical &amp; Engineering News","language":"en","title":"Pfizer unveils its oral SARS-CoV-2 inhibitor","URL":"http://cen.acs.org/acs-news/acs-meeting-news/Pfizer-unveils-oral-SARS-CoV/99/i13","accessed":{"date-parts":[["2022",2,28]]}}}],"schema":"https://github.com/citation-style-language/schema/raw/master/csl-citation.json"} </w:instrText>
      </w:r>
      <w:r w:rsidRPr="0044257B">
        <w:fldChar w:fldCharType="separate"/>
      </w:r>
      <w:r w:rsidRPr="0044257B">
        <w:rPr>
          <w:rFonts w:cs="Times New Roman"/>
          <w:szCs w:val="24"/>
          <w:vertAlign w:val="superscript"/>
        </w:rPr>
        <w:t>91</w:t>
      </w:r>
      <w:r w:rsidRPr="0044257B">
        <w:fldChar w:fldCharType="end"/>
      </w:r>
      <w:r w:rsidRPr="0044257B">
        <w:t xml:space="preserve"> by Pfizer, an American multinational pharmaceutical and biotechnology corporation,</w:t>
      </w:r>
      <w:r w:rsidRPr="0044257B">
        <w:fldChar w:fldCharType="begin"/>
      </w:r>
      <w:r w:rsidRPr="0044257B">
        <w:instrText xml:space="preserve"> ADDIN ZOTERO_ITEM CSL_CITATION {"citationID":"qP0XvoJL","properties":{"formattedCitation":"\\super 92\\nosupersub{}","plainCitation":"92","noteIndex":0},"citationItems":[{"id":561,"uris":["http://zotero.org/users/6503767/items/XC6RN4AK"],"itemData":{"id":561,"type":"book","call-number":"F128.3 .E75 1995","event-place":"New Haven, Conn. : New York","ISBN":"978-0-300-05536-8","number-of-pages":"1350","publisher":"Yale University Press ; New-York Historical Society","publisher-place":"New Haven, Conn. : New York","source":"Library of Congress ISBN","title":"The encyclopedia of New York City","editor":[{"family":"Jackson","given":"Kenneth T."},{"family":"New-York Historical Society","given":""}],"issued":{"date-parts":[["1995"]]}}}],"schema":"https://github.com/citation-style-language/schema/raw/master/csl-citation.json"} </w:instrText>
      </w:r>
      <w:r w:rsidRPr="0044257B">
        <w:fldChar w:fldCharType="separate"/>
      </w:r>
      <w:r w:rsidRPr="0044257B">
        <w:rPr>
          <w:rFonts w:cs="Times New Roman"/>
          <w:szCs w:val="24"/>
          <w:vertAlign w:val="superscript"/>
        </w:rPr>
        <w:t>92</w:t>
      </w:r>
      <w:r w:rsidRPr="0044257B">
        <w:fldChar w:fldCharType="end"/>
      </w:r>
      <w:r w:rsidRPr="0044257B">
        <w:t xml:space="preserve"> The compound PF-7321332, also known as Nirmatrelvir,</w:t>
      </w:r>
      <w:r w:rsidRPr="0044257B">
        <w:fldChar w:fldCharType="begin"/>
      </w:r>
      <w:r w:rsidRPr="0044257B">
        <w:instrText xml:space="preserve"> ADDIN ZOTERO_ITEM CSL_CITATION {"citationID":"vqSAhrEl","properties":{"formattedCitation":"\\super 93\\nosupersub{}","plainCitation":"93","noteIndex":0},"citationItems":[{"id":883,"uris":["http://zotero.org/users/6503767/items/ZYFCKFKP"],"itemData":{"id":883,"type":"article-journal","abstract":"The novel coronavirus disease, caused by severe acute respiratory coronavirus 2 (SARS-CoV-2), rapidly spreading around the world, poses a major threat to the global public health. Herein, we demonstrated the binding mechanism of PF-07321332, α-ketoamide, lopinavir, and ritonavir to the coronavirus 3-chymotrypsin-like-protease (3CLpro) by means of docking and molecular dynamic (MD) simulations. The analysis of MD trajectories of 3CLpro with PF-07321332, α-ketoamide, lopinavir, and ritonavir revealed that 3CLpro–PF-07321332 and 3CLpro–α-ketoamide complexes remained stable compared with 3CLpro–ritonavir and 3CLpro–lopinavir. Investigating the dynamic behavior of ligand–protein interaction, ligands PF-07321332 and α-ketoamide showed stronger bonding via making interactions with catalytic dyad residues His41–Cys145 of 3CLpro. Lopinavir and ritonavir were unable to disrupt the catalytic dyad, as illustrated by increased bond length during the MD simulation. To decipher the ligand binding mode and affinity, ligand interactions with SARS-CoV-2 proteases and binding energy were calculated. The binding energy of the bespoke antiviral PF-07321332 clinical candidate was two times higher than that of α-ketoamide and three times than that of lopinavir and ritonavir. Our study elucidated in detail the binding mechanism of the potent PF-07321332 to 3CLpro along with the low potency of lopinavir and ritonavir due to weak binding affinity demonstrated by the binding energy data. This study will be helpful for the development and optimization of more specific compounds to combat coronavirus disease.","container-title":"International Journal of Molecular Sciences","DOI":"10.3390/ijms22179124","ISSN":"1422-0067","issue":"17","language":"en","note":"number: 17\npublisher: Multidisciplinary Digital Publishing Institute","page":"9124","source":"www.mdpi.com","title":"Exploring the Binding Mechanism of PF-07321332 SARS-CoV-2 Protease Inhibitor through Molecular Dynamics and Binding Free Energy Simulations","volume":"22","author":[{"family":"Ahmad","given":"Bilal"},{"family":"Batool","given":"Maria"},{"family":"Ain","given":"Qurat","dropping-particle":"ul"},{"family":"Kim","given":"Moon Suk"},{"family":"Choi","given":"Sangdun"}],"issued":{"date-parts":[["2021",1]]}}}],"schema":"https://github.com/citation-style-language/schema/raw/master/csl-citation.json"} </w:instrText>
      </w:r>
      <w:r w:rsidRPr="0044257B">
        <w:fldChar w:fldCharType="separate"/>
      </w:r>
      <w:r w:rsidRPr="0044257B">
        <w:rPr>
          <w:rFonts w:cs="Times New Roman"/>
          <w:szCs w:val="24"/>
          <w:vertAlign w:val="superscript"/>
        </w:rPr>
        <w:t>93</w:t>
      </w:r>
      <w:r w:rsidRPr="0044257B">
        <w:fldChar w:fldCharType="end"/>
      </w:r>
      <w:r w:rsidRPr="0044257B">
        <w:t xml:space="preserve"> can be orally administered, has good selectivity and safety profile, and protects against infection in a mouse </w:t>
      </w:r>
      <w:r w:rsidRPr="0044257B">
        <w:lastRenderedPageBreak/>
        <w:t>model.</w:t>
      </w:r>
      <w:r w:rsidRPr="0044257B">
        <w:fldChar w:fldCharType="begin"/>
      </w:r>
      <w:r w:rsidRPr="0044257B">
        <w:instrText xml:space="preserve"> ADDIN ZOTERO_ITEM CSL_CITATION {"citationID":"pFmetRr8","properties":{"formattedCitation":"\\super 94\\nosupersub{}","plainCitation":"94","noteIndex":0},"citationItems":[{"id":886,"uris":["http://zotero.org/users/6503767/items/MZK5ISQA"],"itemData":{"id":886,"type":"article-journal","abstract":"The SARS-CoV-2 pandemic has caused extreme human suffering and economic harm. We generated and characterized a new mouse-adapted SARS-CoV-2 virus that captures multiple aspects of severe COVID-19 disease in standard laboratory mice. This SARS-CoV-2 model exhibits the spectrum of morbidity and mortality of COVID-19 disease as well as aspects of host genetics, age, cellular tropisms, elevated Th1 cytokines, and loss of surfactant expression and pulmonary function linked to pathological features of acute lung injury (ALI) and acute respiratory distress syndrome (ARDS). This model can rapidly access existing mouse resources to elucidate the role of host genetics, underlying molecular mechanisms governing SARS-CoV-2 pathogenesis, and the protective or pathogenic immune responses related to disease severity. The model promises to provide a robust platform for studies of ALI and ARDS to evaluate vaccine and antiviral drug performance, including in the most vulnerable populations (i.e., the aged) using standard laboratory mice.","container-title":"Cell","DOI":"10.1016/j.cell.2020.09.050","ISSN":"1097-4172","issue":"4","journalAbbreviation":"Cell","language":"eng","note":"PMID: 33031744\nPMCID: PMC7510428","page":"1070-1085.e12","source":"PubMed","title":"A Mouse-Adapted SARS-CoV-2 Induces Acute Lung Injury and Mortality in Standard Laboratory Mice","volume":"183","author":[{"family":"Leist","given":"Sarah R."},{"family":"Dinnon","given":"Kenneth H."},{"family":"Schäfer","given":"Alexandra"},{"family":"Tse","given":"Longping V."},{"family":"Okuda","given":"Kenichi"},{"family":"Hou","given":"Yixuan J."},{"family":"West","given":"Ande"},{"family":"Edwards","given":"Caitlin E."},{"family":"Sanders","given":"Wes"},{"family":"Fritch","given":"Ethan J."},{"family":"Gully","given":"Kendra L."},{"family":"Scobey","given":"Trevor"},{"family":"Brown","given":"Ariane J."},{"family":"Sheahan","given":"Timothy P."},{"family":"Moorman","given":"Nathaniel J."},{"family":"Boucher","given":"Richard C."},{"family":"Gralinski","given":"Lisa E."},{"family":"Montgomery","given":"Stephanie A."},{"family":"Baric","given":"Ralph S."}],"issued":{"date-parts":[["2020",11,12]]}}}],"schema":"https://github.com/citation-style-language/schema/raw/master/csl-citation.json"} </w:instrText>
      </w:r>
      <w:r w:rsidRPr="0044257B">
        <w:fldChar w:fldCharType="separate"/>
      </w:r>
      <w:r w:rsidRPr="0044257B">
        <w:rPr>
          <w:rFonts w:cs="Times New Roman"/>
          <w:szCs w:val="24"/>
          <w:vertAlign w:val="superscript"/>
        </w:rPr>
        <w:t>94</w:t>
      </w:r>
      <w:r w:rsidRPr="0044257B">
        <w:fldChar w:fldCharType="end"/>
      </w:r>
      <w:r w:rsidRPr="0044257B">
        <w:t xml:space="preserve"> The covalent </w:t>
      </w:r>
      <w:proofErr w:type="spellStart"/>
      <w:r w:rsidRPr="0044257B">
        <w:t>M</w:t>
      </w:r>
      <w:r w:rsidRPr="0044257B">
        <w:rPr>
          <w:vertAlign w:val="superscript"/>
        </w:rPr>
        <w:t>pro</w:t>
      </w:r>
      <w:proofErr w:type="spellEnd"/>
      <w:r w:rsidRPr="0044257B">
        <w:t xml:space="preserve"> inhibitor is currently in Phase 1 clinical trials, and it is the first orally administered compound in the clinic that targets </w:t>
      </w:r>
      <w:proofErr w:type="spellStart"/>
      <w:r w:rsidRPr="0044257B">
        <w:t>M</w:t>
      </w:r>
      <w:r w:rsidRPr="0044257B">
        <w:rPr>
          <w:vertAlign w:val="superscript"/>
        </w:rPr>
        <w:t>pro</w:t>
      </w:r>
      <w:proofErr w:type="spellEnd"/>
      <w:r w:rsidRPr="0044257B">
        <w:t xml:space="preserve">. </w:t>
      </w:r>
      <w:r w:rsidR="000102A0">
        <w:t>This has also been approved for emergency use by the FDA.</w:t>
      </w:r>
    </w:p>
    <w:p w14:paraId="273A52FE" w14:textId="544474F8" w:rsidR="003A5764" w:rsidRDefault="0044257B" w:rsidP="0044257B">
      <w:pPr>
        <w:spacing w:after="0"/>
        <w:ind w:firstLine="720"/>
      </w:pPr>
      <w:r w:rsidRPr="0044257B">
        <w:t xml:space="preserve">When the opportunity was presented to contribute to the </w:t>
      </w:r>
      <w:r w:rsidR="003A5764">
        <w:t xml:space="preserve">effort towards discovering new antivirals effective against SARS-CoV-2, we felt compelled to contribute. </w:t>
      </w:r>
      <w:r w:rsidRPr="0044257B">
        <w:t xml:space="preserve">We </w:t>
      </w:r>
      <w:r w:rsidR="003A5764">
        <w:t>chose to pursue</w:t>
      </w:r>
      <w:r w:rsidRPr="0044257B">
        <w:t xml:space="preserve"> the design and development of SARS-CoV-2 main protease inhibitors</w:t>
      </w:r>
      <w:r w:rsidR="003A5764">
        <w:t xml:space="preserve">. </w:t>
      </w:r>
      <w:r w:rsidRPr="0044257B">
        <w:t xml:space="preserve">After exploring the </w:t>
      </w:r>
      <w:proofErr w:type="spellStart"/>
      <w:r w:rsidRPr="0044257B">
        <w:t>M</w:t>
      </w:r>
      <w:r w:rsidRPr="0044257B">
        <w:rPr>
          <w:vertAlign w:val="superscript"/>
        </w:rPr>
        <w:t>pro</w:t>
      </w:r>
      <w:proofErr w:type="spellEnd"/>
      <w:r w:rsidRPr="0044257B">
        <w:t xml:space="preserve"> active site computationally, investigating new chemotypes, and evaluating some peptidomimetic compounds for protease activity, we </w:t>
      </w:r>
      <w:r w:rsidR="003A5764">
        <w:t xml:space="preserve">have experimentally validated a peptidomimetic </w:t>
      </w:r>
      <w:proofErr w:type="spellStart"/>
      <w:r w:rsidR="003A5764" w:rsidRPr="0044257B">
        <w:t>M</w:t>
      </w:r>
      <w:r w:rsidR="003A5764" w:rsidRPr="0044257B">
        <w:rPr>
          <w:vertAlign w:val="superscript"/>
        </w:rPr>
        <w:t>pro</w:t>
      </w:r>
      <w:proofErr w:type="spellEnd"/>
      <w:r w:rsidR="003A5764">
        <w:rPr>
          <w:vertAlign w:val="superscript"/>
        </w:rPr>
        <w:t xml:space="preserve"> </w:t>
      </w:r>
      <w:r w:rsidR="003A5764" w:rsidRPr="003A5764">
        <w:t>inhibitory chemotype and have set the stage for the continued evolution of this scaffold.</w:t>
      </w:r>
    </w:p>
    <w:p w14:paraId="33DFB210" w14:textId="77777777" w:rsidR="0044257B" w:rsidRPr="0044257B" w:rsidRDefault="0044257B" w:rsidP="003A5764">
      <w:pPr>
        <w:spacing w:after="0"/>
      </w:pPr>
    </w:p>
    <w:p w14:paraId="27BED2F3" w14:textId="13BE6719" w:rsidR="0044257B" w:rsidRPr="0044257B" w:rsidRDefault="0044257B" w:rsidP="00A95EA4">
      <w:pPr>
        <w:pStyle w:val="Section"/>
      </w:pPr>
      <w:bookmarkStart w:id="572" w:name="_Toc102586303"/>
      <w:r w:rsidRPr="0044257B">
        <w:t>4.4 Perspective</w:t>
      </w:r>
      <w:bookmarkEnd w:id="572"/>
    </w:p>
    <w:p w14:paraId="5EAF8486" w14:textId="08FFDF54" w:rsidR="0044257B" w:rsidRPr="0044257B" w:rsidRDefault="0044257B" w:rsidP="0044257B">
      <w:r w:rsidRPr="0044257B">
        <w:tab/>
        <w:t xml:space="preserve">The idea for this project arose when my roommate, Mr. Quentin Avila, and I were sitting at home contemplating the COVID-19 pandemic and corresponding country-wide lockdown that started in March 2020. At first, we were genuinely curious to learn more about the SARS-CoV-2 virus, especially its transmission and what kind of procedures we should follow to stay safe. Eventually, after weeks of lockdown amounted to an unfortunate lack of research productivity, we were hyper aware of the delay that the pandemic was causing to our graduation </w:t>
      </w:r>
      <w:r w:rsidR="003A5764">
        <w:t>studies and research productivity</w:t>
      </w:r>
      <w:r w:rsidRPr="0044257B">
        <w:t xml:space="preserve">. Consequently, when the OU OVPRP provided an opportunity for researchers to join the fight against COVID-19, Mr. Avila and I worked together to not only teach ourselves </w:t>
      </w:r>
      <w:r w:rsidR="003A5764">
        <w:t xml:space="preserve">basic </w:t>
      </w:r>
      <w:r w:rsidRPr="0044257B">
        <w:t xml:space="preserve">virology but also to identify an approach to translate our lab’s </w:t>
      </w:r>
      <w:r w:rsidR="003A5764">
        <w:t>expertise</w:t>
      </w:r>
      <w:r w:rsidRPr="0044257B">
        <w:t xml:space="preserve"> into an anti-coronavirus medicinal chemistry project, all in a single week. We were happily surprised when we found that our efforts resulted in being awarded the COVID-19 Rapid Response Seed Grant. We were proud </w:t>
      </w:r>
      <w:r w:rsidRPr="0044257B">
        <w:lastRenderedPageBreak/>
        <w:t xml:space="preserve">to say we were contributing to the global effort in finding SARS-CoV-2 treatments, and we were also excited to be allowed back into the laboratory. </w:t>
      </w:r>
    </w:p>
    <w:p w14:paraId="0E7BF721" w14:textId="1A2E18F5" w:rsidR="0044257B" w:rsidRPr="0044257B" w:rsidRDefault="0044257B" w:rsidP="0044257B">
      <w:r w:rsidRPr="0044257B">
        <w:tab/>
        <w:t>The grant provided funding and was written for a six-month project. Thankfully, our lab mate, Ms. Katelyn Stevens, volunteered to help us. It was surreal to be the only three graduate students present in our research building, especially in addition to the extreme precautions we were taking in order to limit exposure and possible spread of the virus. The entire situation was surreal,</w:t>
      </w:r>
      <w:r w:rsidR="003A5764">
        <w:t xml:space="preserve"> </w:t>
      </w:r>
      <w:r w:rsidRPr="0044257B">
        <w:t xml:space="preserve">as the COVID-19 pandemic surmounted to the monumental and most pivotal event of our generation. Family members started getting sick, lives were being lost all around us, and for a moment, we were unsure if the pandemic was ever going to end. On the other hand, research labs all over the world were working towards a common goal. We were all united against a common enemy, but that did not negate the competition. It usually takes 10 – 15 years for a new molecular entity to go from research and development to clinical trials, but Pfizer discovered a SARS-CoV-2 </w:t>
      </w:r>
      <w:proofErr w:type="spellStart"/>
      <w:r w:rsidRPr="0044257B">
        <w:t>M</w:t>
      </w:r>
      <w:r w:rsidRPr="0044257B">
        <w:rPr>
          <w:vertAlign w:val="superscript"/>
        </w:rPr>
        <w:t>pro</w:t>
      </w:r>
      <w:proofErr w:type="spellEnd"/>
      <w:r w:rsidRPr="0044257B">
        <w:t xml:space="preserve"> inhibitor that gained emergency use authorization from the FDA in less than two years, a truly astonishing feat. </w:t>
      </w:r>
    </w:p>
    <w:p w14:paraId="44C4566C" w14:textId="43579D21" w:rsidR="0044257B" w:rsidRPr="0044257B" w:rsidRDefault="0044257B" w:rsidP="0044257B">
      <w:r w:rsidRPr="0044257B">
        <w:tab/>
        <w:t xml:space="preserve">Thus, while I might have found a few compounds that were active against </w:t>
      </w:r>
      <w:proofErr w:type="spellStart"/>
      <w:r w:rsidRPr="0044257B">
        <w:t>M</w:t>
      </w:r>
      <w:r w:rsidRPr="0044257B">
        <w:rPr>
          <w:vertAlign w:val="superscript"/>
        </w:rPr>
        <w:t>pro</w:t>
      </w:r>
      <w:proofErr w:type="spellEnd"/>
      <w:r w:rsidRPr="0044257B">
        <w:t xml:space="preserve">, even with improved activity compared to the controls, our control (ML188) is leagues behind the compounds that bigger pharmaceutical companies have found since the start of this project. I am still proud, however, to say that while Quentin and I sifted through the vast amount of coronavirus literature that existed in early 2020, we came to the </w:t>
      </w:r>
      <w:r w:rsidR="003A5764">
        <w:t>same</w:t>
      </w:r>
      <w:r w:rsidRPr="0044257B">
        <w:t xml:space="preserve"> conclusion as</w:t>
      </w:r>
      <w:r w:rsidR="003A5764">
        <w:t xml:space="preserve"> a leading pharmaceutical company as</w:t>
      </w:r>
      <w:r w:rsidRPr="0044257B">
        <w:t xml:space="preserve"> to which coronavirus protein made the best drug target. This project also served to be an exercise in implementing all that we have learned while in graduate school. We fabricated an idea to solve a very pertinent global problem, were awarded funding to pursue such an idea, executed </w:t>
      </w:r>
      <w:r w:rsidRPr="0044257B">
        <w:lastRenderedPageBreak/>
        <w:t xml:space="preserve">experiments to test our hypotheses, and </w:t>
      </w:r>
      <w:proofErr w:type="gramStart"/>
      <w:r w:rsidRPr="0044257B">
        <w:t>came to a conclusion</w:t>
      </w:r>
      <w:proofErr w:type="gramEnd"/>
      <w:r w:rsidRPr="0044257B">
        <w:t xml:space="preserve"> that coincides with the current state of the art. </w:t>
      </w:r>
    </w:p>
    <w:p w14:paraId="3B34583C" w14:textId="77777777" w:rsidR="0044257B" w:rsidRPr="0044257B" w:rsidRDefault="0044257B" w:rsidP="0044257B"/>
    <w:p w14:paraId="6229B7F5" w14:textId="77777777" w:rsidR="0044257B" w:rsidRPr="0044257B" w:rsidRDefault="0044257B" w:rsidP="00A95EA4">
      <w:pPr>
        <w:pStyle w:val="Section"/>
      </w:pPr>
      <w:bookmarkStart w:id="573" w:name="_Toc100241940"/>
      <w:bookmarkStart w:id="574" w:name="_Toc102586304"/>
      <w:r w:rsidRPr="0044257B">
        <w:t>4.5 Experimental</w:t>
      </w:r>
      <w:bookmarkEnd w:id="573"/>
      <w:bookmarkEnd w:id="574"/>
    </w:p>
    <w:p w14:paraId="75831AC0" w14:textId="77777777" w:rsidR="0044257B" w:rsidRPr="0044257B" w:rsidRDefault="0044257B" w:rsidP="00A95EA4">
      <w:pPr>
        <w:pStyle w:val="Subsection"/>
      </w:pPr>
      <w:bookmarkStart w:id="575" w:name="_Toc100241941"/>
      <w:bookmarkStart w:id="576" w:name="_Toc102586305"/>
      <w:r w:rsidRPr="0044257B">
        <w:t>4.5.1 General chemistry methods.</w:t>
      </w:r>
      <w:bookmarkEnd w:id="575"/>
      <w:bookmarkEnd w:id="576"/>
    </w:p>
    <w:p w14:paraId="41A63568" w14:textId="77777777" w:rsidR="0044257B" w:rsidRPr="0044257B" w:rsidRDefault="0044257B" w:rsidP="0044257B">
      <w:pPr>
        <w:spacing w:after="0"/>
        <w:ind w:firstLine="720"/>
        <w:rPr>
          <w:rFonts w:cs="Times New Roman"/>
          <w:szCs w:val="24"/>
        </w:rPr>
      </w:pPr>
      <w:r w:rsidRPr="0044257B">
        <w:rPr>
          <w:rFonts w:cs="Times New Roman"/>
          <w:szCs w:val="24"/>
        </w:rPr>
        <w:t xml:space="preserve">All commercial reagents were used without further purification. Distilled water was used for all water necessities in synthetic procedures (e.g., reagent, solvent, work-up). Flash column chromatography was performed with silica gel 60. Thin layer chromatography (TLC) analyses were completed with EMD Millipore silica gel coated (250 µM) F254 glass plates and visualized with UV light. NMR samples were prepared in 5 mm tubes with 0.6 mL deuterated solvent. NMR data were all collected on a 300, 400, or 500 MHz (specified below) Varian VNMRS Direct Drive spectrometer equipped with an indirect detection probe. Data was collected at 25 </w:t>
      </w:r>
      <w:proofErr w:type="spellStart"/>
      <w:r w:rsidRPr="0044257B">
        <w:rPr>
          <w:rFonts w:cs="Times New Roman"/>
          <w:szCs w:val="24"/>
          <w:vertAlign w:val="superscript"/>
        </w:rPr>
        <w:t>o</w:t>
      </w:r>
      <w:r w:rsidRPr="0044257B">
        <w:rPr>
          <w:rFonts w:cs="Times New Roman"/>
          <w:szCs w:val="24"/>
        </w:rPr>
        <w:t>C</w:t>
      </w:r>
      <w:proofErr w:type="spellEnd"/>
      <w:r w:rsidRPr="0044257B">
        <w:rPr>
          <w:rFonts w:cs="Times New Roman"/>
          <w:szCs w:val="24"/>
        </w:rPr>
        <w:t xml:space="preserve"> unless otherwise indicated. Pulse sequences were used as supplied by Varian VNMRJ 4.2 software. All NMR data was processed in </w:t>
      </w:r>
      <w:proofErr w:type="spellStart"/>
      <w:r w:rsidRPr="0044257B">
        <w:rPr>
          <w:rFonts w:cs="Times New Roman"/>
          <w:szCs w:val="24"/>
        </w:rPr>
        <w:t>MestreNova</w:t>
      </w:r>
      <w:proofErr w:type="spellEnd"/>
      <w:r w:rsidRPr="0044257B">
        <w:rPr>
          <w:rFonts w:cs="Times New Roman"/>
          <w:szCs w:val="24"/>
        </w:rPr>
        <w:t xml:space="preserve"> v10. Peak positions are reported after reference centering on deuterated solvent of relevance.</w:t>
      </w:r>
    </w:p>
    <w:p w14:paraId="205BA1C9" w14:textId="77777777" w:rsidR="0044257B" w:rsidRPr="0044257B" w:rsidRDefault="0044257B" w:rsidP="00A95EA4">
      <w:pPr>
        <w:pStyle w:val="Subsection"/>
      </w:pPr>
      <w:bookmarkStart w:id="577" w:name="_Toc100241942"/>
      <w:bookmarkStart w:id="578" w:name="_Toc102586306"/>
      <w:r w:rsidRPr="0044257B">
        <w:t>4.5.2 Synthetic procedures.</w:t>
      </w:r>
      <w:bookmarkEnd w:id="577"/>
      <w:bookmarkEnd w:id="578"/>
    </w:p>
    <w:p w14:paraId="765A6F09" w14:textId="77777777" w:rsidR="0044257B" w:rsidRPr="0044257B" w:rsidRDefault="0044257B" w:rsidP="0044257B">
      <w:pPr>
        <w:rPr>
          <w:b/>
          <w:bCs/>
        </w:rPr>
      </w:pPr>
      <w:r w:rsidRPr="0044257B">
        <w:rPr>
          <w:noProof/>
        </w:rPr>
        <mc:AlternateContent>
          <mc:Choice Requires="wps">
            <w:drawing>
              <wp:inline distT="0" distB="0" distL="0" distR="0" wp14:anchorId="61EED851" wp14:editId="22ED8946">
                <wp:extent cx="5943600" cy="1781092"/>
                <wp:effectExtent l="0" t="0" r="19050" b="10160"/>
                <wp:docPr id="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81092"/>
                        </a:xfrm>
                        <a:prstGeom prst="rect">
                          <a:avLst/>
                        </a:prstGeom>
                        <a:solidFill>
                          <a:srgbClr val="FFFFFF"/>
                        </a:solidFill>
                        <a:ln w="9525">
                          <a:solidFill>
                            <a:srgbClr val="000000"/>
                          </a:solidFill>
                          <a:miter lim="800000"/>
                          <a:headEnd/>
                          <a:tailEnd/>
                        </a:ln>
                      </wps:spPr>
                      <wps:txbx>
                        <w:txbxContent>
                          <w:p w14:paraId="3894C632" w14:textId="77777777" w:rsidR="0044257B" w:rsidRDefault="0044257B" w:rsidP="0044257B">
                            <w:pPr>
                              <w:keepNext/>
                              <w:spacing w:after="0"/>
                              <w:jc w:val="center"/>
                            </w:pPr>
                            <w:r>
                              <w:rPr>
                                <w:b/>
                              </w:rPr>
                              <w:object w:dxaOrig="8146" w:dyaOrig="1514" w14:anchorId="1632DEA9">
                                <v:shape id="_x0000_i1151" type="#_x0000_t75" style="width:407.7pt;height:76.2pt">
                                  <v:imagedata r:id="rId415" o:title=""/>
                                </v:shape>
                                <o:OLEObject Type="Embed" ProgID="ChemDraw.Document.6.0" ShapeID="_x0000_i1151" DrawAspect="Content" ObjectID="_1713353533" r:id="rId427"/>
                              </w:object>
                            </w:r>
                          </w:p>
                          <w:p w14:paraId="3E844CF9" w14:textId="44575BF5" w:rsidR="0044257B" w:rsidRDefault="0044257B" w:rsidP="00DF51F5">
                            <w:pPr>
                              <w:pStyle w:val="Caption"/>
                            </w:pPr>
                            <w:r>
                              <w:t>Scheme 4.</w:t>
                            </w:r>
                            <w:fldSimple w:instr=" SEQ Scheme \* ARABIC ">
                              <w:r w:rsidR="00AA5AAC">
                                <w:rPr>
                                  <w:noProof/>
                                </w:rPr>
                                <w:t>3</w:t>
                              </w:r>
                            </w:fldSimple>
                            <w:r>
                              <w:t>. Generic Ugi coupling reaction.</w:t>
                            </w:r>
                          </w:p>
                          <w:p w14:paraId="7489BA01" w14:textId="77777777" w:rsidR="0044257B" w:rsidRPr="00A032F3" w:rsidRDefault="0044257B" w:rsidP="0044257B">
                            <w:r>
                              <w:t xml:space="preserve">Reagents and conditions: (a) methanol, 23 </w:t>
                            </w:r>
                            <w:r>
                              <w:rPr>
                                <w:rFonts w:cs="Times New Roman"/>
                              </w:rPr>
                              <w:t>̊</w:t>
                            </w:r>
                            <w:r>
                              <w:t>C, 16 h.</w:t>
                            </w:r>
                          </w:p>
                          <w:p w14:paraId="62B1B87D" w14:textId="77777777" w:rsidR="0044257B" w:rsidRDefault="0044257B" w:rsidP="0044257B"/>
                        </w:txbxContent>
                      </wps:txbx>
                      <wps:bodyPr rot="0" vert="horz" wrap="square" lIns="91440" tIns="45720" rIns="91440" bIns="45720" anchor="t" anchorCtr="0">
                        <a:noAutofit/>
                      </wps:bodyPr>
                    </wps:wsp>
                  </a:graphicData>
                </a:graphic>
              </wp:inline>
            </w:drawing>
          </mc:Choice>
          <mc:Fallback>
            <w:pict>
              <v:shape w14:anchorId="61EED851" id="_x0000_s1142" type="#_x0000_t202" style="width:468pt;height:1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">
                <v:textbox>
                  <w:txbxContent>
                    <w:p w14:paraId="3894C632" w14:textId="77777777" w:rsidR="0044257B" w:rsidRDefault="0044257B" w:rsidP="0044257B">
                      <w:pPr>
                        <w:keepNext/>
                        <w:spacing w:after="0"/>
                        <w:jc w:val="center"/>
                      </w:pPr>
                      <w:r>
                        <w:rPr>
                          <w:b/>
                        </w:rPr>
                        <w:object w:dxaOrig="8146" w:dyaOrig="1514" w14:anchorId="1632DEA9">
                          <v:shape id="_x0000_i1151" type="#_x0000_t75" style="width:407.7pt;height:76.2pt">
                            <v:imagedata r:id="rId415" o:title=""/>
                          </v:shape>
                          <o:OLEObject Type="Embed" ProgID="ChemDraw.Document.6.0" ShapeID="_x0000_i1151" DrawAspect="Content" ObjectID="_1713353533" r:id="rId428"/>
                        </w:object>
                      </w:r>
                    </w:p>
                    <w:p w14:paraId="3E844CF9" w14:textId="44575BF5" w:rsidR="0044257B" w:rsidRDefault="0044257B" w:rsidP="00DF51F5">
                      <w:pPr>
                        <w:pStyle w:val="Caption"/>
                      </w:pPr>
                      <w:r>
                        <w:t>Scheme 4.</w:t>
                      </w:r>
                      <w:fldSimple w:instr=" SEQ Scheme \* ARABIC ">
                        <w:r w:rsidR="00AA5AAC">
                          <w:rPr>
                            <w:noProof/>
                          </w:rPr>
                          <w:t>3</w:t>
                        </w:r>
                      </w:fldSimple>
                      <w:r>
                        <w:t>. Generic Ugi coupling reaction.</w:t>
                      </w:r>
                    </w:p>
                    <w:p w14:paraId="7489BA01" w14:textId="77777777" w:rsidR="0044257B" w:rsidRPr="00A032F3" w:rsidRDefault="0044257B" w:rsidP="0044257B">
                      <w:r>
                        <w:t xml:space="preserve">Reagents and conditions: (a) methanol, 23 </w:t>
                      </w:r>
                      <w:r>
                        <w:rPr>
                          <w:rFonts w:cs="Times New Roman"/>
                        </w:rPr>
                        <w:t>̊</w:t>
                      </w:r>
                      <w:r>
                        <w:t>C, 16 h.</w:t>
                      </w:r>
                    </w:p>
                    <w:p w14:paraId="62B1B87D" w14:textId="77777777" w:rsidR="0044257B" w:rsidRDefault="0044257B" w:rsidP="0044257B"/>
                  </w:txbxContent>
                </v:textbox>
                <w10:anchorlock/>
              </v:shape>
            </w:pict>
          </mc:Fallback>
        </mc:AlternateContent>
      </w:r>
    </w:p>
    <w:p w14:paraId="0662B65E" w14:textId="77777777" w:rsidR="0044257B" w:rsidRPr="0044257B" w:rsidRDefault="0044257B" w:rsidP="0044257B">
      <w:pPr>
        <w:ind w:firstLine="720"/>
      </w:pPr>
      <w:r w:rsidRPr="0044257B">
        <w:rPr>
          <w:b/>
          <w:bCs/>
        </w:rPr>
        <w:lastRenderedPageBreak/>
        <w:t>General procedure for Ugi coupling reaction.</w:t>
      </w:r>
      <w:r w:rsidRPr="0044257B">
        <w:t xml:space="preserve"> </w:t>
      </w:r>
      <w:proofErr w:type="spellStart"/>
      <w:r w:rsidRPr="0044257B">
        <w:t>Nicotinaldehyde</w:t>
      </w:r>
      <w:proofErr w:type="spellEnd"/>
      <w:r w:rsidRPr="0044257B">
        <w:t xml:space="preserve"> </w:t>
      </w:r>
      <w:r w:rsidRPr="0044257B">
        <w:rPr>
          <w:b/>
          <w:bCs/>
        </w:rPr>
        <w:t>A</w:t>
      </w:r>
      <w:r w:rsidRPr="0044257B">
        <w:t xml:space="preserve"> (0.32 mmol), acid </w:t>
      </w:r>
      <w:r w:rsidRPr="0044257B">
        <w:rPr>
          <w:b/>
          <w:bCs/>
        </w:rPr>
        <w:t>D</w:t>
      </w:r>
      <w:r w:rsidRPr="0044257B">
        <w:t xml:space="preserve"> (0.32 mmol), and amine </w:t>
      </w:r>
      <w:r w:rsidRPr="0044257B">
        <w:rPr>
          <w:b/>
          <w:bCs/>
        </w:rPr>
        <w:t>C</w:t>
      </w:r>
      <w:r w:rsidRPr="0044257B">
        <w:t xml:space="preserve"> (0.32 mmol) were dissolved in dry methanol (1.5 mL) at room temperature (23 </w:t>
      </w:r>
      <w:r w:rsidRPr="0044257B">
        <w:rPr>
          <w:rFonts w:cs="Times New Roman"/>
        </w:rPr>
        <w:t>̊</w:t>
      </w:r>
      <w:r w:rsidRPr="0044257B">
        <w:t xml:space="preserve">C) under nitrogen atmosphere. Then isocyanide </w:t>
      </w:r>
      <w:r w:rsidRPr="0044257B">
        <w:rPr>
          <w:b/>
          <w:bCs/>
        </w:rPr>
        <w:t>B</w:t>
      </w:r>
      <w:r w:rsidRPr="0044257B">
        <w:t xml:space="preserve"> (0.32 mmol) was added. The reaction stirred at room temperature overnight and reaction progress was monitored by TLC. When consumption of the aldehyde was seen by TLC, solvent was removed under vacuum to afford product mixture as an amorphous solid or crude oil, depending on compound. The crude product was dissolved in dichloromethane and purified by flash chromatography (SiO</w:t>
      </w:r>
      <w:r w:rsidRPr="0044257B">
        <w:rPr>
          <w:vertAlign w:val="subscript"/>
        </w:rPr>
        <w:t>2</w:t>
      </w:r>
      <w:r w:rsidRPr="0044257B">
        <w:t xml:space="preserve">) using ethyl acetate/hexanes eluents basified with 1% triethylamine. Pure fractions were pooled and concentrated in vacuo to afford Ugi compounds listed below. </w:t>
      </w:r>
    </w:p>
    <w:p w14:paraId="13FADEA3" w14:textId="77777777" w:rsidR="0044257B" w:rsidRPr="0044257B" w:rsidRDefault="0044257B" w:rsidP="0044257B">
      <w:pPr>
        <w:ind w:firstLine="720"/>
      </w:pPr>
      <w:r w:rsidRPr="0044257B">
        <w:rPr>
          <w:b/>
          <w:bCs/>
        </w:rPr>
        <w:t>N-(2-(cyclohexylamino)-2-oxo-1-(pyridin-3-</w:t>
      </w:r>
      <w:proofErr w:type="gramStart"/>
      <w:r w:rsidRPr="0044257B">
        <w:rPr>
          <w:b/>
          <w:bCs/>
        </w:rPr>
        <w:t>yl)ethyl</w:t>
      </w:r>
      <w:proofErr w:type="gramEnd"/>
      <w:r w:rsidRPr="0044257B">
        <w:rPr>
          <w:b/>
          <w:bCs/>
        </w:rPr>
        <w:t xml:space="preserve">)-N-phenylnicotinamide (JG50): </w:t>
      </w:r>
      <w:r w:rsidRPr="0044257B">
        <w:t xml:space="preserve">White amorphous solid, 20% yield. </w:t>
      </w:r>
      <w:r w:rsidRPr="0044257B">
        <w:rPr>
          <w:color w:val="000000"/>
          <w:szCs w:val="24"/>
          <w:vertAlign w:val="superscript"/>
        </w:rPr>
        <w:t>1</w:t>
      </w:r>
      <w:r w:rsidRPr="0044257B">
        <w:rPr>
          <w:color w:val="000000"/>
          <w:szCs w:val="24"/>
        </w:rPr>
        <w:t>H NMR (500 MHz, CDCl</w:t>
      </w:r>
      <w:r w:rsidRPr="0044257B">
        <w:rPr>
          <w:color w:val="000000"/>
          <w:szCs w:val="24"/>
          <w:vertAlign w:val="subscript"/>
        </w:rPr>
        <w:t>3</w:t>
      </w:r>
      <w:r w:rsidRPr="0044257B">
        <w:rPr>
          <w:color w:val="000000"/>
          <w:szCs w:val="24"/>
        </w:rPr>
        <w:t xml:space="preserve">) δ 8.55 (dd, </w:t>
      </w:r>
      <w:r w:rsidRPr="0044257B">
        <w:rPr>
          <w:i/>
          <w:iCs/>
          <w:color w:val="000000"/>
          <w:szCs w:val="24"/>
        </w:rPr>
        <w:t>J</w:t>
      </w:r>
      <w:r w:rsidRPr="0044257B">
        <w:rPr>
          <w:color w:val="000000"/>
          <w:szCs w:val="24"/>
        </w:rPr>
        <w:t xml:space="preserve"> = 4.7, 1.6 Hz, 1H), 8.25 (s, 1H), 7.44 (d, </w:t>
      </w:r>
      <w:r w:rsidRPr="0044257B">
        <w:rPr>
          <w:i/>
          <w:iCs/>
          <w:color w:val="000000"/>
          <w:szCs w:val="24"/>
        </w:rPr>
        <w:t>J</w:t>
      </w:r>
      <w:r w:rsidRPr="0044257B">
        <w:rPr>
          <w:color w:val="000000"/>
          <w:szCs w:val="24"/>
        </w:rPr>
        <w:t xml:space="preserve"> = 8.1 Hz, 1H), 7.32 – 7.17 (m, 2H), 7.08 (t, </w:t>
      </w:r>
      <w:r w:rsidRPr="0044257B">
        <w:rPr>
          <w:i/>
          <w:iCs/>
          <w:color w:val="000000"/>
          <w:szCs w:val="24"/>
        </w:rPr>
        <w:t>J</w:t>
      </w:r>
      <w:r w:rsidRPr="0044257B">
        <w:rPr>
          <w:color w:val="000000"/>
          <w:szCs w:val="24"/>
        </w:rPr>
        <w:t xml:space="preserve"> = 7.6 Hz, 2H), 6.89 (t, </w:t>
      </w:r>
      <w:r w:rsidRPr="0044257B">
        <w:rPr>
          <w:i/>
          <w:iCs/>
          <w:color w:val="000000"/>
          <w:szCs w:val="24"/>
        </w:rPr>
        <w:t>J</w:t>
      </w:r>
      <w:r w:rsidRPr="0044257B">
        <w:rPr>
          <w:color w:val="000000"/>
          <w:szCs w:val="24"/>
        </w:rPr>
        <w:t xml:space="preserve"> = 7.4 Hz, 2H), 6.72 (d, </w:t>
      </w:r>
      <w:r w:rsidRPr="0044257B">
        <w:rPr>
          <w:i/>
          <w:iCs/>
          <w:color w:val="000000"/>
          <w:szCs w:val="24"/>
        </w:rPr>
        <w:t>J</w:t>
      </w:r>
      <w:r w:rsidRPr="0044257B">
        <w:rPr>
          <w:color w:val="000000"/>
          <w:szCs w:val="24"/>
        </w:rPr>
        <w:t xml:space="preserve"> = 7.9 Hz, 2H), 6.50 (d, </w:t>
      </w:r>
      <w:r w:rsidRPr="0044257B">
        <w:rPr>
          <w:i/>
          <w:iCs/>
          <w:color w:val="000000"/>
          <w:szCs w:val="24"/>
        </w:rPr>
        <w:t>J</w:t>
      </w:r>
      <w:r w:rsidRPr="0044257B">
        <w:rPr>
          <w:color w:val="000000"/>
          <w:szCs w:val="24"/>
        </w:rPr>
        <w:t xml:space="preserve"> = 7.6 Hz, 2H), 5.04 (s, 1H), 2.20 – 2.09 (m, 1H), 2.10 – 1.99 (m, 1H), 1.78 – 1.68 (m, 1H), 1.68 – 1.57 (m, 2H), 1.50 – 1.32 (m, 2H), 1.31 – 1.20 (m, 2H), 1.22 – 1.04 (m, 2H).</w:t>
      </w:r>
    </w:p>
    <w:p w14:paraId="1A3BC652" w14:textId="77777777" w:rsidR="0044257B" w:rsidRPr="0044257B" w:rsidRDefault="0044257B" w:rsidP="0044257B">
      <w:pPr>
        <w:ind w:firstLine="720"/>
      </w:pPr>
      <w:r w:rsidRPr="0044257B">
        <w:rPr>
          <w:b/>
          <w:bCs/>
        </w:rPr>
        <w:t>N-benzyl-N-(2-(cyclohexylamino)-2-oxo-1-(pyridin-3-</w:t>
      </w:r>
      <w:proofErr w:type="gramStart"/>
      <w:r w:rsidRPr="0044257B">
        <w:rPr>
          <w:b/>
          <w:bCs/>
        </w:rPr>
        <w:t>yl)ethyl</w:t>
      </w:r>
      <w:proofErr w:type="gramEnd"/>
      <w:r w:rsidRPr="0044257B">
        <w:rPr>
          <w:b/>
          <w:bCs/>
        </w:rPr>
        <w:t xml:space="preserve">)nicotinamide (JG51): </w:t>
      </w:r>
      <w:r w:rsidRPr="0044257B">
        <w:t xml:space="preserve">White amorphous solid, 60% yield. </w:t>
      </w:r>
      <w:r w:rsidRPr="0044257B">
        <w:rPr>
          <w:color w:val="000000"/>
          <w:szCs w:val="24"/>
          <w:vertAlign w:val="superscript"/>
        </w:rPr>
        <w:t>1</w:t>
      </w:r>
      <w:r w:rsidRPr="0044257B">
        <w:rPr>
          <w:color w:val="000000"/>
          <w:szCs w:val="24"/>
        </w:rPr>
        <w:t>H NMR (600 MHz, CDCl</w:t>
      </w:r>
      <w:r w:rsidRPr="0044257B">
        <w:rPr>
          <w:color w:val="000000"/>
          <w:szCs w:val="24"/>
          <w:vertAlign w:val="subscript"/>
        </w:rPr>
        <w:t>3</w:t>
      </w:r>
      <w:r w:rsidRPr="0044257B">
        <w:rPr>
          <w:color w:val="000000"/>
          <w:szCs w:val="24"/>
        </w:rPr>
        <w:t xml:space="preserve">) δ 8.81 (d, </w:t>
      </w:r>
      <w:r w:rsidRPr="0044257B">
        <w:rPr>
          <w:i/>
          <w:iCs/>
          <w:color w:val="000000"/>
          <w:szCs w:val="24"/>
        </w:rPr>
        <w:t>J</w:t>
      </w:r>
      <w:r w:rsidRPr="0044257B">
        <w:rPr>
          <w:color w:val="000000"/>
          <w:szCs w:val="24"/>
        </w:rPr>
        <w:t xml:space="preserve"> = 5.2 Hz, 1H), 8.71 (d, </w:t>
      </w:r>
      <w:r w:rsidRPr="0044257B">
        <w:rPr>
          <w:i/>
          <w:iCs/>
          <w:color w:val="000000"/>
          <w:szCs w:val="24"/>
        </w:rPr>
        <w:t>J</w:t>
      </w:r>
      <w:r w:rsidRPr="0044257B">
        <w:rPr>
          <w:color w:val="000000"/>
          <w:szCs w:val="24"/>
        </w:rPr>
        <w:t xml:space="preserve"> = 5.2 Hz, 1H), 8.64 – 8.51 (m, 2H), 8.01 – 7.91 (m, 1H), 7.85 (d, </w:t>
      </w:r>
      <w:r w:rsidRPr="0044257B">
        <w:rPr>
          <w:i/>
          <w:iCs/>
          <w:color w:val="000000"/>
          <w:szCs w:val="24"/>
        </w:rPr>
        <w:t>J</w:t>
      </w:r>
      <w:r w:rsidRPr="0044257B">
        <w:rPr>
          <w:color w:val="000000"/>
          <w:szCs w:val="24"/>
        </w:rPr>
        <w:t xml:space="preserve"> = 7.7 Hz, 1H), 7.44 (</w:t>
      </w:r>
      <w:proofErr w:type="spellStart"/>
      <w:r w:rsidRPr="0044257B">
        <w:rPr>
          <w:color w:val="000000"/>
          <w:szCs w:val="24"/>
        </w:rPr>
        <w:t>dq</w:t>
      </w:r>
      <w:proofErr w:type="spellEnd"/>
      <w:r w:rsidRPr="0044257B">
        <w:rPr>
          <w:color w:val="000000"/>
          <w:szCs w:val="24"/>
        </w:rPr>
        <w:t xml:space="preserve">, </w:t>
      </w:r>
      <w:r w:rsidRPr="0044257B">
        <w:rPr>
          <w:i/>
          <w:iCs/>
          <w:color w:val="000000"/>
          <w:szCs w:val="24"/>
        </w:rPr>
        <w:t>J</w:t>
      </w:r>
      <w:r w:rsidRPr="0044257B">
        <w:rPr>
          <w:color w:val="000000"/>
          <w:szCs w:val="24"/>
        </w:rPr>
        <w:t xml:space="preserve"> = 11.3, 6.2 Hz, 1H), 7.37 (q, </w:t>
      </w:r>
      <w:r w:rsidRPr="0044257B">
        <w:rPr>
          <w:i/>
          <w:iCs/>
          <w:color w:val="000000"/>
          <w:szCs w:val="24"/>
        </w:rPr>
        <w:t>J</w:t>
      </w:r>
      <w:r w:rsidRPr="0044257B">
        <w:rPr>
          <w:color w:val="000000"/>
          <w:szCs w:val="24"/>
        </w:rPr>
        <w:t xml:space="preserve"> = 6.7 Hz, 2H), 7.32 (d, </w:t>
      </w:r>
      <w:r w:rsidRPr="0044257B">
        <w:rPr>
          <w:i/>
          <w:iCs/>
          <w:color w:val="000000"/>
          <w:szCs w:val="24"/>
        </w:rPr>
        <w:t>J</w:t>
      </w:r>
      <w:r w:rsidRPr="0044257B">
        <w:rPr>
          <w:color w:val="000000"/>
          <w:szCs w:val="24"/>
        </w:rPr>
        <w:t xml:space="preserve"> = 6.4 Hz, 1H), 7.27 (d, </w:t>
      </w:r>
      <w:r w:rsidRPr="0044257B">
        <w:rPr>
          <w:i/>
          <w:iCs/>
          <w:color w:val="000000"/>
          <w:szCs w:val="24"/>
        </w:rPr>
        <w:t>J</w:t>
      </w:r>
      <w:r w:rsidRPr="0044257B">
        <w:rPr>
          <w:color w:val="000000"/>
          <w:szCs w:val="24"/>
        </w:rPr>
        <w:t xml:space="preserve"> = 6.6 Hz, 4H), 7.07 (d, </w:t>
      </w:r>
      <w:r w:rsidRPr="0044257B">
        <w:rPr>
          <w:i/>
          <w:iCs/>
          <w:color w:val="000000"/>
          <w:szCs w:val="24"/>
        </w:rPr>
        <w:t>J</w:t>
      </w:r>
      <w:r w:rsidRPr="0044257B">
        <w:rPr>
          <w:color w:val="000000"/>
          <w:szCs w:val="24"/>
        </w:rPr>
        <w:t xml:space="preserve"> = 6.7 Hz, 3H), 6.36 (d, </w:t>
      </w:r>
      <w:r w:rsidRPr="0044257B">
        <w:rPr>
          <w:i/>
          <w:iCs/>
          <w:color w:val="000000"/>
          <w:szCs w:val="24"/>
        </w:rPr>
        <w:t>J</w:t>
      </w:r>
      <w:r w:rsidRPr="0044257B">
        <w:rPr>
          <w:color w:val="000000"/>
          <w:szCs w:val="24"/>
        </w:rPr>
        <w:t xml:space="preserve"> = 8.0 Hz, 1H), 5.80 (s, 1H), 4.89 (d, </w:t>
      </w:r>
      <w:r w:rsidRPr="0044257B">
        <w:rPr>
          <w:i/>
          <w:iCs/>
          <w:color w:val="000000"/>
          <w:szCs w:val="24"/>
        </w:rPr>
        <w:t>J</w:t>
      </w:r>
      <w:r w:rsidRPr="0044257B">
        <w:rPr>
          <w:color w:val="000000"/>
          <w:szCs w:val="24"/>
        </w:rPr>
        <w:t xml:space="preserve"> = 16.9 Hz, 1H), 4.66 (d, </w:t>
      </w:r>
      <w:r w:rsidRPr="0044257B">
        <w:rPr>
          <w:i/>
          <w:iCs/>
          <w:color w:val="000000"/>
          <w:szCs w:val="24"/>
        </w:rPr>
        <w:t>J</w:t>
      </w:r>
      <w:r w:rsidRPr="0044257B">
        <w:rPr>
          <w:color w:val="000000"/>
          <w:szCs w:val="24"/>
        </w:rPr>
        <w:t xml:space="preserve"> = 16.5 Hz, 1H), 2.18 – 2.11 (m, 1H), </w:t>
      </w:r>
      <w:r w:rsidRPr="0044257B">
        <w:t xml:space="preserve">2.07 – 1.93 (m, 1H), </w:t>
      </w:r>
      <w:r w:rsidRPr="0044257B">
        <w:rPr>
          <w:color w:val="000000"/>
          <w:szCs w:val="24"/>
        </w:rPr>
        <w:t xml:space="preserve">1.83 – 1.73 (m, 3H), 1.74 – 1.66 (m, 2H), 1.52 – 1.41 (m, 2H), </w:t>
      </w:r>
      <w:r w:rsidRPr="0044257B">
        <w:t>1.27 – 1.18 (m, 2H)</w:t>
      </w:r>
      <w:r w:rsidRPr="0044257B">
        <w:rPr>
          <w:color w:val="000000"/>
          <w:szCs w:val="24"/>
        </w:rPr>
        <w:t>.</w:t>
      </w:r>
    </w:p>
    <w:p w14:paraId="0233E6A0" w14:textId="77777777" w:rsidR="0044257B" w:rsidRPr="0044257B" w:rsidRDefault="0044257B" w:rsidP="0044257B">
      <w:pPr>
        <w:ind w:firstLine="720"/>
        <w:rPr>
          <w:sz w:val="32"/>
          <w:szCs w:val="28"/>
        </w:rPr>
      </w:pPr>
      <w:r w:rsidRPr="0044257B">
        <w:rPr>
          <w:b/>
          <w:bCs/>
        </w:rPr>
        <w:lastRenderedPageBreak/>
        <w:t>2-(N-</w:t>
      </w:r>
      <w:proofErr w:type="spellStart"/>
      <w:r w:rsidRPr="0044257B">
        <w:rPr>
          <w:b/>
          <w:bCs/>
        </w:rPr>
        <w:t>benzylacetamido</w:t>
      </w:r>
      <w:proofErr w:type="spellEnd"/>
      <w:r w:rsidRPr="0044257B">
        <w:rPr>
          <w:b/>
          <w:bCs/>
        </w:rPr>
        <w:t>)-N-cyclohexyl-2-(pyridin-3-</w:t>
      </w:r>
      <w:proofErr w:type="gramStart"/>
      <w:r w:rsidRPr="0044257B">
        <w:rPr>
          <w:b/>
          <w:bCs/>
        </w:rPr>
        <w:t>yl)acetamide</w:t>
      </w:r>
      <w:proofErr w:type="gramEnd"/>
      <w:r w:rsidRPr="0044257B">
        <w:rPr>
          <w:b/>
          <w:bCs/>
        </w:rPr>
        <w:t xml:space="preserve"> (JG52): </w:t>
      </w:r>
      <w:r w:rsidRPr="0044257B">
        <w:t>White</w:t>
      </w:r>
      <w:r w:rsidRPr="0044257B">
        <w:rPr>
          <w:b/>
          <w:bCs/>
        </w:rPr>
        <w:t xml:space="preserve"> </w:t>
      </w:r>
      <w:r w:rsidRPr="0044257B">
        <w:t xml:space="preserve">amorphous solid, 8% yield. </w:t>
      </w:r>
      <w:r w:rsidRPr="0044257B">
        <w:rPr>
          <w:color w:val="000000"/>
          <w:szCs w:val="24"/>
          <w:vertAlign w:val="superscript"/>
        </w:rPr>
        <w:t>1</w:t>
      </w:r>
      <w:r w:rsidRPr="0044257B">
        <w:rPr>
          <w:color w:val="000000"/>
          <w:szCs w:val="24"/>
        </w:rPr>
        <w:t>H NMR (600 MHz, CDCl</w:t>
      </w:r>
      <w:r w:rsidRPr="0044257B">
        <w:rPr>
          <w:color w:val="000000"/>
          <w:szCs w:val="24"/>
          <w:vertAlign w:val="subscript"/>
        </w:rPr>
        <w:t>3</w:t>
      </w:r>
      <w:r w:rsidRPr="0044257B">
        <w:rPr>
          <w:color w:val="000000"/>
          <w:szCs w:val="24"/>
        </w:rPr>
        <w:t xml:space="preserve">) δ 8.50 (d, </w:t>
      </w:r>
      <w:r w:rsidRPr="0044257B">
        <w:rPr>
          <w:i/>
          <w:iCs/>
          <w:color w:val="000000"/>
          <w:szCs w:val="24"/>
        </w:rPr>
        <w:t>J</w:t>
      </w:r>
      <w:r w:rsidRPr="0044257B">
        <w:rPr>
          <w:color w:val="000000"/>
          <w:szCs w:val="24"/>
        </w:rPr>
        <w:t xml:space="preserve"> = 2.3 Hz, 1H), 8.44 (d, </w:t>
      </w:r>
      <w:r w:rsidRPr="0044257B">
        <w:rPr>
          <w:i/>
          <w:iCs/>
          <w:color w:val="000000"/>
          <w:szCs w:val="24"/>
        </w:rPr>
        <w:t>J</w:t>
      </w:r>
      <w:r w:rsidRPr="0044257B">
        <w:rPr>
          <w:color w:val="000000"/>
          <w:szCs w:val="24"/>
        </w:rPr>
        <w:t xml:space="preserve"> = 4.8 Hz, 1H), 7.75 (d, </w:t>
      </w:r>
      <w:r w:rsidRPr="0044257B">
        <w:rPr>
          <w:i/>
          <w:iCs/>
          <w:color w:val="000000"/>
          <w:szCs w:val="24"/>
        </w:rPr>
        <w:t>J</w:t>
      </w:r>
      <w:r w:rsidRPr="0044257B">
        <w:rPr>
          <w:color w:val="000000"/>
          <w:szCs w:val="24"/>
        </w:rPr>
        <w:t xml:space="preserve"> = 8.0 Hz, 1H), 7.19 (t, </w:t>
      </w:r>
      <w:r w:rsidRPr="0044257B">
        <w:rPr>
          <w:i/>
          <w:iCs/>
          <w:color w:val="000000"/>
          <w:szCs w:val="24"/>
        </w:rPr>
        <w:t>J</w:t>
      </w:r>
      <w:r w:rsidRPr="0044257B">
        <w:rPr>
          <w:color w:val="000000"/>
          <w:szCs w:val="24"/>
        </w:rPr>
        <w:t xml:space="preserve"> = 7.3 Hz, 2H), 7.17 – 7.11 (m, 2H), 6.98 (d, </w:t>
      </w:r>
      <w:r w:rsidRPr="0044257B">
        <w:rPr>
          <w:i/>
          <w:iCs/>
          <w:color w:val="000000"/>
          <w:szCs w:val="24"/>
        </w:rPr>
        <w:t>J</w:t>
      </w:r>
      <w:r w:rsidRPr="0044257B">
        <w:rPr>
          <w:color w:val="000000"/>
          <w:szCs w:val="24"/>
        </w:rPr>
        <w:t xml:space="preserve"> = 7.4 Hz, 2H), 5.94 (s, 1H), 4.75 (d, </w:t>
      </w:r>
      <w:r w:rsidRPr="0044257B">
        <w:rPr>
          <w:i/>
          <w:iCs/>
          <w:color w:val="000000"/>
          <w:szCs w:val="24"/>
        </w:rPr>
        <w:t>J</w:t>
      </w:r>
      <w:r w:rsidRPr="0044257B">
        <w:rPr>
          <w:color w:val="000000"/>
          <w:szCs w:val="24"/>
        </w:rPr>
        <w:t xml:space="preserve"> = 17.6 Hz, 1H), 4.60 (d, </w:t>
      </w:r>
      <w:r w:rsidRPr="0044257B">
        <w:rPr>
          <w:i/>
          <w:iCs/>
          <w:color w:val="000000"/>
          <w:szCs w:val="24"/>
        </w:rPr>
        <w:t>J</w:t>
      </w:r>
      <w:r w:rsidRPr="0044257B">
        <w:rPr>
          <w:color w:val="000000"/>
          <w:szCs w:val="24"/>
        </w:rPr>
        <w:t xml:space="preserve"> = 17.6 Hz, 1H), 2.13 (s, 3H), 1.94 – 1.82 (m, 2H), 1.71 – 1.61 (m, 3H), 1.62 – 1.53 (m, 1H), 1.41 – 1.27 (m, 2H), 1.20 – 1.02 (m, 3H).</w:t>
      </w:r>
    </w:p>
    <w:p w14:paraId="1C232965" w14:textId="77777777" w:rsidR="0044257B" w:rsidRPr="0044257B" w:rsidRDefault="0044257B" w:rsidP="0044257B">
      <w:pPr>
        <w:ind w:firstLine="720"/>
      </w:pPr>
      <w:r w:rsidRPr="0044257B">
        <w:rPr>
          <w:b/>
          <w:bCs/>
        </w:rPr>
        <w:t>N-cyclohexyl-2-(N-(4-(</w:t>
      </w:r>
      <w:proofErr w:type="gramStart"/>
      <w:r w:rsidRPr="0044257B">
        <w:rPr>
          <w:b/>
          <w:bCs/>
        </w:rPr>
        <w:t>methylthio)phenyl</w:t>
      </w:r>
      <w:proofErr w:type="gramEnd"/>
      <w:r w:rsidRPr="0044257B">
        <w:rPr>
          <w:b/>
          <w:bCs/>
        </w:rPr>
        <w:t xml:space="preserve">)acetamido)-2-(pyridin-3-yl)acetamide (JG53): </w:t>
      </w:r>
      <w:r w:rsidRPr="0044257B">
        <w:t>White</w:t>
      </w:r>
      <w:r w:rsidRPr="0044257B">
        <w:rPr>
          <w:b/>
          <w:bCs/>
        </w:rPr>
        <w:t xml:space="preserve"> </w:t>
      </w:r>
      <w:r w:rsidRPr="0044257B">
        <w:t xml:space="preserve">amorphous solid, 26% yield. </w:t>
      </w:r>
      <w:r w:rsidRPr="0044257B">
        <w:rPr>
          <w:color w:val="000000"/>
          <w:szCs w:val="24"/>
          <w:vertAlign w:val="superscript"/>
        </w:rPr>
        <w:t>1</w:t>
      </w:r>
      <w:r w:rsidRPr="0044257B">
        <w:rPr>
          <w:color w:val="000000"/>
          <w:szCs w:val="24"/>
        </w:rPr>
        <w:t>H NMR (600 MHz, CDCl</w:t>
      </w:r>
      <w:r w:rsidRPr="0044257B">
        <w:rPr>
          <w:color w:val="000000"/>
          <w:szCs w:val="24"/>
          <w:vertAlign w:val="subscript"/>
        </w:rPr>
        <w:t>3</w:t>
      </w:r>
      <w:r w:rsidRPr="0044257B">
        <w:rPr>
          <w:color w:val="000000"/>
          <w:szCs w:val="24"/>
        </w:rPr>
        <w:t xml:space="preserve">) δ 8.44 (dd, </w:t>
      </w:r>
      <w:r w:rsidRPr="0044257B">
        <w:rPr>
          <w:i/>
          <w:iCs/>
          <w:color w:val="000000"/>
          <w:szCs w:val="24"/>
        </w:rPr>
        <w:t>J</w:t>
      </w:r>
      <w:r w:rsidRPr="0044257B">
        <w:rPr>
          <w:color w:val="000000"/>
          <w:szCs w:val="24"/>
        </w:rPr>
        <w:t xml:space="preserve"> = 4.8, 1.6 Hz, 1H), 8.40 (d, </w:t>
      </w:r>
      <w:r w:rsidRPr="0044257B">
        <w:rPr>
          <w:i/>
          <w:iCs/>
          <w:color w:val="000000"/>
          <w:szCs w:val="24"/>
        </w:rPr>
        <w:t>J</w:t>
      </w:r>
      <w:r w:rsidRPr="0044257B">
        <w:rPr>
          <w:color w:val="000000"/>
          <w:szCs w:val="24"/>
        </w:rPr>
        <w:t xml:space="preserve"> = 2.2 Hz, 1H), 7.40 (dt, </w:t>
      </w:r>
      <w:r w:rsidRPr="0044257B">
        <w:rPr>
          <w:i/>
          <w:iCs/>
          <w:color w:val="000000"/>
          <w:szCs w:val="24"/>
        </w:rPr>
        <w:t>J</w:t>
      </w:r>
      <w:r w:rsidRPr="0044257B">
        <w:rPr>
          <w:color w:val="000000"/>
          <w:szCs w:val="24"/>
        </w:rPr>
        <w:t xml:space="preserve"> = 8.1, 2.0 Hz, 1H), 7.09 – 7.03 (m, 3H), 6.09 (s, 1H), 5.98 (d, </w:t>
      </w:r>
      <w:r w:rsidRPr="0044257B">
        <w:rPr>
          <w:i/>
          <w:iCs/>
          <w:color w:val="000000"/>
          <w:szCs w:val="24"/>
        </w:rPr>
        <w:t>J</w:t>
      </w:r>
      <w:r w:rsidRPr="0044257B">
        <w:rPr>
          <w:color w:val="000000"/>
          <w:szCs w:val="24"/>
        </w:rPr>
        <w:t xml:space="preserve"> = 8.1 Hz, 1H), 3.84 – 3.75 (m, 1H), 2.42 (s, 3H), 2.01 – 1.93 (m, 1H), 1.85 (s, 5H), 1.76 – 1.55 (m, 3H), 1.42 – 1.27 (m, 2H), 1.27 – 1.01 (m, 3H).</w:t>
      </w:r>
    </w:p>
    <w:p w14:paraId="0BF7D40D" w14:textId="77777777" w:rsidR="0044257B" w:rsidRPr="0044257B" w:rsidRDefault="0044257B" w:rsidP="0044257B">
      <w:pPr>
        <w:ind w:firstLine="720"/>
        <w:rPr>
          <w:sz w:val="32"/>
          <w:szCs w:val="28"/>
        </w:rPr>
      </w:pPr>
      <w:r w:rsidRPr="0044257B">
        <w:rPr>
          <w:b/>
          <w:bCs/>
        </w:rPr>
        <w:t>N-(2-(tert-butylamino)-2-oxo-1-(pyridin-3-</w:t>
      </w:r>
      <w:proofErr w:type="gramStart"/>
      <w:r w:rsidRPr="0044257B">
        <w:rPr>
          <w:b/>
          <w:bCs/>
        </w:rPr>
        <w:t>yl)ethyl</w:t>
      </w:r>
      <w:proofErr w:type="gramEnd"/>
      <w:r w:rsidRPr="0044257B">
        <w:rPr>
          <w:b/>
          <w:bCs/>
        </w:rPr>
        <w:t xml:space="preserve">)-N-phenylnicotinamide (JG54): </w:t>
      </w:r>
      <w:r w:rsidRPr="0044257B">
        <w:t>White</w:t>
      </w:r>
      <w:r w:rsidRPr="0044257B">
        <w:rPr>
          <w:b/>
          <w:bCs/>
        </w:rPr>
        <w:t xml:space="preserve"> </w:t>
      </w:r>
      <w:r w:rsidRPr="0044257B">
        <w:t xml:space="preserve">amorphous solid, 24% yield. </w:t>
      </w:r>
      <w:r w:rsidRPr="0044257B">
        <w:rPr>
          <w:color w:val="000000"/>
          <w:szCs w:val="24"/>
          <w:vertAlign w:val="superscript"/>
        </w:rPr>
        <w:t>1</w:t>
      </w:r>
      <w:r w:rsidRPr="0044257B">
        <w:rPr>
          <w:color w:val="000000"/>
          <w:szCs w:val="24"/>
        </w:rPr>
        <w:t>H NMR (600 MHz, CDCl</w:t>
      </w:r>
      <w:r w:rsidRPr="0044257B">
        <w:rPr>
          <w:color w:val="000000"/>
          <w:szCs w:val="24"/>
          <w:vertAlign w:val="subscript"/>
        </w:rPr>
        <w:t>3</w:t>
      </w:r>
      <w:r w:rsidRPr="0044257B">
        <w:rPr>
          <w:color w:val="000000"/>
          <w:szCs w:val="24"/>
        </w:rPr>
        <w:t xml:space="preserve">) δ 8.51 (dd, </w:t>
      </w:r>
      <w:r w:rsidRPr="0044257B">
        <w:rPr>
          <w:i/>
          <w:iCs/>
          <w:color w:val="000000"/>
          <w:szCs w:val="24"/>
        </w:rPr>
        <w:t>J</w:t>
      </w:r>
      <w:r w:rsidRPr="0044257B">
        <w:rPr>
          <w:color w:val="000000"/>
          <w:szCs w:val="24"/>
        </w:rPr>
        <w:t xml:space="preserve"> = 4.8, 2.2 Hz, 2H), 8.46 (dd, </w:t>
      </w:r>
      <w:r w:rsidRPr="0044257B">
        <w:rPr>
          <w:i/>
          <w:iCs/>
          <w:color w:val="000000"/>
          <w:szCs w:val="24"/>
        </w:rPr>
        <w:t>J</w:t>
      </w:r>
      <w:r w:rsidRPr="0044257B">
        <w:rPr>
          <w:color w:val="000000"/>
          <w:szCs w:val="24"/>
        </w:rPr>
        <w:t xml:space="preserve"> = 5.0, 1.7 Hz, 1H), 8.40 (dd, </w:t>
      </w:r>
      <w:r w:rsidRPr="0044257B">
        <w:rPr>
          <w:i/>
          <w:iCs/>
          <w:color w:val="000000"/>
          <w:szCs w:val="24"/>
        </w:rPr>
        <w:t>J</w:t>
      </w:r>
      <w:r w:rsidRPr="0044257B">
        <w:rPr>
          <w:color w:val="000000"/>
          <w:szCs w:val="24"/>
        </w:rPr>
        <w:t xml:space="preserve"> = 4.9, 1.7 Hz, 1H), 7.57 (dt, </w:t>
      </w:r>
      <w:r w:rsidRPr="0044257B">
        <w:rPr>
          <w:i/>
          <w:iCs/>
          <w:color w:val="000000"/>
          <w:szCs w:val="24"/>
        </w:rPr>
        <w:t>J</w:t>
      </w:r>
      <w:r w:rsidRPr="0044257B">
        <w:rPr>
          <w:color w:val="000000"/>
          <w:szCs w:val="24"/>
        </w:rPr>
        <w:t xml:space="preserve"> = 8.1, 2.1 Hz, 1H), 7.53 (dt, </w:t>
      </w:r>
      <w:r w:rsidRPr="0044257B">
        <w:rPr>
          <w:i/>
          <w:iCs/>
          <w:color w:val="000000"/>
          <w:szCs w:val="24"/>
        </w:rPr>
        <w:t>J</w:t>
      </w:r>
      <w:r w:rsidRPr="0044257B">
        <w:rPr>
          <w:color w:val="000000"/>
          <w:szCs w:val="24"/>
        </w:rPr>
        <w:t xml:space="preserve"> = 8.0, 2.0 Hz, 1H), 7.15 – 7.08 (m, 1H), 7.08 – 7.01 (m, 3H), 7.02 – 6.95 (m, 2H), 6.17 (d, </w:t>
      </w:r>
      <w:r w:rsidRPr="0044257B">
        <w:rPr>
          <w:i/>
          <w:iCs/>
          <w:color w:val="000000"/>
          <w:szCs w:val="24"/>
        </w:rPr>
        <w:t>J</w:t>
      </w:r>
      <w:r w:rsidRPr="0044257B">
        <w:rPr>
          <w:color w:val="000000"/>
          <w:szCs w:val="24"/>
        </w:rPr>
        <w:t xml:space="preserve"> = 2.7 Hz, 1H), 5.96 (s, 1H), 1.37 (s, 9H).</w:t>
      </w:r>
    </w:p>
    <w:p w14:paraId="3D8E9E5C" w14:textId="77777777" w:rsidR="0044257B" w:rsidRPr="0044257B" w:rsidRDefault="0044257B" w:rsidP="0044257B">
      <w:pPr>
        <w:ind w:firstLine="720"/>
      </w:pPr>
      <w:r w:rsidRPr="0044257B">
        <w:rPr>
          <w:b/>
          <w:bCs/>
        </w:rPr>
        <w:t>N-(4-(tert-</w:t>
      </w:r>
      <w:proofErr w:type="gramStart"/>
      <w:r w:rsidRPr="0044257B">
        <w:rPr>
          <w:b/>
          <w:bCs/>
        </w:rPr>
        <w:t>butyl)phenyl</w:t>
      </w:r>
      <w:proofErr w:type="gramEnd"/>
      <w:r w:rsidRPr="0044257B">
        <w:rPr>
          <w:b/>
          <w:bCs/>
        </w:rPr>
        <w:t xml:space="preserve">)-N-(2-(tert-butylamino)-2-oxo-1-(pyridin-3-yl)ethyl) nicotinamide (JG55): </w:t>
      </w:r>
      <w:r w:rsidRPr="0044257B">
        <w:t xml:space="preserve">White amorphous solid, 93% yield. </w:t>
      </w:r>
      <w:r w:rsidRPr="0044257B">
        <w:rPr>
          <w:color w:val="000000"/>
          <w:szCs w:val="24"/>
          <w:vertAlign w:val="superscript"/>
        </w:rPr>
        <w:t>1</w:t>
      </w:r>
      <w:r w:rsidRPr="0044257B">
        <w:rPr>
          <w:color w:val="000000"/>
          <w:szCs w:val="24"/>
        </w:rPr>
        <w:t>H NMR (500 MHz, CDCl</w:t>
      </w:r>
      <w:r w:rsidRPr="0044257B">
        <w:rPr>
          <w:color w:val="000000"/>
          <w:szCs w:val="24"/>
          <w:vertAlign w:val="subscript"/>
        </w:rPr>
        <w:t>3</w:t>
      </w:r>
      <w:r w:rsidRPr="0044257B">
        <w:rPr>
          <w:color w:val="000000"/>
          <w:szCs w:val="24"/>
        </w:rPr>
        <w:t xml:space="preserve">) δ 8.54 – 8.48 (m, 2H), 8.46 (d, </w:t>
      </w:r>
      <w:r w:rsidRPr="0044257B">
        <w:rPr>
          <w:i/>
          <w:iCs/>
          <w:color w:val="000000"/>
          <w:szCs w:val="24"/>
        </w:rPr>
        <w:t>J</w:t>
      </w:r>
      <w:r w:rsidRPr="0044257B">
        <w:rPr>
          <w:color w:val="000000"/>
          <w:szCs w:val="24"/>
        </w:rPr>
        <w:t xml:space="preserve"> = 5.8 Hz, 1H), 8.42 – 8.37 (m, 1H), 7.60 – 7.55 (m, 1H), 7.51 (d, </w:t>
      </w:r>
      <w:r w:rsidRPr="0044257B">
        <w:rPr>
          <w:i/>
          <w:iCs/>
          <w:color w:val="000000"/>
          <w:szCs w:val="24"/>
        </w:rPr>
        <w:t>J</w:t>
      </w:r>
      <w:r w:rsidRPr="0044257B">
        <w:rPr>
          <w:color w:val="000000"/>
          <w:szCs w:val="24"/>
        </w:rPr>
        <w:t xml:space="preserve"> = 7.5 Hz, 1H), 7.12 – 7.02 (m, 4H), 6.87 (s, 1H), 6.10 (s, 1H), 6.03 (d, </w:t>
      </w:r>
      <w:r w:rsidRPr="0044257B">
        <w:rPr>
          <w:i/>
          <w:iCs/>
          <w:color w:val="000000"/>
          <w:szCs w:val="24"/>
        </w:rPr>
        <w:t>J</w:t>
      </w:r>
      <w:r w:rsidRPr="0044257B">
        <w:rPr>
          <w:color w:val="000000"/>
          <w:szCs w:val="24"/>
        </w:rPr>
        <w:t xml:space="preserve"> = 8.3 Hz, 1H), 1.37 (s, 9H), 1.17 – 1.11 (s, 9H).</w:t>
      </w:r>
    </w:p>
    <w:p w14:paraId="235E0CA2" w14:textId="77777777" w:rsidR="0044257B" w:rsidRPr="0044257B" w:rsidRDefault="0044257B" w:rsidP="0044257B">
      <w:pPr>
        <w:ind w:firstLine="720"/>
        <w:rPr>
          <w:szCs w:val="24"/>
        </w:rPr>
      </w:pPr>
      <w:r w:rsidRPr="0044257B">
        <w:rPr>
          <w:b/>
          <w:bCs/>
        </w:rPr>
        <w:lastRenderedPageBreak/>
        <w:t>N-(2-(cyclohexylamino)-2-oxo-1-(pyridin-3-</w:t>
      </w:r>
      <w:proofErr w:type="gramStart"/>
      <w:r w:rsidRPr="0044257B">
        <w:rPr>
          <w:b/>
          <w:bCs/>
        </w:rPr>
        <w:t>yl)ethyl</w:t>
      </w:r>
      <w:proofErr w:type="gramEnd"/>
      <w:r w:rsidRPr="0044257B">
        <w:rPr>
          <w:b/>
          <w:bCs/>
        </w:rPr>
        <w:t xml:space="preserve">)-N-(4-(methylthio)phenyl) nicotinamide (JG56): </w:t>
      </w:r>
      <w:r w:rsidRPr="0044257B">
        <w:t>White amorphous solid, 91% yield</w:t>
      </w:r>
      <w:r w:rsidRPr="0044257B">
        <w:rPr>
          <w:szCs w:val="24"/>
        </w:rPr>
        <w:t xml:space="preserve">. </w:t>
      </w:r>
      <w:r w:rsidRPr="0044257B">
        <w:rPr>
          <w:color w:val="000000"/>
          <w:szCs w:val="24"/>
          <w:vertAlign w:val="superscript"/>
        </w:rPr>
        <w:t>1</w:t>
      </w:r>
      <w:r w:rsidRPr="0044257B">
        <w:rPr>
          <w:color w:val="000000"/>
          <w:szCs w:val="24"/>
        </w:rPr>
        <w:t>H NMR (500 MHz, CDCl</w:t>
      </w:r>
      <w:r w:rsidRPr="0044257B">
        <w:rPr>
          <w:color w:val="000000"/>
          <w:szCs w:val="24"/>
          <w:vertAlign w:val="subscript"/>
        </w:rPr>
        <w:t>3</w:t>
      </w:r>
      <w:r w:rsidRPr="0044257B">
        <w:rPr>
          <w:color w:val="000000"/>
          <w:szCs w:val="24"/>
        </w:rPr>
        <w:t xml:space="preserve">) δ 8.78 (s, 1H), 8.61 – 8.52 (m, 2H), 8.47 (dt, </w:t>
      </w:r>
      <w:r w:rsidRPr="0044257B">
        <w:rPr>
          <w:i/>
          <w:iCs/>
          <w:color w:val="000000"/>
          <w:szCs w:val="24"/>
        </w:rPr>
        <w:t>J</w:t>
      </w:r>
      <w:r w:rsidRPr="0044257B">
        <w:rPr>
          <w:color w:val="000000"/>
          <w:szCs w:val="24"/>
        </w:rPr>
        <w:t xml:space="preserve"> = 4.8, 2.4 Hz, 1H), 7.84 (d, </w:t>
      </w:r>
      <w:r w:rsidRPr="0044257B">
        <w:rPr>
          <w:i/>
          <w:iCs/>
          <w:color w:val="000000"/>
          <w:szCs w:val="24"/>
        </w:rPr>
        <w:t>J</w:t>
      </w:r>
      <w:r w:rsidRPr="0044257B">
        <w:rPr>
          <w:color w:val="000000"/>
          <w:szCs w:val="24"/>
        </w:rPr>
        <w:t xml:space="preserve"> = 8.0 Hz, 1H), 7.71 – 7.59 (m, 1H), 7.37 (dd, </w:t>
      </w:r>
      <w:r w:rsidRPr="0044257B">
        <w:rPr>
          <w:i/>
          <w:iCs/>
          <w:color w:val="000000"/>
          <w:szCs w:val="24"/>
        </w:rPr>
        <w:t>J</w:t>
      </w:r>
      <w:r w:rsidRPr="0044257B">
        <w:rPr>
          <w:color w:val="000000"/>
          <w:szCs w:val="24"/>
        </w:rPr>
        <w:t xml:space="preserve"> = 8.0, 5.6 Hz, 1H), 7.18 (dd, </w:t>
      </w:r>
      <w:r w:rsidRPr="0044257B">
        <w:rPr>
          <w:i/>
          <w:iCs/>
          <w:color w:val="000000"/>
          <w:szCs w:val="24"/>
        </w:rPr>
        <w:t>J</w:t>
      </w:r>
      <w:r w:rsidRPr="0044257B">
        <w:rPr>
          <w:color w:val="000000"/>
          <w:szCs w:val="24"/>
        </w:rPr>
        <w:t xml:space="preserve"> = 8.0, 5.0 Hz, 1H), 6.92 (d, </w:t>
      </w:r>
      <w:r w:rsidRPr="0044257B">
        <w:rPr>
          <w:i/>
          <w:iCs/>
          <w:color w:val="000000"/>
          <w:szCs w:val="24"/>
        </w:rPr>
        <w:t>J</w:t>
      </w:r>
      <w:r w:rsidRPr="0044257B">
        <w:rPr>
          <w:color w:val="000000"/>
          <w:szCs w:val="24"/>
        </w:rPr>
        <w:t xml:space="preserve"> = 6.6 Hz, 3H), 6.41 (s, 1H), 3.90 – 3.79 (m, 1H), 2.36 (s, 3H), 2.00 – 1.95 (m, 2H), 1.92 – 1.83 (m, 1H), 1.76 – 1.65 (m, 1H), 1.64 – 1.57 (m, 1H), 1.44 – 1.09 (m, 6H).</w:t>
      </w:r>
    </w:p>
    <w:p w14:paraId="6A177B31" w14:textId="77777777" w:rsidR="0044257B" w:rsidRPr="0044257B" w:rsidRDefault="0044257B" w:rsidP="0044257B">
      <w:pPr>
        <w:ind w:firstLine="720"/>
      </w:pPr>
      <w:r w:rsidRPr="0044257B">
        <w:rPr>
          <w:b/>
          <w:bCs/>
        </w:rPr>
        <w:t>N-(2-(tert-butylamino)-2-oxo-1-(pyridin-3-</w:t>
      </w:r>
      <w:proofErr w:type="gramStart"/>
      <w:r w:rsidRPr="0044257B">
        <w:rPr>
          <w:b/>
          <w:bCs/>
        </w:rPr>
        <w:t>yl)ethyl</w:t>
      </w:r>
      <w:proofErr w:type="gramEnd"/>
      <w:r w:rsidRPr="0044257B">
        <w:rPr>
          <w:b/>
          <w:bCs/>
        </w:rPr>
        <w:t xml:space="preserve">)-N-(4-ethylphenyl)nicotinamide (JG57): </w:t>
      </w:r>
      <w:r w:rsidRPr="0044257B">
        <w:t xml:space="preserve">White amorphous solid, 76% yield. </w:t>
      </w:r>
      <w:r w:rsidRPr="0044257B">
        <w:rPr>
          <w:color w:val="000000"/>
          <w:szCs w:val="24"/>
          <w:vertAlign w:val="superscript"/>
        </w:rPr>
        <w:t>1</w:t>
      </w:r>
      <w:r w:rsidRPr="0044257B">
        <w:rPr>
          <w:color w:val="000000"/>
          <w:szCs w:val="24"/>
        </w:rPr>
        <w:t>H NMR (500 MHz, CDCl</w:t>
      </w:r>
      <w:r w:rsidRPr="0044257B">
        <w:rPr>
          <w:color w:val="000000"/>
          <w:szCs w:val="24"/>
          <w:vertAlign w:val="subscript"/>
        </w:rPr>
        <w:t>3</w:t>
      </w:r>
      <w:r w:rsidRPr="0044257B">
        <w:rPr>
          <w:color w:val="000000"/>
          <w:szCs w:val="24"/>
        </w:rPr>
        <w:t xml:space="preserve">) δ 8.56 (d, </w:t>
      </w:r>
      <w:r w:rsidRPr="0044257B">
        <w:rPr>
          <w:i/>
          <w:iCs/>
          <w:color w:val="000000"/>
          <w:szCs w:val="24"/>
        </w:rPr>
        <w:t>J</w:t>
      </w:r>
      <w:r w:rsidRPr="0044257B">
        <w:rPr>
          <w:color w:val="000000"/>
          <w:szCs w:val="24"/>
        </w:rPr>
        <w:t xml:space="preserve"> = 11.8 Hz, 1H), 8.52 (d, </w:t>
      </w:r>
      <w:r w:rsidRPr="0044257B">
        <w:rPr>
          <w:i/>
          <w:iCs/>
          <w:color w:val="000000"/>
          <w:szCs w:val="24"/>
        </w:rPr>
        <w:t>J</w:t>
      </w:r>
      <w:r w:rsidRPr="0044257B">
        <w:rPr>
          <w:color w:val="000000"/>
          <w:szCs w:val="24"/>
        </w:rPr>
        <w:t xml:space="preserve"> = 2.2 Hz, 1H), 8.49 (d, </w:t>
      </w:r>
      <w:r w:rsidRPr="0044257B">
        <w:rPr>
          <w:i/>
          <w:iCs/>
          <w:color w:val="000000"/>
          <w:szCs w:val="24"/>
        </w:rPr>
        <w:t>J</w:t>
      </w:r>
      <w:r w:rsidRPr="0044257B">
        <w:rPr>
          <w:color w:val="000000"/>
          <w:szCs w:val="24"/>
        </w:rPr>
        <w:t xml:space="preserve"> = 5.1 Hz, 1H), 8.43 (dt, </w:t>
      </w:r>
      <w:r w:rsidRPr="0044257B">
        <w:rPr>
          <w:i/>
          <w:iCs/>
          <w:color w:val="000000"/>
          <w:szCs w:val="24"/>
        </w:rPr>
        <w:t>J</w:t>
      </w:r>
      <w:r w:rsidRPr="0044257B">
        <w:rPr>
          <w:color w:val="000000"/>
          <w:szCs w:val="24"/>
        </w:rPr>
        <w:t xml:space="preserve"> = 4.6, 2.3 Hz, 1H), 7.65 – 7.54 (m, 2H), 7.23 – 7.13 (m, 1H), 7.13 – 7.04 (m, 1H), 6.95 – 6.78 (m, 2H), 6.22 – 6.11 (m, 1H), 5.98 – 5.94 (m, 1H), 3.43 – 3.22 (m, 1H), 2.48 (q, </w:t>
      </w:r>
      <w:r w:rsidRPr="0044257B">
        <w:rPr>
          <w:i/>
          <w:iCs/>
          <w:color w:val="000000"/>
          <w:szCs w:val="24"/>
        </w:rPr>
        <w:t>J</w:t>
      </w:r>
      <w:r w:rsidRPr="0044257B">
        <w:rPr>
          <w:color w:val="000000"/>
          <w:szCs w:val="24"/>
        </w:rPr>
        <w:t xml:space="preserve"> = 3.3 Hz, 2H), 1.39 (s, 9H), 1.09 (t, </w:t>
      </w:r>
      <w:r w:rsidRPr="0044257B">
        <w:rPr>
          <w:i/>
          <w:iCs/>
          <w:color w:val="000000"/>
          <w:szCs w:val="24"/>
        </w:rPr>
        <w:t>J</w:t>
      </w:r>
      <w:r w:rsidRPr="0044257B">
        <w:rPr>
          <w:color w:val="000000"/>
          <w:szCs w:val="24"/>
        </w:rPr>
        <w:t xml:space="preserve"> = 2.7 Hz, 3H).</w:t>
      </w:r>
    </w:p>
    <w:p w14:paraId="21DDE690" w14:textId="77777777" w:rsidR="0044257B" w:rsidRPr="0044257B" w:rsidRDefault="0044257B" w:rsidP="0044257B">
      <w:pPr>
        <w:ind w:firstLine="720"/>
        <w:rPr>
          <w:sz w:val="32"/>
          <w:szCs w:val="28"/>
        </w:rPr>
      </w:pPr>
      <w:r w:rsidRPr="0044257B">
        <w:rPr>
          <w:b/>
          <w:bCs/>
        </w:rPr>
        <w:t>N-(2-(cyclohexylamino)-2-oxo-1-(pyridin-3-</w:t>
      </w:r>
      <w:proofErr w:type="gramStart"/>
      <w:r w:rsidRPr="0044257B">
        <w:rPr>
          <w:b/>
          <w:bCs/>
        </w:rPr>
        <w:t>yl)ethyl</w:t>
      </w:r>
      <w:proofErr w:type="gramEnd"/>
      <w:r w:rsidRPr="0044257B">
        <w:rPr>
          <w:b/>
          <w:bCs/>
        </w:rPr>
        <w:t xml:space="preserve">)-N-(4-ethylphenyl)nicotinamide (JG58): </w:t>
      </w:r>
      <w:r w:rsidRPr="0044257B">
        <w:t xml:space="preserve">White amorphous solid, 70% yield. </w:t>
      </w:r>
      <w:r w:rsidRPr="0044257B">
        <w:rPr>
          <w:color w:val="000000"/>
          <w:szCs w:val="24"/>
          <w:vertAlign w:val="superscript"/>
        </w:rPr>
        <w:t>1</w:t>
      </w:r>
      <w:r w:rsidRPr="0044257B">
        <w:rPr>
          <w:color w:val="000000"/>
          <w:szCs w:val="24"/>
        </w:rPr>
        <w:t>H NMR (600 MHz, CDCl</w:t>
      </w:r>
      <w:r w:rsidRPr="0044257B">
        <w:rPr>
          <w:color w:val="000000"/>
          <w:szCs w:val="24"/>
          <w:vertAlign w:val="subscript"/>
        </w:rPr>
        <w:t>3</w:t>
      </w:r>
      <w:r w:rsidRPr="0044257B">
        <w:rPr>
          <w:color w:val="000000"/>
          <w:szCs w:val="24"/>
        </w:rPr>
        <w:t xml:space="preserve">) δ 8.57 – 8.43 (m, 3H), 8.39 (d, </w:t>
      </w:r>
      <w:r w:rsidRPr="0044257B">
        <w:rPr>
          <w:i/>
          <w:iCs/>
          <w:color w:val="000000"/>
          <w:szCs w:val="24"/>
        </w:rPr>
        <w:t>J</w:t>
      </w:r>
      <w:r w:rsidRPr="0044257B">
        <w:rPr>
          <w:color w:val="000000"/>
          <w:szCs w:val="24"/>
        </w:rPr>
        <w:t xml:space="preserve"> = 4.9 Hz, 1H), 7.58 (d, </w:t>
      </w:r>
      <w:r w:rsidRPr="0044257B">
        <w:rPr>
          <w:i/>
          <w:iCs/>
          <w:color w:val="000000"/>
          <w:szCs w:val="24"/>
        </w:rPr>
        <w:t>J</w:t>
      </w:r>
      <w:r w:rsidRPr="0044257B">
        <w:rPr>
          <w:color w:val="000000"/>
          <w:szCs w:val="24"/>
        </w:rPr>
        <w:t xml:space="preserve"> = 8.1 Hz, 1H), 7.51 (d, </w:t>
      </w:r>
      <w:r w:rsidRPr="0044257B">
        <w:rPr>
          <w:i/>
          <w:iCs/>
          <w:color w:val="000000"/>
          <w:szCs w:val="24"/>
        </w:rPr>
        <w:t>J</w:t>
      </w:r>
      <w:r w:rsidRPr="0044257B">
        <w:rPr>
          <w:color w:val="000000"/>
          <w:szCs w:val="24"/>
        </w:rPr>
        <w:t xml:space="preserve"> = 8.0 Hz, 1H), 7.10 (dd, </w:t>
      </w:r>
      <w:r w:rsidRPr="0044257B">
        <w:rPr>
          <w:i/>
          <w:iCs/>
          <w:color w:val="000000"/>
          <w:szCs w:val="24"/>
        </w:rPr>
        <w:t>J</w:t>
      </w:r>
      <w:r w:rsidRPr="0044257B">
        <w:rPr>
          <w:color w:val="000000"/>
          <w:szCs w:val="24"/>
        </w:rPr>
        <w:t xml:space="preserve"> = 8.0, 4.7 Hz, 1H), 7.06 (dd, </w:t>
      </w:r>
      <w:r w:rsidRPr="0044257B">
        <w:rPr>
          <w:i/>
          <w:iCs/>
          <w:color w:val="000000"/>
          <w:szCs w:val="24"/>
        </w:rPr>
        <w:t>J</w:t>
      </w:r>
      <w:r w:rsidRPr="0044257B">
        <w:rPr>
          <w:color w:val="000000"/>
          <w:szCs w:val="24"/>
        </w:rPr>
        <w:t xml:space="preserve"> = 8.0, 4.8 Hz, 1H), 6.86 (d, </w:t>
      </w:r>
      <w:r w:rsidRPr="0044257B">
        <w:rPr>
          <w:i/>
          <w:iCs/>
          <w:color w:val="000000"/>
          <w:szCs w:val="24"/>
        </w:rPr>
        <w:t>J</w:t>
      </w:r>
      <w:r w:rsidRPr="0044257B">
        <w:rPr>
          <w:color w:val="000000"/>
          <w:szCs w:val="24"/>
        </w:rPr>
        <w:t xml:space="preserve"> = 6.0 Hz, 4H), 6.20 (s, 1H), 3.93 – 3.76 (m, 1H), 2.44 (q, </w:t>
      </w:r>
      <w:r w:rsidRPr="0044257B">
        <w:rPr>
          <w:i/>
          <w:iCs/>
          <w:color w:val="000000"/>
          <w:szCs w:val="24"/>
        </w:rPr>
        <w:t>J</w:t>
      </w:r>
      <w:r w:rsidRPr="0044257B">
        <w:rPr>
          <w:color w:val="000000"/>
          <w:szCs w:val="24"/>
        </w:rPr>
        <w:t xml:space="preserve"> = 7.6 Hz, 2H), 2.01 – 1.89 (m, 1H), 1.90 – 1.82 (m, 1H), 1.76 – 1.60 (m, 3H), 1.60 – 1.53 (m, 1H), 1.41 – 1.27 (m, 2H), 1.25 – 1.07 (m, 3H), 1.05 (t, </w:t>
      </w:r>
      <w:r w:rsidRPr="0044257B">
        <w:rPr>
          <w:i/>
          <w:iCs/>
          <w:color w:val="000000"/>
          <w:szCs w:val="24"/>
        </w:rPr>
        <w:t>J</w:t>
      </w:r>
      <w:r w:rsidRPr="0044257B">
        <w:rPr>
          <w:color w:val="000000"/>
          <w:szCs w:val="24"/>
        </w:rPr>
        <w:t xml:space="preserve"> = 7.6 Hz, 3H).</w:t>
      </w:r>
    </w:p>
    <w:p w14:paraId="58E2DB08" w14:textId="77777777" w:rsidR="0044257B" w:rsidRPr="0044257B" w:rsidRDefault="0044257B" w:rsidP="0044257B">
      <w:pPr>
        <w:ind w:firstLine="720"/>
      </w:pPr>
      <w:r w:rsidRPr="0044257B">
        <w:rPr>
          <w:b/>
          <w:bCs/>
        </w:rPr>
        <w:t>N-(4-(tert-</w:t>
      </w:r>
      <w:proofErr w:type="gramStart"/>
      <w:r w:rsidRPr="0044257B">
        <w:rPr>
          <w:b/>
          <w:bCs/>
        </w:rPr>
        <w:t>butyl)phenyl</w:t>
      </w:r>
      <w:proofErr w:type="gramEnd"/>
      <w:r w:rsidRPr="0044257B">
        <w:rPr>
          <w:b/>
          <w:bCs/>
        </w:rPr>
        <w:t>)-N-(2-(cyclohexylamino)-2-oxo-1-(pyridin-3-yl)ethyl)nicotinamide (JG59):</w:t>
      </w:r>
      <w:r w:rsidRPr="0044257B">
        <w:t xml:space="preserve"> White amorphous solid, 93% yield.</w:t>
      </w:r>
      <w:r w:rsidRPr="0044257B">
        <w:rPr>
          <w:sz w:val="32"/>
          <w:szCs w:val="28"/>
        </w:rPr>
        <w:t xml:space="preserve"> </w:t>
      </w:r>
      <w:r w:rsidRPr="0044257B">
        <w:rPr>
          <w:color w:val="000000"/>
          <w:szCs w:val="24"/>
          <w:vertAlign w:val="superscript"/>
        </w:rPr>
        <w:t>1</w:t>
      </w:r>
      <w:r w:rsidRPr="0044257B">
        <w:rPr>
          <w:color w:val="000000"/>
          <w:szCs w:val="24"/>
        </w:rPr>
        <w:t>H NMR (500 MHz, CDCl</w:t>
      </w:r>
      <w:r w:rsidRPr="0044257B">
        <w:rPr>
          <w:color w:val="000000"/>
          <w:szCs w:val="24"/>
          <w:vertAlign w:val="subscript"/>
        </w:rPr>
        <w:t>3</w:t>
      </w:r>
      <w:r w:rsidRPr="0044257B">
        <w:rPr>
          <w:color w:val="000000"/>
          <w:szCs w:val="24"/>
        </w:rPr>
        <w:t>) δ 8.65 (s, 1H), 8.54 (</w:t>
      </w:r>
      <w:proofErr w:type="spellStart"/>
      <w:r w:rsidRPr="0044257B">
        <w:rPr>
          <w:color w:val="000000"/>
          <w:szCs w:val="24"/>
        </w:rPr>
        <w:t>dq</w:t>
      </w:r>
      <w:proofErr w:type="spellEnd"/>
      <w:r w:rsidRPr="0044257B">
        <w:rPr>
          <w:color w:val="000000"/>
          <w:szCs w:val="24"/>
        </w:rPr>
        <w:t xml:space="preserve">, </w:t>
      </w:r>
      <w:r w:rsidRPr="0044257B">
        <w:rPr>
          <w:i/>
          <w:iCs/>
          <w:color w:val="000000"/>
          <w:szCs w:val="24"/>
        </w:rPr>
        <w:t>J</w:t>
      </w:r>
      <w:r w:rsidRPr="0044257B">
        <w:rPr>
          <w:color w:val="000000"/>
          <w:szCs w:val="24"/>
        </w:rPr>
        <w:t xml:space="preserve"> = 3.3, 1.2 Hz, 2H), 8.45 (dt, </w:t>
      </w:r>
      <w:r w:rsidRPr="0044257B">
        <w:rPr>
          <w:i/>
          <w:iCs/>
          <w:color w:val="000000"/>
          <w:szCs w:val="24"/>
        </w:rPr>
        <w:t>J</w:t>
      </w:r>
      <w:r w:rsidRPr="0044257B">
        <w:rPr>
          <w:color w:val="000000"/>
          <w:szCs w:val="24"/>
        </w:rPr>
        <w:t xml:space="preserve"> = 5.1, 1.2 Hz, 1H), 7.79 (s, 1H), 7.64 (dd, </w:t>
      </w:r>
      <w:r w:rsidRPr="0044257B">
        <w:rPr>
          <w:i/>
          <w:iCs/>
          <w:color w:val="000000"/>
          <w:szCs w:val="24"/>
        </w:rPr>
        <w:t>J</w:t>
      </w:r>
      <w:r w:rsidRPr="0044257B">
        <w:rPr>
          <w:color w:val="000000"/>
          <w:szCs w:val="24"/>
        </w:rPr>
        <w:t xml:space="preserve"> = 8.1, 2.1 Hz, 1H), 7.29 (s, 1H), 7.16 – 7.09 (m, 2H), 6.89 (d, </w:t>
      </w:r>
      <w:r w:rsidRPr="0044257B">
        <w:rPr>
          <w:i/>
          <w:iCs/>
          <w:color w:val="000000"/>
          <w:szCs w:val="24"/>
        </w:rPr>
        <w:t>J</w:t>
      </w:r>
      <w:r w:rsidRPr="0044257B">
        <w:rPr>
          <w:color w:val="000000"/>
          <w:szCs w:val="24"/>
        </w:rPr>
        <w:t xml:space="preserve"> = 8.0 Hz, 1H), 6.25 (d, </w:t>
      </w:r>
      <w:r w:rsidRPr="0044257B">
        <w:rPr>
          <w:i/>
          <w:iCs/>
          <w:color w:val="000000"/>
          <w:szCs w:val="24"/>
        </w:rPr>
        <w:t>J</w:t>
      </w:r>
      <w:r w:rsidRPr="0044257B">
        <w:rPr>
          <w:color w:val="000000"/>
          <w:szCs w:val="24"/>
        </w:rPr>
        <w:t xml:space="preserve"> = 2.6 Hz, 1H), 6.20 (s, 1H), 3.86 (m, 1H), 1.98 (d, </w:t>
      </w:r>
      <w:r w:rsidRPr="0044257B">
        <w:rPr>
          <w:i/>
          <w:iCs/>
          <w:color w:val="000000"/>
          <w:szCs w:val="24"/>
        </w:rPr>
        <w:t>J</w:t>
      </w:r>
      <w:r w:rsidRPr="0044257B">
        <w:rPr>
          <w:color w:val="000000"/>
          <w:szCs w:val="24"/>
        </w:rPr>
        <w:t xml:space="preserve"> = 12.2 Hz, 1H), 1.90 (d, </w:t>
      </w:r>
      <w:r w:rsidRPr="0044257B">
        <w:rPr>
          <w:i/>
          <w:iCs/>
          <w:color w:val="000000"/>
          <w:szCs w:val="24"/>
        </w:rPr>
        <w:t>J</w:t>
      </w:r>
      <w:r w:rsidRPr="0044257B">
        <w:rPr>
          <w:color w:val="000000"/>
          <w:szCs w:val="24"/>
        </w:rPr>
        <w:t xml:space="preserve"> = 12.0 Hz, 1H), 1.75 – </w:t>
      </w:r>
      <w:r w:rsidRPr="0044257B">
        <w:rPr>
          <w:color w:val="000000"/>
          <w:szCs w:val="24"/>
        </w:rPr>
        <w:lastRenderedPageBreak/>
        <w:t xml:space="preserve">1.66 (m, 3H), 1.61 (dd, </w:t>
      </w:r>
      <w:r w:rsidRPr="0044257B">
        <w:rPr>
          <w:i/>
          <w:iCs/>
          <w:color w:val="000000"/>
          <w:szCs w:val="24"/>
        </w:rPr>
        <w:t>J</w:t>
      </w:r>
      <w:r w:rsidRPr="0044257B">
        <w:rPr>
          <w:color w:val="000000"/>
          <w:szCs w:val="24"/>
        </w:rPr>
        <w:t xml:space="preserve"> = 13.0, 4.0 Hz, 1H), 1.45 – 1.30 (m, 3H), 1.24 – 1.20 (m, 1H), 1.18 (m, 11H). </w:t>
      </w:r>
    </w:p>
    <w:p w14:paraId="11F9AF01" w14:textId="77777777" w:rsidR="0044257B" w:rsidRPr="0044257B" w:rsidRDefault="0044257B" w:rsidP="0044257B">
      <w:pPr>
        <w:ind w:firstLine="720"/>
        <w:rPr>
          <w:color w:val="000000"/>
          <w:szCs w:val="24"/>
        </w:rPr>
      </w:pPr>
      <w:r w:rsidRPr="0044257B">
        <w:rPr>
          <w:b/>
          <w:bCs/>
        </w:rPr>
        <w:t>N-(4-(tert-</w:t>
      </w:r>
      <w:proofErr w:type="gramStart"/>
      <w:r w:rsidRPr="0044257B">
        <w:rPr>
          <w:b/>
          <w:bCs/>
        </w:rPr>
        <w:t>butyl)phenyl</w:t>
      </w:r>
      <w:proofErr w:type="gramEnd"/>
      <w:r w:rsidRPr="0044257B">
        <w:rPr>
          <w:b/>
          <w:bCs/>
        </w:rPr>
        <w:t xml:space="preserve">)-N-(2-(cyclohexylamino)-2-oxo-1-(pyridin-3-yl)ethyl)-2-(thiophen-2-yl)acetamide (JG5.06): </w:t>
      </w:r>
      <w:r w:rsidRPr="0044257B">
        <w:t xml:space="preserve">Yellow amorphous solid, 62% yield. </w:t>
      </w:r>
      <w:r w:rsidRPr="0044257B">
        <w:rPr>
          <w:color w:val="000000"/>
          <w:szCs w:val="24"/>
          <w:vertAlign w:val="superscript"/>
        </w:rPr>
        <w:t>1</w:t>
      </w:r>
      <w:r w:rsidRPr="0044257B">
        <w:rPr>
          <w:color w:val="000000"/>
          <w:szCs w:val="24"/>
        </w:rPr>
        <w:t>H NMR (400 MHz, CD</w:t>
      </w:r>
      <w:r w:rsidRPr="0044257B">
        <w:rPr>
          <w:color w:val="000000"/>
          <w:szCs w:val="24"/>
          <w:vertAlign w:val="subscript"/>
        </w:rPr>
        <w:t>3</w:t>
      </w:r>
      <w:r w:rsidRPr="0044257B">
        <w:rPr>
          <w:color w:val="000000"/>
          <w:szCs w:val="24"/>
        </w:rPr>
        <w:t xml:space="preserve">OD) δ 8.30 (d, </w:t>
      </w:r>
      <w:r w:rsidRPr="0044257B">
        <w:rPr>
          <w:i/>
          <w:iCs/>
          <w:color w:val="000000"/>
          <w:szCs w:val="24"/>
        </w:rPr>
        <w:t>J</w:t>
      </w:r>
      <w:r w:rsidRPr="0044257B">
        <w:rPr>
          <w:color w:val="000000"/>
          <w:szCs w:val="24"/>
        </w:rPr>
        <w:t xml:space="preserve"> = 3.1 Hz, 2H), 7.52 (d, </w:t>
      </w:r>
      <w:r w:rsidRPr="0044257B">
        <w:rPr>
          <w:i/>
          <w:iCs/>
          <w:color w:val="000000"/>
          <w:szCs w:val="24"/>
        </w:rPr>
        <w:t>J</w:t>
      </w:r>
      <w:r w:rsidRPr="0044257B">
        <w:rPr>
          <w:color w:val="000000"/>
          <w:szCs w:val="24"/>
        </w:rPr>
        <w:t xml:space="preserve"> = 8.0 Hz, 1H), 7.37 – 7.08 (m, 5H), 6.88 (dd, </w:t>
      </w:r>
      <w:r w:rsidRPr="0044257B">
        <w:rPr>
          <w:i/>
          <w:iCs/>
          <w:color w:val="000000"/>
          <w:szCs w:val="24"/>
        </w:rPr>
        <w:t>J</w:t>
      </w:r>
      <w:r w:rsidRPr="0044257B">
        <w:rPr>
          <w:color w:val="000000"/>
          <w:szCs w:val="24"/>
        </w:rPr>
        <w:t xml:space="preserve"> = 5.2, 3.5 Hz, 1H), 6.70 (d, </w:t>
      </w:r>
      <w:r w:rsidRPr="0044257B">
        <w:rPr>
          <w:i/>
          <w:iCs/>
          <w:color w:val="000000"/>
          <w:szCs w:val="24"/>
        </w:rPr>
        <w:t>J</w:t>
      </w:r>
      <w:r w:rsidRPr="0044257B">
        <w:rPr>
          <w:color w:val="000000"/>
          <w:szCs w:val="24"/>
        </w:rPr>
        <w:t xml:space="preserve"> = 3.4 Hz, 1H), 6.08 (s, 1H), 3.65 (s, 2H), 1.92 (m, 2H), 1.74 (m, 2H), 1.62 (m, 2H), 1.44 – 1.27 (m, 3H), 1.24 (s, 9H), 1.22 – 1.01 (m, 2H).</w:t>
      </w:r>
    </w:p>
    <w:p w14:paraId="32BB7ED3" w14:textId="77777777" w:rsidR="0044257B" w:rsidRPr="0044257B" w:rsidRDefault="0044257B" w:rsidP="0044257B">
      <w:pPr>
        <w:ind w:firstLine="720"/>
        <w:rPr>
          <w:sz w:val="40"/>
          <w:szCs w:val="36"/>
        </w:rPr>
      </w:pPr>
      <w:r w:rsidRPr="0044257B">
        <w:rPr>
          <w:b/>
          <w:bCs/>
        </w:rPr>
        <w:t>N-(2-(cyclohexylamino)-2-oxo-1-(pyridin-3-</w:t>
      </w:r>
      <w:proofErr w:type="gramStart"/>
      <w:r w:rsidRPr="0044257B">
        <w:rPr>
          <w:b/>
          <w:bCs/>
        </w:rPr>
        <w:t>yl)ethyl</w:t>
      </w:r>
      <w:proofErr w:type="gramEnd"/>
      <w:r w:rsidRPr="0044257B">
        <w:rPr>
          <w:b/>
          <w:bCs/>
        </w:rPr>
        <w:t xml:space="preserve">)-N-phenethylnicotinamide (JG5.08): </w:t>
      </w:r>
      <w:r w:rsidRPr="0044257B">
        <w:t xml:space="preserve">White amorphous solid, 77% yield. </w:t>
      </w:r>
      <w:r w:rsidRPr="0044257B">
        <w:rPr>
          <w:color w:val="000000"/>
          <w:szCs w:val="24"/>
          <w:vertAlign w:val="superscript"/>
        </w:rPr>
        <w:t>1</w:t>
      </w:r>
      <w:r w:rsidRPr="0044257B">
        <w:rPr>
          <w:color w:val="000000"/>
          <w:szCs w:val="24"/>
        </w:rPr>
        <w:t>H NMR (400 MHz, CD</w:t>
      </w:r>
      <w:r w:rsidRPr="0044257B">
        <w:rPr>
          <w:color w:val="000000"/>
          <w:szCs w:val="24"/>
          <w:vertAlign w:val="subscript"/>
        </w:rPr>
        <w:t>3</w:t>
      </w:r>
      <w:r w:rsidRPr="0044257B">
        <w:rPr>
          <w:color w:val="000000"/>
          <w:szCs w:val="24"/>
        </w:rPr>
        <w:t xml:space="preserve">OD) δ 8.69 – 8.60 (m, 3H), </w:t>
      </w:r>
      <w:r w:rsidRPr="0044257B">
        <w:t xml:space="preserve">8.60 – 8.56 (m, 2H), </w:t>
      </w:r>
      <w:r w:rsidRPr="0044257B">
        <w:rPr>
          <w:color w:val="000000"/>
          <w:szCs w:val="24"/>
        </w:rPr>
        <w:t xml:space="preserve">8.10 – 7.96 (m, 1H), 7.87 (d, </w:t>
      </w:r>
      <w:r w:rsidRPr="0044257B">
        <w:rPr>
          <w:i/>
          <w:iCs/>
          <w:color w:val="000000"/>
          <w:szCs w:val="24"/>
        </w:rPr>
        <w:t>J</w:t>
      </w:r>
      <w:r w:rsidRPr="0044257B">
        <w:rPr>
          <w:color w:val="000000"/>
          <w:szCs w:val="24"/>
        </w:rPr>
        <w:t xml:space="preserve"> = 7.9 Hz, 1H), 7.55 (dt, </w:t>
      </w:r>
      <w:r w:rsidRPr="0044257B">
        <w:rPr>
          <w:i/>
          <w:iCs/>
          <w:color w:val="000000"/>
          <w:szCs w:val="24"/>
        </w:rPr>
        <w:t>J</w:t>
      </w:r>
      <w:r w:rsidRPr="0044257B">
        <w:rPr>
          <w:color w:val="000000"/>
          <w:szCs w:val="24"/>
        </w:rPr>
        <w:t xml:space="preserve"> = 13.0, 6.1 Hz, 2H), 7.15 – 7.09 (m, 2H), 6.61 (s, 1H), 6.06 (s, 1H), 3.73 (</w:t>
      </w:r>
      <w:proofErr w:type="spellStart"/>
      <w:r w:rsidRPr="0044257B">
        <w:rPr>
          <w:color w:val="000000"/>
          <w:szCs w:val="24"/>
        </w:rPr>
        <w:t>tt</w:t>
      </w:r>
      <w:proofErr w:type="spellEnd"/>
      <w:r w:rsidRPr="0044257B">
        <w:rPr>
          <w:color w:val="000000"/>
          <w:szCs w:val="24"/>
        </w:rPr>
        <w:t xml:space="preserve">, </w:t>
      </w:r>
      <w:r w:rsidRPr="0044257B">
        <w:rPr>
          <w:i/>
          <w:iCs/>
          <w:color w:val="000000"/>
          <w:szCs w:val="24"/>
        </w:rPr>
        <w:t>J</w:t>
      </w:r>
      <w:r w:rsidRPr="0044257B">
        <w:rPr>
          <w:color w:val="000000"/>
          <w:szCs w:val="24"/>
        </w:rPr>
        <w:t xml:space="preserve"> = 10.8, 3.9 Hz, 2H), 3.50 – 3.45 (m, 2H), 2.22 – 2.10 (m, 1H), 1.95 – 1.86 (m, 2H), 1.86 – 1.63 (m, 4H), 1.63 – 1.58 (m, 1H), 1.46 – 1.28 (m, 3H).</w:t>
      </w:r>
    </w:p>
    <w:p w14:paraId="5DFD26BD" w14:textId="77777777" w:rsidR="0044257B" w:rsidRPr="0044257B" w:rsidRDefault="0044257B" w:rsidP="0044257B">
      <w:pPr>
        <w:ind w:firstLine="720"/>
        <w:rPr>
          <w:sz w:val="32"/>
          <w:szCs w:val="28"/>
        </w:rPr>
      </w:pPr>
      <w:r w:rsidRPr="0044257B">
        <w:rPr>
          <w:b/>
          <w:bCs/>
        </w:rPr>
        <w:t>N-(2-(1H-indol-3-</w:t>
      </w:r>
      <w:proofErr w:type="gramStart"/>
      <w:r w:rsidRPr="0044257B">
        <w:rPr>
          <w:b/>
          <w:bCs/>
        </w:rPr>
        <w:t>yl)ethyl</w:t>
      </w:r>
      <w:proofErr w:type="gramEnd"/>
      <w:r w:rsidRPr="0044257B">
        <w:rPr>
          <w:b/>
          <w:bCs/>
        </w:rPr>
        <w:t xml:space="preserve">)-N-(2-(cyclohexylamino)-2-oxo-1-(pyridin-3-yl)ethyl)nicotinamide (JG5.09): </w:t>
      </w:r>
      <w:r w:rsidRPr="0044257B">
        <w:t xml:space="preserve">Amorphous yellow solid, 97% yield. </w:t>
      </w:r>
      <w:r w:rsidRPr="0044257B">
        <w:rPr>
          <w:color w:val="000000"/>
          <w:szCs w:val="24"/>
          <w:vertAlign w:val="superscript"/>
        </w:rPr>
        <w:t>1</w:t>
      </w:r>
      <w:r w:rsidRPr="0044257B">
        <w:rPr>
          <w:color w:val="000000"/>
          <w:szCs w:val="24"/>
        </w:rPr>
        <w:t>H NMR (400 MHz, cd</w:t>
      </w:r>
      <w:r w:rsidRPr="0044257B">
        <w:rPr>
          <w:color w:val="000000"/>
          <w:szCs w:val="24"/>
          <w:vertAlign w:val="subscript"/>
        </w:rPr>
        <w:t>3</w:t>
      </w:r>
      <w:r w:rsidRPr="0044257B">
        <w:rPr>
          <w:color w:val="000000"/>
          <w:szCs w:val="24"/>
        </w:rPr>
        <w:t xml:space="preserve">od) δ 8.76 (s, 1H), 8.62 – 8.58 (m, 1H), 8.55 – 8.49 (m, 1H), 8.09 – 8.05 (m, 1H), 7.65 – 7.60 (m, 1H), 7.55 – 7.50 (m, 1H), 7.36 – 7.21 (m, 2H), 7.02 (t, </w:t>
      </w:r>
      <w:r w:rsidRPr="0044257B">
        <w:rPr>
          <w:i/>
          <w:iCs/>
          <w:color w:val="000000"/>
          <w:szCs w:val="24"/>
        </w:rPr>
        <w:t>J</w:t>
      </w:r>
      <w:r w:rsidRPr="0044257B">
        <w:rPr>
          <w:color w:val="000000"/>
          <w:szCs w:val="24"/>
        </w:rPr>
        <w:t xml:space="preserve"> = 7.5 Hz, 2H), 6.80 (s, 1H), 6.69 (s, 1H), 6.02 (s, 1H), 3.80 – 3.68 (m, 2H), 3.61 – 3.56 (m, 1H), 2.87 – 2.76 (m, 1H), 2.50 – 2.38 (m, 1H), 1.95 – 1.87 (m, 1H), 1.86 – 1.57 (m, 6H), 1.44 – 1.29 (m, 4H).</w:t>
      </w:r>
    </w:p>
    <w:p w14:paraId="53C40271" w14:textId="77777777" w:rsidR="0044257B" w:rsidRPr="0044257B" w:rsidRDefault="0044257B" w:rsidP="0044257B">
      <w:pPr>
        <w:ind w:firstLine="720"/>
      </w:pPr>
      <w:r w:rsidRPr="0044257B">
        <w:rPr>
          <w:b/>
          <w:bCs/>
        </w:rPr>
        <w:t>N-(4-(tert-</w:t>
      </w:r>
      <w:proofErr w:type="gramStart"/>
      <w:r w:rsidRPr="0044257B">
        <w:rPr>
          <w:b/>
          <w:bCs/>
        </w:rPr>
        <w:t>butyl)phenyl</w:t>
      </w:r>
      <w:proofErr w:type="gramEnd"/>
      <w:r w:rsidRPr="0044257B">
        <w:rPr>
          <w:b/>
          <w:bCs/>
        </w:rPr>
        <w:t xml:space="preserve">)-N-(2-(cyclohexylamino)-2-oxo-1-(pyridin-3-yl)ethyl)-1H-indole-3-carboxamide (JG5.11): </w:t>
      </w:r>
      <w:r w:rsidRPr="0044257B">
        <w:t xml:space="preserve">Yellow oil, 30% yield. </w:t>
      </w:r>
      <w:r w:rsidRPr="0044257B">
        <w:rPr>
          <w:color w:val="000000"/>
          <w:szCs w:val="24"/>
          <w:vertAlign w:val="superscript"/>
        </w:rPr>
        <w:t>1</w:t>
      </w:r>
      <w:r w:rsidRPr="0044257B">
        <w:rPr>
          <w:color w:val="000000"/>
          <w:szCs w:val="24"/>
        </w:rPr>
        <w:t>H NMR (400 MHz, CD</w:t>
      </w:r>
      <w:r w:rsidRPr="0044257B">
        <w:rPr>
          <w:color w:val="000000"/>
          <w:szCs w:val="24"/>
          <w:vertAlign w:val="subscript"/>
        </w:rPr>
        <w:t>3</w:t>
      </w:r>
      <w:r w:rsidRPr="0044257B">
        <w:rPr>
          <w:color w:val="000000"/>
          <w:szCs w:val="24"/>
        </w:rPr>
        <w:t xml:space="preserve">OD) δ 8.42 (d, </w:t>
      </w:r>
      <w:r w:rsidRPr="0044257B">
        <w:rPr>
          <w:i/>
          <w:iCs/>
          <w:color w:val="000000"/>
          <w:szCs w:val="24"/>
        </w:rPr>
        <w:t>J</w:t>
      </w:r>
      <w:r w:rsidRPr="0044257B">
        <w:rPr>
          <w:color w:val="000000"/>
          <w:szCs w:val="24"/>
        </w:rPr>
        <w:t xml:space="preserve"> = 2.2 Hz, 1H), 8.35 (dd, </w:t>
      </w:r>
      <w:r w:rsidRPr="0044257B">
        <w:rPr>
          <w:i/>
          <w:iCs/>
          <w:color w:val="000000"/>
          <w:szCs w:val="24"/>
        </w:rPr>
        <w:t>J</w:t>
      </w:r>
      <w:r w:rsidRPr="0044257B">
        <w:rPr>
          <w:color w:val="000000"/>
          <w:szCs w:val="24"/>
        </w:rPr>
        <w:t xml:space="preserve"> = 5.0, 1.6 Hz, 1H), 8.31 – 8.15 (m, 1H), 7.67 (dt, </w:t>
      </w:r>
      <w:r w:rsidRPr="0044257B">
        <w:rPr>
          <w:i/>
          <w:iCs/>
          <w:color w:val="000000"/>
          <w:szCs w:val="24"/>
        </w:rPr>
        <w:t>J</w:t>
      </w:r>
      <w:r w:rsidRPr="0044257B">
        <w:rPr>
          <w:color w:val="000000"/>
          <w:szCs w:val="24"/>
        </w:rPr>
        <w:t xml:space="preserve"> = 8.0, 1.9 Hz, 1H), </w:t>
      </w:r>
      <w:r w:rsidRPr="0044257B">
        <w:rPr>
          <w:color w:val="000000"/>
          <w:szCs w:val="24"/>
        </w:rPr>
        <w:lastRenderedPageBreak/>
        <w:t xml:space="preserve">7.26 (td, </w:t>
      </w:r>
      <w:r w:rsidRPr="0044257B">
        <w:rPr>
          <w:i/>
          <w:iCs/>
          <w:color w:val="000000"/>
          <w:szCs w:val="24"/>
        </w:rPr>
        <w:t>J</w:t>
      </w:r>
      <w:r w:rsidRPr="0044257B">
        <w:rPr>
          <w:color w:val="000000"/>
          <w:szCs w:val="24"/>
        </w:rPr>
        <w:t xml:space="preserve"> = 8.2, 5.6 Hz, 3H), 7.23 – 7.09 (m, 4H), 6.39 (s, 1H), 6.09 (s, 1H), 3.75 (m, 1H), 2.02 – 1.90 (m, 1H), 1.79 (q, </w:t>
      </w:r>
      <w:r w:rsidRPr="0044257B">
        <w:rPr>
          <w:i/>
          <w:iCs/>
          <w:color w:val="000000"/>
          <w:szCs w:val="24"/>
        </w:rPr>
        <w:t>J</w:t>
      </w:r>
      <w:r w:rsidRPr="0044257B">
        <w:rPr>
          <w:color w:val="000000"/>
          <w:szCs w:val="24"/>
        </w:rPr>
        <w:t xml:space="preserve"> = 6.0 Hz, 2H), 1.67 (m, 3H), 1.44 – 1.30 (m, 5H), 1.27 (s, 9H).</w:t>
      </w:r>
    </w:p>
    <w:p w14:paraId="219E8477" w14:textId="77777777" w:rsidR="0044257B" w:rsidRPr="0044257B" w:rsidRDefault="0044257B" w:rsidP="0044257B">
      <w:pPr>
        <w:ind w:firstLine="720"/>
        <w:rPr>
          <w:sz w:val="32"/>
          <w:szCs w:val="28"/>
        </w:rPr>
      </w:pPr>
      <w:r w:rsidRPr="0044257B">
        <w:rPr>
          <w:b/>
          <w:bCs/>
        </w:rPr>
        <w:t>N-(4-(tert-</w:t>
      </w:r>
      <w:proofErr w:type="gramStart"/>
      <w:r w:rsidRPr="0044257B">
        <w:rPr>
          <w:b/>
          <w:bCs/>
        </w:rPr>
        <w:t>butyl)phenyl</w:t>
      </w:r>
      <w:proofErr w:type="gramEnd"/>
      <w:r w:rsidRPr="0044257B">
        <w:rPr>
          <w:b/>
          <w:bCs/>
        </w:rPr>
        <w:t>)-N-(2-(cyclohexylamino)-2-oxo-1-(pyridin-3-yl)ethyl)-1H-pyrrolo[2,3-b]pyridine-3-carboxamide (JG5.13):</w:t>
      </w:r>
      <w:r w:rsidRPr="0044257B">
        <w:t xml:space="preserve"> Amber oil, 10% yield. </w:t>
      </w:r>
      <w:r w:rsidRPr="0044257B">
        <w:rPr>
          <w:color w:val="000000"/>
          <w:szCs w:val="24"/>
          <w:vertAlign w:val="superscript"/>
        </w:rPr>
        <w:t>1</w:t>
      </w:r>
      <w:r w:rsidRPr="0044257B">
        <w:rPr>
          <w:color w:val="000000"/>
          <w:szCs w:val="24"/>
        </w:rPr>
        <w:t xml:space="preserve">H NMR (500 MHz, </w:t>
      </w:r>
      <w:proofErr w:type="spellStart"/>
      <w:r w:rsidRPr="0044257B">
        <w:rPr>
          <w:color w:val="000000"/>
          <w:szCs w:val="24"/>
        </w:rPr>
        <w:t>dmso</w:t>
      </w:r>
      <w:proofErr w:type="spellEnd"/>
      <w:r w:rsidRPr="0044257B">
        <w:rPr>
          <w:color w:val="000000"/>
          <w:szCs w:val="24"/>
        </w:rPr>
        <w:t xml:space="preserve">) δ 11.84 (d, </w:t>
      </w:r>
      <w:r w:rsidRPr="0044257B">
        <w:rPr>
          <w:i/>
          <w:iCs/>
          <w:color w:val="000000"/>
          <w:szCs w:val="24"/>
        </w:rPr>
        <w:t>J</w:t>
      </w:r>
      <w:r w:rsidRPr="0044257B">
        <w:rPr>
          <w:color w:val="000000"/>
          <w:szCs w:val="24"/>
        </w:rPr>
        <w:t xml:space="preserve"> = 2.9 Hz, 1H), 8.53 (dd, </w:t>
      </w:r>
      <w:r w:rsidRPr="0044257B">
        <w:rPr>
          <w:i/>
          <w:iCs/>
          <w:color w:val="000000"/>
          <w:szCs w:val="24"/>
        </w:rPr>
        <w:t>J</w:t>
      </w:r>
      <w:r w:rsidRPr="0044257B">
        <w:rPr>
          <w:color w:val="000000"/>
          <w:szCs w:val="24"/>
        </w:rPr>
        <w:t xml:space="preserve"> = 8.0, 1.7 Hz, 1H), 8.39 – 8.31 (m, 2H), 8.23 (dd, </w:t>
      </w:r>
      <w:r w:rsidRPr="0044257B">
        <w:rPr>
          <w:i/>
          <w:iCs/>
          <w:color w:val="000000"/>
          <w:szCs w:val="24"/>
        </w:rPr>
        <w:t>J</w:t>
      </w:r>
      <w:r w:rsidRPr="0044257B">
        <w:rPr>
          <w:color w:val="000000"/>
          <w:szCs w:val="24"/>
        </w:rPr>
        <w:t xml:space="preserve"> = 4.7, 1.7 Hz, 1H), 8.13 (d, </w:t>
      </w:r>
      <w:r w:rsidRPr="0044257B">
        <w:rPr>
          <w:i/>
          <w:iCs/>
          <w:color w:val="000000"/>
          <w:szCs w:val="24"/>
        </w:rPr>
        <w:t>J</w:t>
      </w:r>
      <w:r w:rsidRPr="0044257B">
        <w:rPr>
          <w:color w:val="000000"/>
          <w:szCs w:val="24"/>
        </w:rPr>
        <w:t xml:space="preserve"> = 7.7 Hz, 1H), 7.43 (dt, </w:t>
      </w:r>
      <w:r w:rsidRPr="0044257B">
        <w:rPr>
          <w:i/>
          <w:iCs/>
          <w:color w:val="000000"/>
          <w:szCs w:val="24"/>
        </w:rPr>
        <w:t>J</w:t>
      </w:r>
      <w:r w:rsidRPr="0044257B">
        <w:rPr>
          <w:color w:val="000000"/>
          <w:szCs w:val="24"/>
        </w:rPr>
        <w:t xml:space="preserve"> = 7.9, 1.9 Hz, 1H), 7.26 (d, </w:t>
      </w:r>
      <w:r w:rsidRPr="0044257B">
        <w:rPr>
          <w:i/>
          <w:iCs/>
          <w:color w:val="000000"/>
          <w:szCs w:val="24"/>
        </w:rPr>
        <w:t>J</w:t>
      </w:r>
      <w:r w:rsidRPr="0044257B">
        <w:rPr>
          <w:color w:val="000000"/>
          <w:szCs w:val="24"/>
        </w:rPr>
        <w:t xml:space="preserve"> = 7.8 Hz, 2H), 7.16 (</w:t>
      </w:r>
      <w:proofErr w:type="spellStart"/>
      <w:r w:rsidRPr="0044257B">
        <w:rPr>
          <w:color w:val="000000"/>
          <w:szCs w:val="24"/>
        </w:rPr>
        <w:t>ddd</w:t>
      </w:r>
      <w:proofErr w:type="spellEnd"/>
      <w:r w:rsidRPr="0044257B">
        <w:rPr>
          <w:color w:val="000000"/>
          <w:szCs w:val="24"/>
        </w:rPr>
        <w:t xml:space="preserve">, </w:t>
      </w:r>
      <w:r w:rsidRPr="0044257B">
        <w:rPr>
          <w:i/>
          <w:iCs/>
          <w:color w:val="000000"/>
          <w:szCs w:val="24"/>
        </w:rPr>
        <w:t>J</w:t>
      </w:r>
      <w:r w:rsidRPr="0044257B">
        <w:rPr>
          <w:color w:val="000000"/>
          <w:szCs w:val="24"/>
        </w:rPr>
        <w:t xml:space="preserve"> = 7.9, 6.5, 4.6 Hz, 3H), 6.30 (s, 1H), 5.73 (d, </w:t>
      </w:r>
      <w:r w:rsidRPr="0044257B">
        <w:rPr>
          <w:i/>
          <w:iCs/>
          <w:color w:val="000000"/>
          <w:szCs w:val="24"/>
        </w:rPr>
        <w:t>J</w:t>
      </w:r>
      <w:r w:rsidRPr="0044257B">
        <w:rPr>
          <w:color w:val="000000"/>
          <w:szCs w:val="24"/>
        </w:rPr>
        <w:t xml:space="preserve"> = 3.1 Hz, 1H), 4.07 (s, 1H), 3.58 (dd, </w:t>
      </w:r>
      <w:r w:rsidRPr="0044257B">
        <w:rPr>
          <w:i/>
          <w:iCs/>
          <w:color w:val="000000"/>
          <w:szCs w:val="24"/>
        </w:rPr>
        <w:t>J</w:t>
      </w:r>
      <w:r w:rsidRPr="0044257B">
        <w:rPr>
          <w:color w:val="000000"/>
          <w:szCs w:val="24"/>
        </w:rPr>
        <w:t xml:space="preserve"> = 7.5, 3.8 Hz, 1H), 3.33 (s, 2H), 1.72 (d, </w:t>
      </w:r>
      <w:r w:rsidRPr="0044257B">
        <w:rPr>
          <w:i/>
          <w:iCs/>
          <w:color w:val="000000"/>
          <w:szCs w:val="24"/>
        </w:rPr>
        <w:t>J</w:t>
      </w:r>
      <w:r w:rsidRPr="0044257B">
        <w:rPr>
          <w:color w:val="000000"/>
          <w:szCs w:val="24"/>
        </w:rPr>
        <w:t xml:space="preserve"> = 10.8 Hz, 1H), 1.69 – 1.64 (m, 2H), 1.59 (d, </w:t>
      </w:r>
      <w:r w:rsidRPr="0044257B">
        <w:rPr>
          <w:i/>
          <w:iCs/>
          <w:color w:val="000000"/>
          <w:szCs w:val="24"/>
        </w:rPr>
        <w:t>J</w:t>
      </w:r>
      <w:r w:rsidRPr="0044257B">
        <w:rPr>
          <w:color w:val="000000"/>
          <w:szCs w:val="24"/>
        </w:rPr>
        <w:t xml:space="preserve"> = 12.8 Hz, 1H), 1.52 (d, </w:t>
      </w:r>
      <w:r w:rsidRPr="0044257B">
        <w:rPr>
          <w:i/>
          <w:iCs/>
          <w:color w:val="000000"/>
          <w:szCs w:val="24"/>
        </w:rPr>
        <w:t>J</w:t>
      </w:r>
      <w:r w:rsidRPr="0044257B">
        <w:rPr>
          <w:color w:val="000000"/>
          <w:szCs w:val="24"/>
        </w:rPr>
        <w:t xml:space="preserve"> = 12.7 Hz, 1H), 1.13 – 0.95 (m, 3H).</w:t>
      </w:r>
    </w:p>
    <w:p w14:paraId="594C93C8" w14:textId="77777777" w:rsidR="0044257B" w:rsidRPr="0044257B" w:rsidRDefault="0044257B" w:rsidP="0044257B">
      <w:pPr>
        <w:ind w:firstLine="720"/>
        <w:rPr>
          <w:color w:val="000000"/>
          <w:szCs w:val="24"/>
        </w:rPr>
      </w:pPr>
      <w:r w:rsidRPr="0044257B">
        <w:rPr>
          <w:b/>
          <w:bCs/>
        </w:rPr>
        <w:t>N-benzyl-N-(2-(cyclohexylamino)-2-oxo-1-(pyridin-3-</w:t>
      </w:r>
      <w:proofErr w:type="gramStart"/>
      <w:r w:rsidRPr="0044257B">
        <w:rPr>
          <w:b/>
          <w:bCs/>
        </w:rPr>
        <w:t>yl)ethyl</w:t>
      </w:r>
      <w:proofErr w:type="gramEnd"/>
      <w:r w:rsidRPr="0044257B">
        <w:rPr>
          <w:b/>
          <w:bCs/>
        </w:rPr>
        <w:t>)-1H-pyrrolo[2,3-b]pyridine-3-carboxamide (JG5.14):</w:t>
      </w:r>
      <w:r w:rsidRPr="0044257B">
        <w:t xml:space="preserve"> Amber oil, 10% yield. </w:t>
      </w:r>
      <w:r w:rsidRPr="0044257B">
        <w:rPr>
          <w:color w:val="000000"/>
          <w:szCs w:val="24"/>
          <w:vertAlign w:val="superscript"/>
        </w:rPr>
        <w:t>1</w:t>
      </w:r>
      <w:r w:rsidRPr="0044257B">
        <w:rPr>
          <w:color w:val="000000"/>
          <w:szCs w:val="24"/>
        </w:rPr>
        <w:t xml:space="preserve">H NMR (500 MHz, DMSO) δ 12.08 (s, 1H), 8.39 (s, 1H), 8.34 (dd, </w:t>
      </w:r>
      <w:r w:rsidRPr="0044257B">
        <w:rPr>
          <w:i/>
          <w:iCs/>
          <w:color w:val="000000"/>
          <w:szCs w:val="24"/>
        </w:rPr>
        <w:t>J</w:t>
      </w:r>
      <w:r w:rsidRPr="0044257B">
        <w:rPr>
          <w:color w:val="000000"/>
          <w:szCs w:val="24"/>
        </w:rPr>
        <w:t xml:space="preserve"> = 4.9, 1.8 Hz, 1H), 8.31 – 8.25 (m, 2H), 8.08 (d, </w:t>
      </w:r>
      <w:r w:rsidRPr="0044257B">
        <w:rPr>
          <w:i/>
          <w:iCs/>
          <w:color w:val="000000"/>
          <w:szCs w:val="24"/>
        </w:rPr>
        <w:t>J</w:t>
      </w:r>
      <w:r w:rsidRPr="0044257B">
        <w:rPr>
          <w:color w:val="000000"/>
          <w:szCs w:val="24"/>
        </w:rPr>
        <w:t xml:space="preserve"> = 7.7 Hz, 1H), 7.64 (d, </w:t>
      </w:r>
      <w:r w:rsidRPr="0044257B">
        <w:rPr>
          <w:i/>
          <w:iCs/>
          <w:color w:val="000000"/>
          <w:szCs w:val="24"/>
        </w:rPr>
        <w:t>J</w:t>
      </w:r>
      <w:r w:rsidRPr="0044257B">
        <w:rPr>
          <w:color w:val="000000"/>
          <w:szCs w:val="24"/>
        </w:rPr>
        <w:t xml:space="preserve"> = 8.0 Hz, 1H), 7.57 (s, 1H), 7.25 – 7.17 (m, 2H), 7.16 – 7.00 (m, 5H), 6.08 (s, 1H), 5.04 (d, </w:t>
      </w:r>
      <w:r w:rsidRPr="0044257B">
        <w:rPr>
          <w:i/>
          <w:iCs/>
          <w:color w:val="000000"/>
          <w:szCs w:val="24"/>
        </w:rPr>
        <w:t>J</w:t>
      </w:r>
      <w:r w:rsidRPr="0044257B">
        <w:rPr>
          <w:color w:val="000000"/>
          <w:szCs w:val="24"/>
        </w:rPr>
        <w:t xml:space="preserve"> = 17.3 Hz, 1H), 4.66 (d, </w:t>
      </w:r>
      <w:r w:rsidRPr="0044257B">
        <w:rPr>
          <w:i/>
          <w:iCs/>
          <w:color w:val="000000"/>
          <w:szCs w:val="24"/>
        </w:rPr>
        <w:t>J</w:t>
      </w:r>
      <w:r w:rsidRPr="0044257B">
        <w:rPr>
          <w:color w:val="000000"/>
          <w:szCs w:val="24"/>
        </w:rPr>
        <w:t xml:space="preserve"> = 17.4 Hz, 1H), 3.54 (d, </w:t>
      </w:r>
      <w:r w:rsidRPr="0044257B">
        <w:rPr>
          <w:i/>
          <w:iCs/>
          <w:color w:val="000000"/>
          <w:szCs w:val="24"/>
        </w:rPr>
        <w:t>J</w:t>
      </w:r>
      <w:r w:rsidRPr="0044257B">
        <w:rPr>
          <w:color w:val="000000"/>
          <w:szCs w:val="24"/>
        </w:rPr>
        <w:t xml:space="preserve"> = 7.4 Hz, 0H), 1.65 (s, 3H), 1.51 (d, </w:t>
      </w:r>
      <w:r w:rsidRPr="0044257B">
        <w:rPr>
          <w:i/>
          <w:iCs/>
          <w:color w:val="000000"/>
          <w:szCs w:val="24"/>
        </w:rPr>
        <w:t>J</w:t>
      </w:r>
      <w:r w:rsidRPr="0044257B">
        <w:rPr>
          <w:color w:val="000000"/>
          <w:szCs w:val="24"/>
        </w:rPr>
        <w:t xml:space="preserve"> = 12.3 Hz, 1H), 1.23 (s, 3H), 1.06 (</w:t>
      </w:r>
      <w:proofErr w:type="spellStart"/>
      <w:r w:rsidRPr="0044257B">
        <w:rPr>
          <w:color w:val="000000"/>
          <w:szCs w:val="24"/>
        </w:rPr>
        <w:t>dq</w:t>
      </w:r>
      <w:proofErr w:type="spellEnd"/>
      <w:r w:rsidRPr="0044257B">
        <w:rPr>
          <w:color w:val="000000"/>
          <w:szCs w:val="24"/>
        </w:rPr>
        <w:t xml:space="preserve">, </w:t>
      </w:r>
      <w:r w:rsidRPr="0044257B">
        <w:rPr>
          <w:i/>
          <w:iCs/>
          <w:color w:val="000000"/>
          <w:szCs w:val="24"/>
        </w:rPr>
        <w:t>J</w:t>
      </w:r>
      <w:r w:rsidRPr="0044257B">
        <w:rPr>
          <w:color w:val="000000"/>
          <w:szCs w:val="24"/>
        </w:rPr>
        <w:t xml:space="preserve"> = 37.6, 11.3 Hz, 3H).</w:t>
      </w:r>
    </w:p>
    <w:p w14:paraId="69CE5597" w14:textId="77777777" w:rsidR="0044257B" w:rsidRPr="0044257B" w:rsidRDefault="0044257B" w:rsidP="0044257B">
      <w:pPr>
        <w:ind w:firstLine="720"/>
        <w:rPr>
          <w:color w:val="000000"/>
          <w:szCs w:val="24"/>
        </w:rPr>
      </w:pPr>
      <w:r w:rsidRPr="0044257B">
        <w:rPr>
          <w:b/>
          <w:bCs/>
          <w:color w:val="000000"/>
          <w:szCs w:val="24"/>
        </w:rPr>
        <w:t>N-(2-(cyclohexylamino)-2-oxo-1-(pyridin-3-</w:t>
      </w:r>
      <w:proofErr w:type="gramStart"/>
      <w:r w:rsidRPr="0044257B">
        <w:rPr>
          <w:b/>
          <w:bCs/>
          <w:color w:val="000000"/>
          <w:szCs w:val="24"/>
        </w:rPr>
        <w:t>yl)ethyl</w:t>
      </w:r>
      <w:proofErr w:type="gramEnd"/>
      <w:r w:rsidRPr="0044257B">
        <w:rPr>
          <w:b/>
          <w:bCs/>
          <w:color w:val="000000"/>
          <w:szCs w:val="24"/>
        </w:rPr>
        <w:t>)-N-(naphthalen-1-yl)furan-3-carboxamide (JG5.16):</w:t>
      </w:r>
      <w:r w:rsidRPr="0044257B">
        <w:rPr>
          <w:color w:val="000000"/>
          <w:szCs w:val="24"/>
        </w:rPr>
        <w:t xml:space="preserve"> White amorphous solid, 94% yield. </w:t>
      </w:r>
      <w:r w:rsidRPr="0044257B">
        <w:rPr>
          <w:color w:val="000000"/>
          <w:szCs w:val="24"/>
          <w:vertAlign w:val="superscript"/>
        </w:rPr>
        <w:t>1</w:t>
      </w:r>
      <w:r w:rsidRPr="0044257B">
        <w:rPr>
          <w:color w:val="000000"/>
          <w:szCs w:val="24"/>
        </w:rPr>
        <w:t xml:space="preserve">H NMR (500 MHz, DMSO) δ 8.32 (d, </w:t>
      </w:r>
      <w:r w:rsidRPr="0044257B">
        <w:rPr>
          <w:i/>
          <w:iCs/>
          <w:color w:val="000000"/>
          <w:szCs w:val="24"/>
        </w:rPr>
        <w:t>J</w:t>
      </w:r>
      <w:r w:rsidRPr="0044257B">
        <w:rPr>
          <w:color w:val="000000"/>
          <w:szCs w:val="24"/>
        </w:rPr>
        <w:t xml:space="preserve"> = 2.2 Hz, 1H), 8.13 (dd, </w:t>
      </w:r>
      <w:r w:rsidRPr="0044257B">
        <w:rPr>
          <w:i/>
          <w:iCs/>
          <w:color w:val="000000"/>
          <w:szCs w:val="24"/>
        </w:rPr>
        <w:t>J</w:t>
      </w:r>
      <w:r w:rsidRPr="0044257B">
        <w:rPr>
          <w:color w:val="000000"/>
          <w:szCs w:val="24"/>
        </w:rPr>
        <w:t xml:space="preserve"> = 17.2, 7.4 Hz, 3H), 8.00 (d, </w:t>
      </w:r>
      <w:r w:rsidRPr="0044257B">
        <w:rPr>
          <w:i/>
          <w:iCs/>
          <w:color w:val="000000"/>
          <w:szCs w:val="24"/>
        </w:rPr>
        <w:t>J</w:t>
      </w:r>
      <w:r w:rsidRPr="0044257B">
        <w:rPr>
          <w:color w:val="000000"/>
          <w:szCs w:val="24"/>
        </w:rPr>
        <w:t xml:space="preserve"> = 4.7 Hz, 1H), 7.86 – 7.79 (m, 2H), 7.75 (dt, </w:t>
      </w:r>
      <w:r w:rsidRPr="0044257B">
        <w:rPr>
          <w:i/>
          <w:iCs/>
          <w:color w:val="000000"/>
          <w:szCs w:val="24"/>
        </w:rPr>
        <w:t>J</w:t>
      </w:r>
      <w:r w:rsidRPr="0044257B">
        <w:rPr>
          <w:color w:val="000000"/>
          <w:szCs w:val="24"/>
        </w:rPr>
        <w:t xml:space="preserve"> = 13.4, 10.5 Hz, 2H), 7.57 – 7.42 (m, 4H), 7.36 (td, </w:t>
      </w:r>
      <w:r w:rsidRPr="0044257B">
        <w:rPr>
          <w:i/>
          <w:iCs/>
          <w:color w:val="000000"/>
          <w:szCs w:val="24"/>
        </w:rPr>
        <w:t>J</w:t>
      </w:r>
      <w:r w:rsidRPr="0044257B">
        <w:rPr>
          <w:color w:val="000000"/>
          <w:szCs w:val="24"/>
        </w:rPr>
        <w:t xml:space="preserve"> = 5.9, 2.8 Hz, 4H), 7.32 – 7.25 (m, 1H), 6.81 (dd, </w:t>
      </w:r>
      <w:r w:rsidRPr="0044257B">
        <w:rPr>
          <w:i/>
          <w:iCs/>
          <w:color w:val="000000"/>
          <w:szCs w:val="24"/>
        </w:rPr>
        <w:t>J</w:t>
      </w:r>
      <w:r w:rsidRPr="0044257B">
        <w:rPr>
          <w:color w:val="000000"/>
          <w:szCs w:val="24"/>
        </w:rPr>
        <w:t xml:space="preserve"> = 7.9, 4.8 Hz, 1H), 6.35 (s, 1H), 6.13 (s, 1H), 5.10 (s, 1H), 4.03 (q, </w:t>
      </w:r>
      <w:r w:rsidRPr="0044257B">
        <w:rPr>
          <w:i/>
          <w:iCs/>
          <w:color w:val="000000"/>
          <w:szCs w:val="24"/>
        </w:rPr>
        <w:t>J</w:t>
      </w:r>
      <w:r w:rsidRPr="0044257B">
        <w:rPr>
          <w:color w:val="000000"/>
          <w:szCs w:val="24"/>
        </w:rPr>
        <w:t xml:space="preserve"> = 7.2 Hz, 1H), 3.62 (d, </w:t>
      </w:r>
      <w:r w:rsidRPr="0044257B">
        <w:rPr>
          <w:i/>
          <w:iCs/>
          <w:color w:val="000000"/>
          <w:szCs w:val="24"/>
        </w:rPr>
        <w:t>J</w:t>
      </w:r>
      <w:r w:rsidRPr="0044257B">
        <w:rPr>
          <w:color w:val="000000"/>
          <w:szCs w:val="24"/>
        </w:rPr>
        <w:t xml:space="preserve"> = 9.1 Hz, 1H), 1.99 (d, </w:t>
      </w:r>
      <w:r w:rsidRPr="0044257B">
        <w:rPr>
          <w:i/>
          <w:iCs/>
          <w:color w:val="000000"/>
          <w:szCs w:val="24"/>
        </w:rPr>
        <w:t>J</w:t>
      </w:r>
      <w:r w:rsidRPr="0044257B">
        <w:rPr>
          <w:color w:val="000000"/>
          <w:szCs w:val="24"/>
        </w:rPr>
        <w:t xml:space="preserve"> = 1.1 Hz, 2H), 1.82 (d, </w:t>
      </w:r>
      <w:r w:rsidRPr="0044257B">
        <w:rPr>
          <w:i/>
          <w:iCs/>
          <w:color w:val="000000"/>
          <w:szCs w:val="24"/>
        </w:rPr>
        <w:t>J</w:t>
      </w:r>
      <w:r w:rsidRPr="0044257B">
        <w:rPr>
          <w:color w:val="000000"/>
          <w:szCs w:val="24"/>
        </w:rPr>
        <w:t xml:space="preserve"> = 11.2 Hz, 1H), 1.71 (d, </w:t>
      </w:r>
      <w:r w:rsidRPr="0044257B">
        <w:rPr>
          <w:i/>
          <w:iCs/>
          <w:color w:val="000000"/>
          <w:szCs w:val="24"/>
        </w:rPr>
        <w:t>J</w:t>
      </w:r>
      <w:r w:rsidRPr="0044257B">
        <w:rPr>
          <w:color w:val="000000"/>
          <w:szCs w:val="24"/>
        </w:rPr>
        <w:t xml:space="preserve"> = 13.4 Hz, 2H), 1.61 (d, </w:t>
      </w:r>
      <w:r w:rsidRPr="0044257B">
        <w:rPr>
          <w:i/>
          <w:iCs/>
          <w:color w:val="000000"/>
          <w:szCs w:val="24"/>
        </w:rPr>
        <w:t>J</w:t>
      </w:r>
      <w:r w:rsidRPr="0044257B">
        <w:rPr>
          <w:color w:val="000000"/>
          <w:szCs w:val="24"/>
        </w:rPr>
        <w:t xml:space="preserve"> = 15.4 Hz, 2H), 1.53 (d, </w:t>
      </w:r>
      <w:r w:rsidRPr="0044257B">
        <w:rPr>
          <w:i/>
          <w:iCs/>
          <w:color w:val="000000"/>
          <w:szCs w:val="24"/>
        </w:rPr>
        <w:t>J</w:t>
      </w:r>
      <w:r w:rsidRPr="0044257B">
        <w:rPr>
          <w:color w:val="000000"/>
          <w:szCs w:val="24"/>
        </w:rPr>
        <w:t xml:space="preserve"> = 13.8 Hz, 3H), 1.26 – 1.14 (m, 6H), 1.09 (s, 1H), 0.95 (q, </w:t>
      </w:r>
      <w:r w:rsidRPr="0044257B">
        <w:rPr>
          <w:i/>
          <w:iCs/>
          <w:color w:val="000000"/>
          <w:szCs w:val="24"/>
        </w:rPr>
        <w:t>J</w:t>
      </w:r>
      <w:r w:rsidRPr="0044257B">
        <w:rPr>
          <w:color w:val="000000"/>
          <w:szCs w:val="24"/>
        </w:rPr>
        <w:t xml:space="preserve"> = 10.8 Hz, 2H).</w:t>
      </w:r>
    </w:p>
    <w:p w14:paraId="2BB67E50" w14:textId="77777777" w:rsidR="0044257B" w:rsidRPr="0044257B" w:rsidRDefault="0044257B" w:rsidP="0044257B">
      <w:pPr>
        <w:ind w:firstLine="720"/>
        <w:rPr>
          <w:color w:val="000000"/>
          <w:sz w:val="32"/>
          <w:szCs w:val="32"/>
        </w:rPr>
      </w:pPr>
      <w:r w:rsidRPr="0044257B">
        <w:rPr>
          <w:b/>
          <w:bCs/>
          <w:color w:val="000000"/>
          <w:szCs w:val="24"/>
        </w:rPr>
        <w:lastRenderedPageBreak/>
        <w:t>2-(N-(4-(tert-</w:t>
      </w:r>
      <w:proofErr w:type="gramStart"/>
      <w:r w:rsidRPr="0044257B">
        <w:rPr>
          <w:b/>
          <w:bCs/>
          <w:color w:val="000000"/>
          <w:szCs w:val="24"/>
        </w:rPr>
        <w:t>butyl)phenyl</w:t>
      </w:r>
      <w:proofErr w:type="gramEnd"/>
      <w:r w:rsidRPr="0044257B">
        <w:rPr>
          <w:b/>
          <w:bCs/>
          <w:color w:val="000000"/>
          <w:szCs w:val="24"/>
        </w:rPr>
        <w:t xml:space="preserve">)acetamido)-N-cyclohexyl-2-(pyridin-3-yl)acetamide (JG5.17): </w:t>
      </w:r>
      <w:r w:rsidRPr="0044257B">
        <w:rPr>
          <w:color w:val="000000"/>
          <w:szCs w:val="24"/>
        </w:rPr>
        <w:t>White amorphous solid, 25% yield.</w:t>
      </w:r>
      <w:r w:rsidRPr="0044257B">
        <w:rPr>
          <w:b/>
          <w:bCs/>
          <w:color w:val="000000"/>
          <w:szCs w:val="24"/>
        </w:rPr>
        <w:t xml:space="preserve"> </w:t>
      </w:r>
      <w:r w:rsidRPr="0044257B">
        <w:rPr>
          <w:color w:val="000000"/>
          <w:szCs w:val="24"/>
          <w:vertAlign w:val="superscript"/>
        </w:rPr>
        <w:t>1</w:t>
      </w:r>
      <w:r w:rsidRPr="0044257B">
        <w:rPr>
          <w:color w:val="000000"/>
          <w:szCs w:val="24"/>
        </w:rPr>
        <w:t xml:space="preserve">H NMR (500 MHz, DMSO) δ 8.31 – 8.21 (m, 2H), 8.02 (d, </w:t>
      </w:r>
      <w:r w:rsidRPr="0044257B">
        <w:rPr>
          <w:i/>
          <w:iCs/>
          <w:color w:val="000000"/>
          <w:szCs w:val="24"/>
        </w:rPr>
        <w:t>J</w:t>
      </w:r>
      <w:r w:rsidRPr="0044257B">
        <w:rPr>
          <w:color w:val="000000"/>
          <w:szCs w:val="24"/>
        </w:rPr>
        <w:t xml:space="preserve"> = 7.7 Hz, 1H), 7.29 (dt, </w:t>
      </w:r>
      <w:r w:rsidRPr="0044257B">
        <w:rPr>
          <w:i/>
          <w:iCs/>
          <w:color w:val="000000"/>
          <w:szCs w:val="24"/>
        </w:rPr>
        <w:t>J</w:t>
      </w:r>
      <w:r w:rsidRPr="0044257B">
        <w:rPr>
          <w:color w:val="000000"/>
          <w:szCs w:val="24"/>
        </w:rPr>
        <w:t xml:space="preserve"> = 8.1, 2.0 Hz, 1H), 7.19 (d, </w:t>
      </w:r>
      <w:r w:rsidRPr="0044257B">
        <w:rPr>
          <w:i/>
          <w:iCs/>
          <w:color w:val="000000"/>
          <w:szCs w:val="24"/>
        </w:rPr>
        <w:t>J</w:t>
      </w:r>
      <w:r w:rsidRPr="0044257B">
        <w:rPr>
          <w:color w:val="000000"/>
          <w:szCs w:val="24"/>
        </w:rPr>
        <w:t xml:space="preserve"> = 7.9 Hz, 2H), 7.10 (dd, </w:t>
      </w:r>
      <w:r w:rsidRPr="0044257B">
        <w:rPr>
          <w:i/>
          <w:iCs/>
          <w:color w:val="000000"/>
          <w:szCs w:val="24"/>
        </w:rPr>
        <w:t>J</w:t>
      </w:r>
      <w:r w:rsidRPr="0044257B">
        <w:rPr>
          <w:color w:val="000000"/>
          <w:szCs w:val="24"/>
        </w:rPr>
        <w:t xml:space="preserve"> = 7.9, 4.8 Hz, 2H), 6.04 (s, 1H), 3.59 – 3.50 (m, 1H), 1.73 (s, 1H), 1.70 (s, 3H), 1.68 – 1.49 (m, 5H), 1.17 (m, 5H). </w:t>
      </w:r>
    </w:p>
    <w:p w14:paraId="13189197" w14:textId="77777777" w:rsidR="0044257B" w:rsidRPr="0044257B" w:rsidRDefault="0044257B" w:rsidP="00A95EA4">
      <w:pPr>
        <w:pStyle w:val="Subsection"/>
      </w:pPr>
      <w:bookmarkStart w:id="579" w:name="_Toc100241943"/>
      <w:bookmarkStart w:id="580" w:name="_Toc102586307"/>
      <w:r w:rsidRPr="0044257B">
        <w:t>4.5.3 Computational methods.</w:t>
      </w:r>
      <w:bookmarkEnd w:id="579"/>
      <w:bookmarkEnd w:id="580"/>
      <w:r w:rsidRPr="0044257B">
        <w:t xml:space="preserve"> </w:t>
      </w:r>
    </w:p>
    <w:p w14:paraId="30960F1F" w14:textId="77777777" w:rsidR="0044257B" w:rsidRPr="0044257B" w:rsidRDefault="0044257B" w:rsidP="0044257B">
      <w:pPr>
        <w:ind w:firstLine="720"/>
      </w:pPr>
      <w:r w:rsidRPr="0044257B">
        <w:t xml:space="preserve">The </w:t>
      </w:r>
      <w:proofErr w:type="spellStart"/>
      <w:r w:rsidRPr="0044257B">
        <w:t>Schrӧdinger’s</w:t>
      </w:r>
      <w:proofErr w:type="spellEnd"/>
      <w:r w:rsidRPr="0044257B">
        <w:t xml:space="preserve"> software suite was used to prepare and optimize the protein and ligands, and to conduct the docking studies with the co-crystal structure of ML188 and SARS-</w:t>
      </w:r>
      <w:proofErr w:type="spellStart"/>
      <w:r w:rsidRPr="0044257B">
        <w:t>CoV</w:t>
      </w:r>
      <w:proofErr w:type="spellEnd"/>
      <w:r w:rsidRPr="0044257B">
        <w:t xml:space="preserve"> </w:t>
      </w:r>
      <w:proofErr w:type="spellStart"/>
      <w:r w:rsidRPr="0044257B">
        <w:t>M</w:t>
      </w:r>
      <w:r w:rsidRPr="0044257B">
        <w:rPr>
          <w:vertAlign w:val="superscript"/>
        </w:rPr>
        <w:t>pro</w:t>
      </w:r>
      <w:proofErr w:type="spellEnd"/>
      <w:r w:rsidRPr="0044257B">
        <w:t xml:space="preserve"> (PDB: 3V3M). The protein structure was refined with the Protein Preparation Wizard to add hydrogens, assign hydrogen bonds, fill missing side chains, and minimize the protein structure. The ligands were minimized using the OPLS_2005 force field and the protonation state of the molecules were generated at pH = 7.4. The minimized ligands were docked in the binding pocket with Glide at the extra precision (XP) level and the state penalties were added to the docking score.</w:t>
      </w:r>
    </w:p>
    <w:p w14:paraId="07CED3C2" w14:textId="77777777" w:rsidR="0044257B" w:rsidRPr="0044257B" w:rsidRDefault="0044257B" w:rsidP="00A95EA4">
      <w:pPr>
        <w:pStyle w:val="Subsection"/>
      </w:pPr>
      <w:bookmarkStart w:id="581" w:name="_Toc102586308"/>
      <w:bookmarkStart w:id="582" w:name="_Toc100241944"/>
      <w:r w:rsidRPr="0044257B">
        <w:t>4.5.4 Viral replication cellular assay.</w:t>
      </w:r>
      <w:bookmarkEnd w:id="581"/>
      <w:r w:rsidRPr="0044257B">
        <w:t xml:space="preserve"> </w:t>
      </w:r>
    </w:p>
    <w:p w14:paraId="249E757F" w14:textId="77777777" w:rsidR="0044257B" w:rsidRPr="0044257B" w:rsidRDefault="0044257B" w:rsidP="0044257B">
      <w:pPr>
        <w:rPr>
          <w:rFonts w:cs="Times New Roman"/>
          <w:szCs w:val="24"/>
        </w:rPr>
      </w:pPr>
      <w:r w:rsidRPr="0044257B">
        <w:tab/>
      </w:r>
      <w:r w:rsidRPr="0044257B">
        <w:rPr>
          <w:rFonts w:cs="Times New Roman"/>
          <w:szCs w:val="24"/>
        </w:rPr>
        <w:t xml:space="preserve">A small molecule screening assay to assess inhibition of SARS-CoV-2 infection </w:t>
      </w:r>
      <w:r w:rsidRPr="0044257B">
        <w:rPr>
          <w:rFonts w:cs="Times New Roman"/>
          <w:i/>
          <w:iCs/>
          <w:szCs w:val="24"/>
        </w:rPr>
        <w:t>in vitro</w:t>
      </w:r>
      <w:r w:rsidRPr="0044257B">
        <w:rPr>
          <w:rFonts w:cs="Times New Roman"/>
          <w:szCs w:val="24"/>
        </w:rPr>
        <w:t xml:space="preserve">, developed and performed by </w:t>
      </w:r>
      <w:proofErr w:type="spellStart"/>
      <w:r w:rsidRPr="0044257B">
        <w:rPr>
          <w:rFonts w:cs="Times New Roman"/>
          <w:szCs w:val="24"/>
        </w:rPr>
        <w:t>Teijaro</w:t>
      </w:r>
      <w:proofErr w:type="spellEnd"/>
      <w:r w:rsidRPr="0044257B">
        <w:rPr>
          <w:rFonts w:cs="Times New Roman"/>
          <w:szCs w:val="24"/>
        </w:rPr>
        <w:t>, et al.,</w:t>
      </w:r>
      <w:r w:rsidRPr="0044257B">
        <w:rPr>
          <w:rFonts w:cs="Times New Roman"/>
          <w:szCs w:val="24"/>
        </w:rPr>
        <w:fldChar w:fldCharType="begin"/>
      </w:r>
      <w:r w:rsidRPr="0044257B">
        <w:rPr>
          <w:rFonts w:cs="Times New Roman"/>
          <w:szCs w:val="24"/>
        </w:rPr>
        <w:instrText xml:space="preserve"> ADDIN ZOTERO_ITEM CSL_CITATION {"citationID":"Aicmwrtu","properties":{"formattedCitation":"\\super 57\\nosupersub{}","plainCitation":"57","noteIndex":0},"citationItems":[{"id":944,"uris":["http://zotero.org/users/6503767/items/K4PW7AV4"],"itemData":{"id":944,"type":"article-journal","abstract":"Here, the authors perform repurposing screens of the ReFRAME drug library in two cell lines and identify inhibitors of SARS-CoV-2 infection. Antiviral activity of prodrug MK-4482 is confirmed in hamsters.","container-title":"Nature Communications","DOI":"10.1038/s41467-021-23328-0","ISSN":"2041-1723","issue":"1","journalAbbreviation":"Nat Commun","language":"en","note":"number: 1\npublisher: Nature Publishing Group","page":"1-14","source":"www-nature-com.ezproxy.lib.ou.edu","title":"Drug repurposing screens identify chemical entities for the development of COVID-19 interventions","volume":"12","author":[{"family":"Bakowski","given":"Malina A."},{"family":"Beutler","given":"Nathan"},{"family":"Wolff","given":"Karen C."},{"family":"Kirkpatrick","given":"Melanie G."},{"family":"Chen","given":"Emily"},{"family":"Nguyen","given":"Tu-Trinh H."},{"family":"Riva","given":"Laura"},{"family":"Shaabani","given":"Namir"},{"family":"Parren","given":"Mara"},{"family":"Ricketts","given":"James"},{"family":"Gupta","given":"Anil K."},{"family":"Pan","given":"Kastin"},{"family":"Kuo","given":"Peiting"},{"family":"Fuller","given":"MacKenzie"},{"family":"Garcia","given":"Elijah"},{"family":"Teijaro","given":"John R."},{"family":"Yang","given":"Linlin"},{"family":"Sahoo","given":"Debashis"},{"family":"Chi","given":"Victor"},{"family":"Huang","given":"Edward"},{"family":"Vargas","given":"Natalia"},{"family":"Roberts","given":"Amanda J."},{"family":"Das","given":"Soumita"},{"family":"Ghosh","given":"Pradipta"},{"family":"Woods","given":"Ashley K."},{"family":"Joseph","given":"Sean B."},{"family":"Hull","given":"Mitchell V."},{"family":"Schultz","given":"Peter G."},{"family":"Burton","given":"Dennis R."},{"family":"Chatterjee","given":"Arnab K."},{"family":"McNamara","given":"Case W."},{"family":"Rogers","given":"Thomas F."}],"issued":{"date-parts":[["2021",6,3]]}}}],"schema":"https://github.com/citation-style-language/schema/raw/master/csl-citation.json"} </w:instrText>
      </w:r>
      <w:r w:rsidRPr="0044257B">
        <w:rPr>
          <w:rFonts w:cs="Times New Roman"/>
          <w:szCs w:val="24"/>
        </w:rPr>
        <w:fldChar w:fldCharType="separate"/>
      </w:r>
      <w:r w:rsidRPr="0044257B">
        <w:rPr>
          <w:rFonts w:cs="Times New Roman"/>
          <w:szCs w:val="24"/>
          <w:vertAlign w:val="superscript"/>
        </w:rPr>
        <w:t>57</w:t>
      </w:r>
      <w:r w:rsidRPr="0044257B">
        <w:rPr>
          <w:rFonts w:cs="Times New Roman"/>
          <w:szCs w:val="24"/>
        </w:rPr>
        <w:fldChar w:fldCharType="end"/>
      </w:r>
      <w:r w:rsidRPr="0044257B">
        <w:rPr>
          <w:rFonts w:cs="Times New Roman"/>
          <w:szCs w:val="24"/>
        </w:rPr>
        <w:t xml:space="preserve"> was used to screen compounds </w:t>
      </w:r>
      <w:r w:rsidRPr="0044257B">
        <w:rPr>
          <w:rFonts w:cs="Times New Roman"/>
          <w:b/>
          <w:bCs/>
          <w:szCs w:val="24"/>
        </w:rPr>
        <w:t>4.20</w:t>
      </w:r>
      <w:r w:rsidRPr="0044257B">
        <w:rPr>
          <w:rFonts w:cs="Times New Roman"/>
          <w:szCs w:val="24"/>
        </w:rPr>
        <w:t xml:space="preserve"> – </w:t>
      </w:r>
      <w:r w:rsidRPr="0044257B">
        <w:rPr>
          <w:rFonts w:cs="Times New Roman"/>
          <w:b/>
          <w:bCs/>
          <w:szCs w:val="24"/>
        </w:rPr>
        <w:t>4.44</w:t>
      </w:r>
      <w:r w:rsidRPr="0044257B">
        <w:rPr>
          <w:rFonts w:cs="Times New Roman"/>
          <w:szCs w:val="24"/>
        </w:rPr>
        <w:t xml:space="preserve">. Screening took place in 384-well plates using VeroE6 cells. Cells were plated in 384-well plates at a concentration of 5000 cells per well. SARS-CoV-2, isolated from a patients’ sputum in San Diego, was added to the wells at a multiplicity of infection (MOI) of 0.1 and compounds were added to wells concomitantly with virus. Each compound was tested in triplicate and initially at 1uM. Over the course of 3 days, we monitored viral cytopathic effect (CPE) in the wells daily, and on day 3 CPE will be quantified by microscopy and cell titer glo viability staining. We used remdesivir and hydroxychloroquine as controls, as they have been reported to inhibit Coronavirus infection in </w:t>
      </w:r>
      <w:r w:rsidRPr="0044257B">
        <w:rPr>
          <w:rFonts w:cs="Times New Roman"/>
          <w:szCs w:val="24"/>
        </w:rPr>
        <w:lastRenderedPageBreak/>
        <w:t>cells.</w:t>
      </w:r>
      <w:r w:rsidRPr="0044257B">
        <w:rPr>
          <w:rFonts w:cs="Times New Roman"/>
          <w:szCs w:val="24"/>
        </w:rPr>
        <w:fldChar w:fldCharType="begin"/>
      </w:r>
      <w:r w:rsidRPr="0044257B">
        <w:rPr>
          <w:rFonts w:cs="Times New Roman"/>
          <w:szCs w:val="24"/>
        </w:rPr>
        <w:instrText xml:space="preserve"> ADDIN ZOTERO_ITEM CSL_CITATION {"citationID":"SChiXyRe","properties":{"formattedCitation":"\\super 58,59\\nosupersub{}","plainCitation":"58,59","noteIndex":0},"citationItems":[{"id":937,"uris":["http://zotero.org/users/6503767/items/I4UEJBDN"],"itemData":{"id":937,"type":"article-journal","container-title":"New England Journal of Medicine","DOI":"10.1056/NEJMoa2007764","ISSN":"0028-4793","issue":"19","note":"publisher: Massachusetts Medical Society\n_eprint: https://doi.org/10.1056/NEJMoa2007764","page":"1813-1826","source":"Taylor and Francis+NEJM","title":"Remdesivir for the Treatment of Covid-19 — Final Report","volume":"383","author":[{"family":"Beigel","given":"John H."},{"family":"Tomashek","given":"Kay M."},{"family":"Dodd","given":"Lori E."},{"family":"Mehta","given":"Aneesh K."},{"family":"Zingman","given":"Barry S."},{"family":"Kalil","given":"Andre C."},{"family":"Hohmann","given":"Elizabeth"},{"family":"Chu","given":"Helen Y."},{"family":"Luetkemeyer","given":"Annie"},{"family":"Kline","given":"Susan"},{"family":"Lopez de Castilla","given":"Diego"},{"family":"Finberg","given":"Robert W."},{"family":"Dierberg","given":"Kerry"},{"family":"Tapson","given":"Victor"},{"family":"Hsieh","given":"Lanny"},{"family":"Patterson","given":"Thomas F."},{"family":"Paredes","given":"Roger"},{"family":"Sweeney","given":"Daniel A."},{"family":"Short","given":"William R."},{"family":"Touloumi","given":"Giota"},{"family":"Lye","given":"David Chien"},{"family":"Ohmagari","given":"Norio"},{"family":"Oh","given":"Myoung-don"},{"family":"Ruiz-Palacios","given":"Guillermo M."},{"family":"Benfield","given":"Thomas"},{"family":"Fätkenheuer","given":"Gerd"},{"family":"Kortepeter","given":"Mark G."},{"family":"Atmar","given":"Robert L."},{"family":"Creech","given":"C. Buddy"},{"family":"Lundgren","given":"Jens"},{"family":"Babiker","given":"Abdel G."},{"family":"Pett","given":"Sarah"},{"family":"Neaton","given":"James D."},{"family":"Burgess","given":"Timothy H."},{"family":"Bonnett","given":"Tyler"},{"family":"Green","given":"Michelle"},{"family":"Makowski","given":"Mat"},{"family":"Osinusi","given":"Anu"},{"family":"Nayak","given":"Seema"},{"family":"Lane","given":"H. Clifford"}],"issued":{"date-parts":[["2020",11,5]]}}},{"id":940,"uris":["http://zotero.org/users/6503767/items/DQTUE4KJ"],"itemData":{"id":940,"type":"article-journal","abstract":"Hydroxychloroquine and chloroquine are medications that have been used for a long time. Their most common use is for the treatment and prophylaxis of malaria. However, these antimalarial drugs are known to also have anti-inflammatory and antiviral effects and are used for several chronic diseases such as systemic lupus erythematosus with low adverse effects. The antiviral action of hydroxychloroquine and chloroquine has been a point of interest to different researchers due to its mechanism of action. Several in vitro studies have proven their effectiveness on severe acute respiratory syndrome virus and currently both in vitro and in vivo studies have been conducted on 2019 novel coronavirus (covid-19). The purpose of this article is to review the history and mechanism of actions of these drugs and the potential use they can have on the current covid-19 pandemic.","container-title":"Postgraduate Medical Journal","DOI":"10.1136/postgradmedj-2020-137785","ISSN":"0032-5473, 1469-0756","issue":"1139","language":"en","note":"publisher: The Fellowship of Postgraduate Medicine\nsection: Review\nPMID: 32295814","page":"550-555","source":"pmj.bmj.com","title":"Hydroxychloroquine and COVID-19","volume":"96","author":[{"family":"Sinha","given":"Neeraj"},{"family":"Balayla","given":"Galit"}],"issued":{"date-parts":[["2020",9,1]]}}}],"schema":"https://github.com/citation-style-language/schema/raw/master/csl-citation.json"} </w:instrText>
      </w:r>
      <w:r w:rsidRPr="0044257B">
        <w:rPr>
          <w:rFonts w:cs="Times New Roman"/>
          <w:szCs w:val="24"/>
        </w:rPr>
        <w:fldChar w:fldCharType="separate"/>
      </w:r>
      <w:r w:rsidRPr="0044257B">
        <w:rPr>
          <w:rFonts w:cs="Times New Roman"/>
          <w:szCs w:val="24"/>
          <w:vertAlign w:val="superscript"/>
        </w:rPr>
        <w:t>58,59</w:t>
      </w:r>
      <w:r w:rsidRPr="0044257B">
        <w:rPr>
          <w:rFonts w:cs="Times New Roman"/>
          <w:szCs w:val="24"/>
        </w:rPr>
        <w:fldChar w:fldCharType="end"/>
      </w:r>
      <w:r w:rsidRPr="0044257B">
        <w:rPr>
          <w:rFonts w:cs="Times New Roman"/>
          <w:szCs w:val="24"/>
        </w:rPr>
        <w:t xml:space="preserve"> Identification of compounds which prevent CPE would be followed up by assessing a dose curve and analysis of viral titers in the supernatant by plaque forming assay to quantify viral loads in the cultures of both control and compound treated cells. Compounds with optimal biophysical properties would be followed up in more sophisticated </w:t>
      </w:r>
      <w:r w:rsidRPr="0044257B">
        <w:rPr>
          <w:rFonts w:cs="Times New Roman"/>
          <w:i/>
          <w:iCs/>
          <w:szCs w:val="24"/>
        </w:rPr>
        <w:t>in vitro</w:t>
      </w:r>
      <w:r w:rsidRPr="0044257B">
        <w:rPr>
          <w:rFonts w:cs="Times New Roman"/>
          <w:szCs w:val="24"/>
        </w:rPr>
        <w:t xml:space="preserve"> assays and i</w:t>
      </w:r>
      <w:r w:rsidRPr="0044257B">
        <w:rPr>
          <w:rFonts w:cs="Times New Roman"/>
          <w:i/>
          <w:iCs/>
          <w:szCs w:val="24"/>
        </w:rPr>
        <w:t>n vivo</w:t>
      </w:r>
      <w:r w:rsidRPr="0044257B">
        <w:rPr>
          <w:rFonts w:cs="Times New Roman"/>
          <w:szCs w:val="24"/>
        </w:rPr>
        <w:t xml:space="preserve"> animal models following pharmacokinetic analysis. For animals studies we will use the human ACE2 knock-in mouse model which allows for production infection and pathology following SARS-</w:t>
      </w:r>
      <w:proofErr w:type="spellStart"/>
      <w:r w:rsidRPr="0044257B">
        <w:rPr>
          <w:rFonts w:cs="Times New Roman"/>
          <w:szCs w:val="24"/>
        </w:rPr>
        <w:t>CoV</w:t>
      </w:r>
      <w:proofErr w:type="spellEnd"/>
      <w:r w:rsidRPr="0044257B">
        <w:rPr>
          <w:rFonts w:cs="Times New Roman"/>
          <w:szCs w:val="24"/>
        </w:rPr>
        <w:t xml:space="preserve"> infection in the lungs. </w:t>
      </w:r>
    </w:p>
    <w:p w14:paraId="6E0E4F91" w14:textId="77777777" w:rsidR="0044257B" w:rsidRPr="0044257B" w:rsidRDefault="0044257B" w:rsidP="00A95EA4">
      <w:pPr>
        <w:pStyle w:val="Subsection"/>
      </w:pPr>
      <w:bookmarkStart w:id="583" w:name="_Toc102586309"/>
      <w:r w:rsidRPr="0044257B">
        <w:t>4.5.5 Enzymatic inhibition assays.</w:t>
      </w:r>
      <w:bookmarkEnd w:id="582"/>
      <w:bookmarkEnd w:id="583"/>
      <w:r w:rsidRPr="0044257B">
        <w:t xml:space="preserve"> </w:t>
      </w:r>
    </w:p>
    <w:p w14:paraId="360F63FD" w14:textId="77777777" w:rsidR="0044257B" w:rsidRPr="0044257B" w:rsidRDefault="0044257B" w:rsidP="0044257B">
      <w:r w:rsidRPr="0044257B">
        <w:tab/>
        <w:t>Compounds were screened by a commercial enzymatic inhibition assay purchased from BPS Bioscience (3CL Protease, MBP-tagged (SARS-CoV-2) Assay Kit, catalog #79955-1). The kit was designed to measure 3CL protease activity for screening and profiling applications, in a homogeneous assay with no time-consuming washing steps. Provided by the kit were recombinant 3CL protease (MBP-tag), 3CL protease substrate (10 mM), fluorogenic 3CL protease assay buffer, and compound GC376 as a positive control. All assays were performed in black, low binding microtiter 96-well plates in the provided activity buffer with 1 mM dithiothreitol (DTT). Reactions contained 3 – 5 ng/</w:t>
      </w:r>
      <w:proofErr w:type="spellStart"/>
      <w:r w:rsidRPr="0044257B">
        <w:rPr>
          <w:rFonts w:ascii="Calibri" w:hAnsi="Calibri" w:cs="Calibri"/>
        </w:rPr>
        <w:t>μ</w:t>
      </w:r>
      <w:r w:rsidRPr="0044257B">
        <w:t>L</w:t>
      </w:r>
      <w:proofErr w:type="spellEnd"/>
      <w:r w:rsidRPr="0044257B">
        <w:t xml:space="preserve"> 3CL protease. 3CL protease was incubated for 30 minutes at 25 </w:t>
      </w:r>
      <w:r w:rsidRPr="0044257B">
        <w:rPr>
          <w:rFonts w:cs="Times New Roman"/>
        </w:rPr>
        <w:t>̊</w:t>
      </w:r>
      <w:r w:rsidRPr="0044257B">
        <w:t xml:space="preserve">C with or without inhibitors. Reactions were started with the addition of the protease substrate and fluorescence was read at 0, 0.5, 1, 2, 3, 4 and 12 hours by an </w:t>
      </w:r>
      <w:proofErr w:type="spellStart"/>
      <w:r w:rsidRPr="0044257B">
        <w:t>iTECAN</w:t>
      </w:r>
      <w:proofErr w:type="spellEnd"/>
      <w:r w:rsidRPr="0044257B">
        <w:t xml:space="preserve"> Infinite M200 plate reader (excitation, 360 </w:t>
      </w:r>
      <w:proofErr w:type="gramStart"/>
      <w:r w:rsidRPr="0044257B">
        <w:t>nm;</w:t>
      </w:r>
      <w:proofErr w:type="gramEnd"/>
      <w:r w:rsidRPr="0044257B">
        <w:t xml:space="preserve"> emission, 460 nm) at room temperature. </w:t>
      </w:r>
    </w:p>
    <w:p w14:paraId="077BB38F" w14:textId="2828868D" w:rsidR="0044257B" w:rsidRDefault="0044257B" w:rsidP="0044257B"/>
    <w:p w14:paraId="35BE9D86" w14:textId="6CADF066" w:rsidR="00D10F2B" w:rsidRDefault="00D10F2B" w:rsidP="0044257B"/>
    <w:p w14:paraId="67EC6746" w14:textId="77777777" w:rsidR="00D10F2B" w:rsidRPr="0044257B" w:rsidRDefault="00D10F2B" w:rsidP="0044257B"/>
    <w:p w14:paraId="2FA435D7" w14:textId="77777777" w:rsidR="0044257B" w:rsidRPr="0044257B" w:rsidRDefault="0044257B" w:rsidP="00A95EA4">
      <w:pPr>
        <w:pStyle w:val="Section"/>
      </w:pPr>
      <w:bookmarkStart w:id="584" w:name="_Toc100241945"/>
      <w:bookmarkStart w:id="585" w:name="_Toc102586310"/>
      <w:r w:rsidRPr="0044257B">
        <w:lastRenderedPageBreak/>
        <w:t>4.6 References for Chapter 4</w:t>
      </w:r>
      <w:bookmarkEnd w:id="584"/>
      <w:bookmarkEnd w:id="585"/>
    </w:p>
    <w:p w14:paraId="49B2381F" w14:textId="77777777" w:rsidR="0044257B" w:rsidRPr="0044257B" w:rsidRDefault="0044257B" w:rsidP="0044257B">
      <w:pPr>
        <w:tabs>
          <w:tab w:val="left" w:pos="504"/>
        </w:tabs>
        <w:spacing w:after="0"/>
        <w:ind w:left="504" w:hanging="504"/>
      </w:pPr>
      <w:r w:rsidRPr="0044257B">
        <w:fldChar w:fldCharType="begin"/>
      </w:r>
      <w:r w:rsidRPr="0044257B">
        <w:instrText xml:space="preserve"> ADDIN ZOTERO_BIBL {"uncited":[],"omitted":[],"custom":[]} CSL_BIBLIOGRAPHY </w:instrText>
      </w:r>
      <w:r w:rsidRPr="0044257B">
        <w:fldChar w:fldCharType="separate"/>
      </w:r>
      <w:r w:rsidRPr="0044257B">
        <w:t xml:space="preserve">(1) </w:t>
      </w:r>
      <w:r w:rsidRPr="0044257B">
        <w:tab/>
        <w:t>Coronavirus Disease (COVID-19) Situation Reports https://www.who.int/emergencies/diseases/novel-coronavirus-2019/situation-reports.</w:t>
      </w:r>
    </w:p>
    <w:p w14:paraId="551FCDE2" w14:textId="77777777" w:rsidR="0044257B" w:rsidRPr="0044257B" w:rsidRDefault="0044257B" w:rsidP="0044257B">
      <w:pPr>
        <w:tabs>
          <w:tab w:val="left" w:pos="504"/>
        </w:tabs>
        <w:spacing w:after="0"/>
        <w:ind w:left="504" w:hanging="504"/>
      </w:pPr>
      <w:r w:rsidRPr="0044257B">
        <w:t xml:space="preserve">(2) </w:t>
      </w:r>
      <w:r w:rsidRPr="0044257B">
        <w:tab/>
        <w:t>Ravelo, J. L.; Jerving, S. COVID-19 in 2020 — a timeline of the coronavirus outbreak https://www.devex.com/news/sponsored/covid-19-in-2020-a-timeline-of-the-coronavirus-outbreak-99634.</w:t>
      </w:r>
    </w:p>
    <w:p w14:paraId="402A4206" w14:textId="77777777" w:rsidR="0044257B" w:rsidRPr="0044257B" w:rsidRDefault="0044257B" w:rsidP="0044257B">
      <w:pPr>
        <w:tabs>
          <w:tab w:val="left" w:pos="504"/>
        </w:tabs>
        <w:spacing w:after="0"/>
        <w:ind w:left="504" w:hanging="504"/>
      </w:pPr>
      <w:r w:rsidRPr="0044257B">
        <w:t xml:space="preserve">(3) </w:t>
      </w:r>
      <w:r w:rsidRPr="0044257B">
        <w:tab/>
        <w:t xml:space="preserve">Zhang, L.; Lin, D.; Sun, X.; Curth, U.; Drosten, C.; Sauerhering, L.; Becker, S.; Rox, K.; Hilgenfeld, R. Crystal Structure of SARS-CoV-2 Main Protease Provides a Basis for Design of Improved α-Ketoamide Inhibitors. </w:t>
      </w:r>
      <w:r w:rsidRPr="0044257B">
        <w:rPr>
          <w:i/>
          <w:iCs/>
        </w:rPr>
        <w:t>Science</w:t>
      </w:r>
      <w:r w:rsidRPr="0044257B">
        <w:t xml:space="preserve"> </w:t>
      </w:r>
      <w:r w:rsidRPr="0044257B">
        <w:rPr>
          <w:b/>
          <w:bCs/>
        </w:rPr>
        <w:t>2020</w:t>
      </w:r>
      <w:r w:rsidRPr="0044257B">
        <w:t>, eabb3405. https://doi.org/10.1126/science.abb3405.</w:t>
      </w:r>
    </w:p>
    <w:p w14:paraId="3033C1BD" w14:textId="77777777" w:rsidR="0044257B" w:rsidRPr="0044257B" w:rsidRDefault="0044257B" w:rsidP="0044257B">
      <w:pPr>
        <w:tabs>
          <w:tab w:val="left" w:pos="504"/>
        </w:tabs>
        <w:spacing w:after="0"/>
        <w:ind w:left="504" w:hanging="504"/>
      </w:pPr>
      <w:r w:rsidRPr="0044257B">
        <w:t xml:space="preserve">(4) </w:t>
      </w:r>
      <w:r w:rsidRPr="0044257B">
        <w:tab/>
        <w:t xml:space="preserve">Dong, E.; Du, H.; Gardner, L. An Interactive Web-Based Dashboard to Track COVID-19 in Real Time. </w:t>
      </w:r>
      <w:r w:rsidRPr="0044257B">
        <w:rPr>
          <w:i/>
          <w:iCs/>
        </w:rPr>
        <w:t>The Lancet Infectious Diseases</w:t>
      </w:r>
      <w:r w:rsidRPr="0044257B">
        <w:t xml:space="preserve"> </w:t>
      </w:r>
      <w:r w:rsidRPr="0044257B">
        <w:rPr>
          <w:b/>
          <w:bCs/>
        </w:rPr>
        <w:t>2020</w:t>
      </w:r>
      <w:r w:rsidRPr="0044257B">
        <w:t xml:space="preserve">, </w:t>
      </w:r>
      <w:r w:rsidRPr="0044257B">
        <w:rPr>
          <w:i/>
          <w:iCs/>
        </w:rPr>
        <w:t>20</w:t>
      </w:r>
      <w:r w:rsidRPr="0044257B">
        <w:t xml:space="preserve"> (5), 533–534. https://doi.org/10.1016/S1473-3099(20)30120-1.</w:t>
      </w:r>
    </w:p>
    <w:p w14:paraId="4C9C362B" w14:textId="77777777" w:rsidR="0044257B" w:rsidRPr="0044257B" w:rsidRDefault="0044257B" w:rsidP="0044257B">
      <w:pPr>
        <w:tabs>
          <w:tab w:val="left" w:pos="504"/>
        </w:tabs>
        <w:spacing w:after="0"/>
        <w:ind w:left="504" w:hanging="504"/>
      </w:pPr>
      <w:r w:rsidRPr="0044257B">
        <w:t xml:space="preserve">(5) </w:t>
      </w:r>
      <w:r w:rsidRPr="0044257B">
        <w:tab/>
        <w:t xml:space="preserve">Oum, S.; Kates, J.; Wexler, A. Economic Impact of COVID-19 on PEPFAR Countries. </w:t>
      </w:r>
      <w:r w:rsidRPr="0044257B">
        <w:rPr>
          <w:i/>
          <w:iCs/>
        </w:rPr>
        <w:t>KFF</w:t>
      </w:r>
      <w:r w:rsidRPr="0044257B">
        <w:t>, 2022.</w:t>
      </w:r>
    </w:p>
    <w:p w14:paraId="1FD6E68A" w14:textId="77777777" w:rsidR="0044257B" w:rsidRPr="0044257B" w:rsidRDefault="0044257B" w:rsidP="0044257B">
      <w:pPr>
        <w:tabs>
          <w:tab w:val="left" w:pos="504"/>
        </w:tabs>
        <w:spacing w:after="0"/>
        <w:ind w:left="504" w:hanging="504"/>
      </w:pPr>
      <w:r w:rsidRPr="0044257B">
        <w:t xml:space="preserve">(6) </w:t>
      </w:r>
      <w:r w:rsidRPr="0044257B">
        <w:tab/>
        <w:t>How Covid is Straining the Healthcare System https://health.clevelandclinic.org/how-the-pandemic-is-straining-the-healthcare-system-and-what-you-can-do-to-help/.</w:t>
      </w:r>
    </w:p>
    <w:p w14:paraId="12570A96" w14:textId="77777777" w:rsidR="0044257B" w:rsidRPr="0044257B" w:rsidRDefault="0044257B" w:rsidP="0044257B">
      <w:pPr>
        <w:tabs>
          <w:tab w:val="left" w:pos="504"/>
        </w:tabs>
        <w:spacing w:after="0"/>
        <w:ind w:left="504" w:hanging="504"/>
      </w:pPr>
      <w:r w:rsidRPr="0044257B">
        <w:t xml:space="preserve">(7) </w:t>
      </w:r>
      <w:r w:rsidRPr="0044257B">
        <w:tab/>
        <w:t xml:space="preserve">The Pandemic Has Exacerbated Existing Political Discontent. </w:t>
      </w:r>
      <w:r w:rsidRPr="0044257B">
        <w:rPr>
          <w:i/>
          <w:iCs/>
        </w:rPr>
        <w:t>The Economist</w:t>
      </w:r>
      <w:r w:rsidRPr="0044257B">
        <w:t>. July 31, 2021.</w:t>
      </w:r>
    </w:p>
    <w:p w14:paraId="303DD6CA" w14:textId="77777777" w:rsidR="0044257B" w:rsidRPr="0044257B" w:rsidRDefault="0044257B" w:rsidP="0044257B">
      <w:pPr>
        <w:tabs>
          <w:tab w:val="left" w:pos="504"/>
        </w:tabs>
        <w:spacing w:after="0"/>
        <w:ind w:left="504" w:hanging="504"/>
      </w:pPr>
      <w:r w:rsidRPr="0044257B">
        <w:t xml:space="preserve">(8) </w:t>
      </w:r>
      <w:r w:rsidRPr="0044257B">
        <w:tab/>
        <w:t xml:space="preserve">Yard, E.; Radhakrishnan, L.; Ballesteros, M. F.; Sheppard, M.; Gates, A.; Stein, Z.; Hartnett, K.; Kite-Powell, A.; Rodgers, L.; Adjemian, J.; Ehlman, D. C.; Holland, K.; Idaikkadar, N.; Ivey-Stephenson, A.; Martinez, P.; Law, R.; Stone, D. M. Emergency Department Visits for Suspected Suicide Attempts Among Persons Aged 12–25 Years Before and During the </w:t>
      </w:r>
      <w:r w:rsidRPr="0044257B">
        <w:lastRenderedPageBreak/>
        <w:t xml:space="preserve">COVID-19 Pandemic — United States, January 2019–May 2021. </w:t>
      </w:r>
      <w:r w:rsidRPr="0044257B">
        <w:rPr>
          <w:i/>
          <w:iCs/>
        </w:rPr>
        <w:t>MMWR Morb Mortal Wkly Rep</w:t>
      </w:r>
      <w:r w:rsidRPr="0044257B">
        <w:t xml:space="preserve"> </w:t>
      </w:r>
      <w:r w:rsidRPr="0044257B">
        <w:rPr>
          <w:b/>
          <w:bCs/>
        </w:rPr>
        <w:t>2021</w:t>
      </w:r>
      <w:r w:rsidRPr="0044257B">
        <w:t xml:space="preserve">, </w:t>
      </w:r>
      <w:r w:rsidRPr="0044257B">
        <w:rPr>
          <w:i/>
          <w:iCs/>
        </w:rPr>
        <w:t>70</w:t>
      </w:r>
      <w:r w:rsidRPr="0044257B">
        <w:t xml:space="preserve"> (24), 888–894. https://doi.org/10.15585/mmwr.mm7024e1.</w:t>
      </w:r>
    </w:p>
    <w:p w14:paraId="4F65C2FF" w14:textId="77777777" w:rsidR="0044257B" w:rsidRPr="0044257B" w:rsidRDefault="0044257B" w:rsidP="0044257B">
      <w:pPr>
        <w:tabs>
          <w:tab w:val="left" w:pos="504"/>
        </w:tabs>
        <w:spacing w:after="0"/>
        <w:ind w:left="504" w:hanging="504"/>
      </w:pPr>
      <w:r w:rsidRPr="0044257B">
        <w:t xml:space="preserve">(9) </w:t>
      </w:r>
      <w:r w:rsidRPr="0044257B">
        <w:tab/>
        <w:t xml:space="preserve">Lavey, N. P.; Shadid, T.; Ballard, J. D.; Duerfeldt, A. S. Clostridium Difficile ClpP Homologues Are Capable of Uncoupled Activity and Exhibit Different Levels of Susceptibility to Acyldepsipeptide Modulation. </w:t>
      </w:r>
      <w:r w:rsidRPr="0044257B">
        <w:rPr>
          <w:i/>
          <w:iCs/>
        </w:rPr>
        <w:t>ACS Infect. Dis.</w:t>
      </w:r>
      <w:r w:rsidRPr="0044257B">
        <w:t xml:space="preserve"> </w:t>
      </w:r>
      <w:r w:rsidRPr="0044257B">
        <w:rPr>
          <w:b/>
          <w:bCs/>
        </w:rPr>
        <w:t>2019</w:t>
      </w:r>
      <w:r w:rsidRPr="0044257B">
        <w:t xml:space="preserve">, </w:t>
      </w:r>
      <w:r w:rsidRPr="0044257B">
        <w:rPr>
          <w:i/>
          <w:iCs/>
        </w:rPr>
        <w:t>5</w:t>
      </w:r>
      <w:r w:rsidRPr="0044257B">
        <w:t xml:space="preserve"> (1), 79–89. https://doi.org/10.1021/acsinfecdis.8b00199.</w:t>
      </w:r>
    </w:p>
    <w:p w14:paraId="0DF692A5" w14:textId="77777777" w:rsidR="0044257B" w:rsidRPr="0044257B" w:rsidRDefault="0044257B" w:rsidP="0044257B">
      <w:pPr>
        <w:tabs>
          <w:tab w:val="left" w:pos="504"/>
        </w:tabs>
        <w:spacing w:after="0"/>
        <w:ind w:left="504" w:hanging="504"/>
      </w:pPr>
      <w:r w:rsidRPr="0044257B">
        <w:t xml:space="preserve">(10) </w:t>
      </w:r>
      <w:r w:rsidRPr="0044257B">
        <w:tab/>
        <w:t xml:space="preserve">Li, Y.; Gardner, J. J.; Fortney, K. R.; Leus, I. V.; Bonifay, V.; Zgurskaya, H. I.; Pletnev, A. A.; Zhang, S.; Zhang, Z.-Y.; Gribble, G. W.; Spinola, S. M.; Duerfeldt, A. S. First-Generation Structure-Activity Relationship Studies of 2,3,4,9-Tetrahydro-1H-Carbazol-1-Amines as CpxA Phosphatase Inhibitors. </w:t>
      </w:r>
      <w:r w:rsidRPr="0044257B">
        <w:rPr>
          <w:i/>
          <w:iCs/>
        </w:rPr>
        <w:t>Bioorganic &amp; Medicinal Chemistry Letters</w:t>
      </w:r>
      <w:r w:rsidRPr="0044257B">
        <w:t xml:space="preserve"> </w:t>
      </w:r>
      <w:r w:rsidRPr="0044257B">
        <w:rPr>
          <w:b/>
          <w:bCs/>
        </w:rPr>
        <w:t>2019</w:t>
      </w:r>
      <w:r w:rsidRPr="0044257B">
        <w:t xml:space="preserve">, </w:t>
      </w:r>
      <w:r w:rsidRPr="0044257B">
        <w:rPr>
          <w:i/>
          <w:iCs/>
        </w:rPr>
        <w:t>29</w:t>
      </w:r>
      <w:r w:rsidRPr="0044257B">
        <w:t xml:space="preserve"> (14), 1836–1841. https://doi.org/10.1016/j.bmcl.2019.05.003.</w:t>
      </w:r>
    </w:p>
    <w:p w14:paraId="47648DE5" w14:textId="77777777" w:rsidR="0044257B" w:rsidRPr="0044257B" w:rsidRDefault="0044257B" w:rsidP="0044257B">
      <w:pPr>
        <w:tabs>
          <w:tab w:val="left" w:pos="504"/>
        </w:tabs>
        <w:spacing w:after="0"/>
        <w:ind w:left="504" w:hanging="504"/>
      </w:pPr>
      <w:r w:rsidRPr="0044257B">
        <w:t xml:space="preserve">(11) </w:t>
      </w:r>
      <w:r w:rsidRPr="0044257B">
        <w:tab/>
        <w:t xml:space="preserve">Hughes, D.; Andersson, D. I. Evolutionary Consequences of Drug Resistance: Shared Principles across Diverse Targets and Organisms. </w:t>
      </w:r>
      <w:r w:rsidRPr="0044257B">
        <w:rPr>
          <w:i/>
          <w:iCs/>
        </w:rPr>
        <w:t>Nat Rev Genet</w:t>
      </w:r>
      <w:r w:rsidRPr="0044257B">
        <w:t xml:space="preserve"> </w:t>
      </w:r>
      <w:r w:rsidRPr="0044257B">
        <w:rPr>
          <w:b/>
          <w:bCs/>
        </w:rPr>
        <w:t>2015</w:t>
      </w:r>
      <w:r w:rsidRPr="0044257B">
        <w:t xml:space="preserve">, </w:t>
      </w:r>
      <w:r w:rsidRPr="0044257B">
        <w:rPr>
          <w:i/>
          <w:iCs/>
        </w:rPr>
        <w:t>16</w:t>
      </w:r>
      <w:r w:rsidRPr="0044257B">
        <w:t xml:space="preserve"> (8), 459–471. https://doi.org/10.1038/nrg3922.</w:t>
      </w:r>
    </w:p>
    <w:p w14:paraId="77A46EBE" w14:textId="77777777" w:rsidR="0044257B" w:rsidRPr="0044257B" w:rsidRDefault="0044257B" w:rsidP="0044257B">
      <w:pPr>
        <w:tabs>
          <w:tab w:val="left" w:pos="504"/>
        </w:tabs>
        <w:spacing w:after="0"/>
        <w:ind w:left="504" w:hanging="504"/>
      </w:pPr>
      <w:r w:rsidRPr="0044257B">
        <w:t xml:space="preserve">(12) </w:t>
      </w:r>
      <w:r w:rsidRPr="0044257B">
        <w:tab/>
        <w:t xml:space="preserve">Woo, P. C. Y.; Huang, Y.; Lau, S. K. P.; Yuen, K.-Y. Coronavirus Genomics and Bioinformatics Analysis. </w:t>
      </w:r>
      <w:r w:rsidRPr="0044257B">
        <w:rPr>
          <w:i/>
          <w:iCs/>
        </w:rPr>
        <w:t>Viruses</w:t>
      </w:r>
      <w:r w:rsidRPr="0044257B">
        <w:t xml:space="preserve"> </w:t>
      </w:r>
      <w:r w:rsidRPr="0044257B">
        <w:rPr>
          <w:b/>
          <w:bCs/>
        </w:rPr>
        <w:t>2010</w:t>
      </w:r>
      <w:r w:rsidRPr="0044257B">
        <w:t xml:space="preserve">, </w:t>
      </w:r>
      <w:r w:rsidRPr="0044257B">
        <w:rPr>
          <w:i/>
          <w:iCs/>
        </w:rPr>
        <w:t>2</w:t>
      </w:r>
      <w:r w:rsidRPr="0044257B">
        <w:t xml:space="preserve"> (8), 1804–1820. https://doi.org/10.3390/v2081803.</w:t>
      </w:r>
    </w:p>
    <w:p w14:paraId="7A396615" w14:textId="77777777" w:rsidR="0044257B" w:rsidRPr="0044257B" w:rsidRDefault="0044257B" w:rsidP="0044257B">
      <w:pPr>
        <w:tabs>
          <w:tab w:val="left" w:pos="504"/>
        </w:tabs>
        <w:spacing w:after="0"/>
        <w:ind w:left="504" w:hanging="504"/>
      </w:pPr>
      <w:r w:rsidRPr="0044257B">
        <w:t xml:space="preserve">(13) </w:t>
      </w:r>
      <w:r w:rsidRPr="0044257B">
        <w:tab/>
        <w:t xml:space="preserve">Rahman, Md. T.; Sobur, Md. A.; Islam, Md. S.; Ievy, S.; Hossain, Md. J.; El Zowalaty, M. E.; Rahman, A. T.; Ashour, H. M. Zoonotic Diseases: Etiology, Impact, and Control. </w:t>
      </w:r>
      <w:r w:rsidRPr="0044257B">
        <w:rPr>
          <w:i/>
          <w:iCs/>
        </w:rPr>
        <w:t>Microorganisms</w:t>
      </w:r>
      <w:r w:rsidRPr="0044257B">
        <w:t xml:space="preserve"> </w:t>
      </w:r>
      <w:r w:rsidRPr="0044257B">
        <w:rPr>
          <w:b/>
          <w:bCs/>
        </w:rPr>
        <w:t>2020</w:t>
      </w:r>
      <w:r w:rsidRPr="0044257B">
        <w:t xml:space="preserve">, </w:t>
      </w:r>
      <w:r w:rsidRPr="0044257B">
        <w:rPr>
          <w:i/>
          <w:iCs/>
        </w:rPr>
        <w:t>8</w:t>
      </w:r>
      <w:r w:rsidRPr="0044257B">
        <w:t xml:space="preserve"> (9), 1405. https://doi.org/10.3390/microorganisms8091405.</w:t>
      </w:r>
    </w:p>
    <w:p w14:paraId="070E2599" w14:textId="77777777" w:rsidR="0044257B" w:rsidRPr="0044257B" w:rsidRDefault="0044257B" w:rsidP="0044257B">
      <w:pPr>
        <w:tabs>
          <w:tab w:val="left" w:pos="504"/>
        </w:tabs>
        <w:spacing w:after="0"/>
        <w:ind w:left="504" w:hanging="504"/>
      </w:pPr>
      <w:r w:rsidRPr="0044257B">
        <w:t xml:space="preserve">(14) </w:t>
      </w:r>
      <w:r w:rsidRPr="0044257B">
        <w:tab/>
        <w:t xml:space="preserve">Lai, M. M. C.; Cavanagh, D. The Molecular Biology of Coronaviruses. In </w:t>
      </w:r>
      <w:r w:rsidRPr="0044257B">
        <w:rPr>
          <w:i/>
          <w:iCs/>
        </w:rPr>
        <w:t>Advances in Virus Research</w:t>
      </w:r>
      <w:r w:rsidRPr="0044257B">
        <w:t>; Maramorosch, K., Murphy, F. A., Shatkin, A. J., Eds.; Academic Press, 1997; Vol. 48, pp 1–100. https://doi.org/10.1016/S0065-3527(08)60286-9.</w:t>
      </w:r>
    </w:p>
    <w:p w14:paraId="44C51CB3" w14:textId="77777777" w:rsidR="0044257B" w:rsidRPr="0044257B" w:rsidRDefault="0044257B" w:rsidP="0044257B">
      <w:pPr>
        <w:tabs>
          <w:tab w:val="left" w:pos="504"/>
        </w:tabs>
        <w:spacing w:after="0"/>
        <w:ind w:left="504" w:hanging="504"/>
      </w:pPr>
      <w:r w:rsidRPr="0044257B">
        <w:lastRenderedPageBreak/>
        <w:t xml:space="preserve">(15) </w:t>
      </w:r>
      <w:r w:rsidRPr="0044257B">
        <w:tab/>
        <w:t xml:space="preserve">Peiris, J.; Chu, C.; Cheng, V.; Chan, K.; Hung, I.; Poon, L.; Law, K.; Tang, B.; Hon, T.; Chan, C.; Chan, K.; Ng, J.; Zheng, B.; Ng, W.; Lai, R.; Guan, Y.; Yuen, K. Clinical Progression and Viral Load in a Community Outbreak of Coronavirus-Associated SARS Pneumonia: A Prospective Study. </w:t>
      </w:r>
      <w:r w:rsidRPr="0044257B">
        <w:rPr>
          <w:i/>
          <w:iCs/>
        </w:rPr>
        <w:t>The Lancet</w:t>
      </w:r>
      <w:r w:rsidRPr="0044257B">
        <w:t xml:space="preserve"> </w:t>
      </w:r>
      <w:r w:rsidRPr="0044257B">
        <w:rPr>
          <w:b/>
          <w:bCs/>
        </w:rPr>
        <w:t>2003</w:t>
      </w:r>
      <w:r w:rsidRPr="0044257B">
        <w:t xml:space="preserve">, </w:t>
      </w:r>
      <w:r w:rsidRPr="0044257B">
        <w:rPr>
          <w:i/>
          <w:iCs/>
        </w:rPr>
        <w:t>361</w:t>
      </w:r>
      <w:r w:rsidRPr="0044257B">
        <w:t xml:space="preserve"> (9371), 1767–1772. https://doi.org/10.1016/S0140-6736(03)13412-5.</w:t>
      </w:r>
    </w:p>
    <w:p w14:paraId="58EAC8C1" w14:textId="77777777" w:rsidR="0044257B" w:rsidRPr="0044257B" w:rsidRDefault="0044257B" w:rsidP="0044257B">
      <w:pPr>
        <w:tabs>
          <w:tab w:val="left" w:pos="504"/>
        </w:tabs>
        <w:spacing w:after="0"/>
        <w:ind w:left="504" w:hanging="504"/>
      </w:pPr>
      <w:r w:rsidRPr="0044257B">
        <w:t xml:space="preserve">(16) </w:t>
      </w:r>
      <w:r w:rsidRPr="0044257B">
        <w:tab/>
        <w:t xml:space="preserve">Cheng, V. C. C.; Lau, S. K. P.; Woo, P. C. Y.; Yuen, K. Y. Severe Acute Respiratory Syndrome Coronavirus as an Agent of Emerging and Reemerging Infection. </w:t>
      </w:r>
      <w:r w:rsidRPr="0044257B">
        <w:rPr>
          <w:i/>
          <w:iCs/>
        </w:rPr>
        <w:t>Clinical Microbiology Reviews</w:t>
      </w:r>
      <w:r w:rsidRPr="0044257B">
        <w:t xml:space="preserve"> </w:t>
      </w:r>
      <w:r w:rsidRPr="0044257B">
        <w:rPr>
          <w:b/>
          <w:bCs/>
        </w:rPr>
        <w:t>2007</w:t>
      </w:r>
      <w:r w:rsidRPr="0044257B">
        <w:t xml:space="preserve">, </w:t>
      </w:r>
      <w:r w:rsidRPr="0044257B">
        <w:rPr>
          <w:i/>
          <w:iCs/>
        </w:rPr>
        <w:t>20</w:t>
      </w:r>
      <w:r w:rsidRPr="0044257B">
        <w:t xml:space="preserve"> (4), 660–694. https://doi.org/10.1128/CMR.00023-07.</w:t>
      </w:r>
    </w:p>
    <w:p w14:paraId="42248A20" w14:textId="77777777" w:rsidR="0044257B" w:rsidRPr="0044257B" w:rsidRDefault="0044257B" w:rsidP="0044257B">
      <w:pPr>
        <w:tabs>
          <w:tab w:val="left" w:pos="504"/>
        </w:tabs>
        <w:spacing w:after="0"/>
        <w:ind w:left="504" w:hanging="504"/>
      </w:pPr>
      <w:r w:rsidRPr="0044257B">
        <w:t xml:space="preserve">(17) </w:t>
      </w:r>
      <w:r w:rsidRPr="0044257B">
        <w:tab/>
        <w:t xml:space="preserve">Zaki, A. M.; van Boheemen, S.; Bestebroer, T. M.; Osterhaus, A. D. M. E.; Fouchier, R. A. M. Isolation of a Novel Coronavirus from a Man with Pneumonia in Saudi Arabia. </w:t>
      </w:r>
      <w:r w:rsidRPr="0044257B">
        <w:rPr>
          <w:i/>
          <w:iCs/>
        </w:rPr>
        <w:t>New England Journal of Medicine</w:t>
      </w:r>
      <w:r w:rsidRPr="0044257B">
        <w:t xml:space="preserve"> </w:t>
      </w:r>
      <w:r w:rsidRPr="0044257B">
        <w:rPr>
          <w:b/>
          <w:bCs/>
        </w:rPr>
        <w:t>2012</w:t>
      </w:r>
      <w:r w:rsidRPr="0044257B">
        <w:t xml:space="preserve">, </w:t>
      </w:r>
      <w:r w:rsidRPr="0044257B">
        <w:rPr>
          <w:i/>
          <w:iCs/>
        </w:rPr>
        <w:t>367</w:t>
      </w:r>
      <w:r w:rsidRPr="0044257B">
        <w:t xml:space="preserve"> (19), 1814–1820. https://doi.org/10.1056/NEJMoa1211721.</w:t>
      </w:r>
    </w:p>
    <w:p w14:paraId="0ED3CAB0" w14:textId="77777777" w:rsidR="0044257B" w:rsidRPr="0044257B" w:rsidRDefault="0044257B" w:rsidP="0044257B">
      <w:pPr>
        <w:tabs>
          <w:tab w:val="left" w:pos="504"/>
        </w:tabs>
        <w:spacing w:after="0"/>
        <w:ind w:left="504" w:hanging="504"/>
      </w:pPr>
      <w:r w:rsidRPr="0044257B">
        <w:t xml:space="preserve">(18) </w:t>
      </w:r>
      <w:r w:rsidRPr="0044257B">
        <w:tab/>
        <w:t xml:space="preserve">Killerby, M. E.; Biggs, H. M.; Midgley, C. M.; Gerber, S. I.; Watson, J. T. Middle East Respiratory Syndrome Coronavirus Transmission. </w:t>
      </w:r>
      <w:r w:rsidRPr="0044257B">
        <w:rPr>
          <w:i/>
          <w:iCs/>
        </w:rPr>
        <w:t>Emerg Infect Dis</w:t>
      </w:r>
      <w:r w:rsidRPr="0044257B">
        <w:t xml:space="preserve"> </w:t>
      </w:r>
      <w:r w:rsidRPr="0044257B">
        <w:rPr>
          <w:b/>
          <w:bCs/>
        </w:rPr>
        <w:t>2020</w:t>
      </w:r>
      <w:r w:rsidRPr="0044257B">
        <w:t xml:space="preserve">, </w:t>
      </w:r>
      <w:r w:rsidRPr="0044257B">
        <w:rPr>
          <w:i/>
          <w:iCs/>
        </w:rPr>
        <w:t>26</w:t>
      </w:r>
      <w:r w:rsidRPr="0044257B">
        <w:t xml:space="preserve"> (2), 191–198. https://doi.org/10.3201/eid2602.190697.</w:t>
      </w:r>
    </w:p>
    <w:p w14:paraId="6E138C57" w14:textId="77777777" w:rsidR="0044257B" w:rsidRPr="0044257B" w:rsidRDefault="0044257B" w:rsidP="0044257B">
      <w:pPr>
        <w:tabs>
          <w:tab w:val="left" w:pos="504"/>
        </w:tabs>
        <w:spacing w:after="0"/>
        <w:ind w:left="504" w:hanging="504"/>
      </w:pPr>
      <w:r w:rsidRPr="0044257B">
        <w:t xml:space="preserve">(19) </w:t>
      </w:r>
      <w:r w:rsidRPr="0044257B">
        <w:tab/>
        <w:t xml:space="preserve">Al-Tawfiq, J. A. Middle East Respiratory Syndrome-Coronavirus Infection: An Overview. </w:t>
      </w:r>
      <w:r w:rsidRPr="0044257B">
        <w:rPr>
          <w:i/>
          <w:iCs/>
        </w:rPr>
        <w:t>Journal of Infection and Public Health</w:t>
      </w:r>
      <w:r w:rsidRPr="0044257B">
        <w:t xml:space="preserve"> </w:t>
      </w:r>
      <w:r w:rsidRPr="0044257B">
        <w:rPr>
          <w:b/>
          <w:bCs/>
        </w:rPr>
        <w:t>2013</w:t>
      </w:r>
      <w:r w:rsidRPr="0044257B">
        <w:t xml:space="preserve">, </w:t>
      </w:r>
      <w:r w:rsidRPr="0044257B">
        <w:rPr>
          <w:i/>
          <w:iCs/>
        </w:rPr>
        <w:t>6</w:t>
      </w:r>
      <w:r w:rsidRPr="0044257B">
        <w:t xml:space="preserve"> (5), 319–322. https://doi.org/10.1016/j.jiph.2013.06.001.</w:t>
      </w:r>
    </w:p>
    <w:p w14:paraId="7EFBCD9A" w14:textId="77777777" w:rsidR="0044257B" w:rsidRPr="0044257B" w:rsidRDefault="0044257B" w:rsidP="0044257B">
      <w:pPr>
        <w:tabs>
          <w:tab w:val="left" w:pos="504"/>
        </w:tabs>
        <w:spacing w:after="0"/>
        <w:ind w:left="504" w:hanging="504"/>
      </w:pPr>
      <w:r w:rsidRPr="0044257B">
        <w:t xml:space="preserve">(20) </w:t>
      </w:r>
      <w:r w:rsidRPr="0044257B">
        <w:tab/>
        <w:t xml:space="preserve">Morse, J. S.; Lalonde, T.; Xu, S.; Liu, W. R. Learning from the Past: Possible Urgent Prevention and Treatment Options for Severe Acute Respiratory Infections Caused by 2019‐nCoV. </w:t>
      </w:r>
      <w:r w:rsidRPr="0044257B">
        <w:rPr>
          <w:i/>
          <w:iCs/>
        </w:rPr>
        <w:t>Chembiochem</w:t>
      </w:r>
      <w:r w:rsidRPr="0044257B">
        <w:t xml:space="preserve"> </w:t>
      </w:r>
      <w:r w:rsidRPr="0044257B">
        <w:rPr>
          <w:b/>
          <w:bCs/>
        </w:rPr>
        <w:t>2020</w:t>
      </w:r>
      <w:r w:rsidRPr="0044257B">
        <w:t xml:space="preserve">, </w:t>
      </w:r>
      <w:r w:rsidRPr="0044257B">
        <w:rPr>
          <w:i/>
          <w:iCs/>
        </w:rPr>
        <w:t>21</w:t>
      </w:r>
      <w:r w:rsidRPr="0044257B">
        <w:t xml:space="preserve"> (5), 730–738. https://doi.org/10.1002/cbic.202000047.</w:t>
      </w:r>
    </w:p>
    <w:p w14:paraId="1D0B91A5" w14:textId="77777777" w:rsidR="0044257B" w:rsidRPr="0044257B" w:rsidRDefault="0044257B" w:rsidP="0044257B">
      <w:pPr>
        <w:tabs>
          <w:tab w:val="left" w:pos="504"/>
        </w:tabs>
        <w:spacing w:after="0"/>
        <w:ind w:left="504" w:hanging="504"/>
      </w:pPr>
      <w:r w:rsidRPr="0044257B">
        <w:lastRenderedPageBreak/>
        <w:t xml:space="preserve">(21) </w:t>
      </w:r>
      <w:r w:rsidRPr="0044257B">
        <w:tab/>
        <w:t xml:space="preserve">Krishnamoorthy, S.; Swain, B.; Verma, R. S.; Gunthe, S. S. SARS-CoV, MERS-CoV, and 2019-NCoV Viruses: An Overview of Origin, Evolution, and Genetic Variations. </w:t>
      </w:r>
      <w:r w:rsidRPr="0044257B">
        <w:rPr>
          <w:i/>
          <w:iCs/>
        </w:rPr>
        <w:t>Virusdisease</w:t>
      </w:r>
      <w:r w:rsidRPr="0044257B">
        <w:t xml:space="preserve"> </w:t>
      </w:r>
      <w:r w:rsidRPr="0044257B">
        <w:rPr>
          <w:b/>
          <w:bCs/>
        </w:rPr>
        <w:t>2020</w:t>
      </w:r>
      <w:r w:rsidRPr="0044257B">
        <w:t xml:space="preserve">, </w:t>
      </w:r>
      <w:r w:rsidRPr="0044257B">
        <w:rPr>
          <w:i/>
          <w:iCs/>
        </w:rPr>
        <w:t>31</w:t>
      </w:r>
      <w:r w:rsidRPr="0044257B">
        <w:t xml:space="preserve"> (4), 411–423. https://doi.org/10.1007/s13337-020-00632-9.</w:t>
      </w:r>
    </w:p>
    <w:p w14:paraId="5FDF34CA" w14:textId="77777777" w:rsidR="0044257B" w:rsidRPr="0044257B" w:rsidRDefault="0044257B" w:rsidP="0044257B">
      <w:pPr>
        <w:tabs>
          <w:tab w:val="left" w:pos="504"/>
        </w:tabs>
        <w:spacing w:after="0"/>
        <w:ind w:left="504" w:hanging="504"/>
      </w:pPr>
      <w:r w:rsidRPr="0044257B">
        <w:t xml:space="preserve">(22) </w:t>
      </w:r>
      <w:r w:rsidRPr="0044257B">
        <w:tab/>
        <w:t xml:space="preserve">Huang, C.; Wang, Y.; Li, X.; Ren, L.; Zhao, J.; Hu, Y.; Zhang, L.; Fan, G.; Xu, J.; Gu, X.; Cheng, Z.; Yu, T.; Xia, J.; Wei, Y.; Wu, W.; Xie, X.; Yin, W.; Li, H.; Liu, M.; Xiao, Y.; Gao, H.; Guo, L.; Xie, J.; Wang, G.; Jiang, R.; Gao, Z.; Jin, Q.; Wang, J.; Cao, B. Clinical Features of Patients Infected with 2019 Novel Coronavirus in Wuhan, China. </w:t>
      </w:r>
      <w:r w:rsidRPr="0044257B">
        <w:rPr>
          <w:i/>
          <w:iCs/>
        </w:rPr>
        <w:t>Lancet</w:t>
      </w:r>
      <w:r w:rsidRPr="0044257B">
        <w:t xml:space="preserve"> </w:t>
      </w:r>
      <w:r w:rsidRPr="0044257B">
        <w:rPr>
          <w:b/>
          <w:bCs/>
        </w:rPr>
        <w:t>2020</w:t>
      </w:r>
      <w:r w:rsidRPr="0044257B">
        <w:t xml:space="preserve">, </w:t>
      </w:r>
      <w:r w:rsidRPr="0044257B">
        <w:rPr>
          <w:i/>
          <w:iCs/>
        </w:rPr>
        <w:t>395</w:t>
      </w:r>
      <w:r w:rsidRPr="0044257B">
        <w:t xml:space="preserve"> (10223), 497–506. https://doi.org/10.1016/S0140-6736(20)30183-5.</w:t>
      </w:r>
    </w:p>
    <w:p w14:paraId="10F91F06" w14:textId="77777777" w:rsidR="0044257B" w:rsidRPr="0044257B" w:rsidRDefault="0044257B" w:rsidP="0044257B">
      <w:pPr>
        <w:tabs>
          <w:tab w:val="left" w:pos="504"/>
        </w:tabs>
        <w:spacing w:after="0"/>
        <w:ind w:left="504" w:hanging="504"/>
      </w:pPr>
      <w:r w:rsidRPr="0044257B">
        <w:t xml:space="preserve">(23) </w:t>
      </w:r>
      <w:r w:rsidRPr="0044257B">
        <w:tab/>
        <w:t xml:space="preserve">Wu, F.; Zhao, S.; Yu, B.; Chen, Y.-M.; Wang, W.; Song, Z.-G.; Hu, Y.; Tao, Z.-W.; Tian, J.-H.; Pei, Y.-Y.; Yuan, M.-L.; Zhang, Y.-L.; Dai, F.-H.; Liu, Y.; Wang, Q.-M.; Zheng, J.-J.; Xu, L.; Holmes, E. C.; Zhang, Y.-Z. A New Coronavirus Associated with Human Respiratory Disease in China. </w:t>
      </w:r>
      <w:r w:rsidRPr="0044257B">
        <w:rPr>
          <w:i/>
          <w:iCs/>
        </w:rPr>
        <w:t>Nature</w:t>
      </w:r>
      <w:r w:rsidRPr="0044257B">
        <w:t xml:space="preserve"> </w:t>
      </w:r>
      <w:r w:rsidRPr="0044257B">
        <w:rPr>
          <w:b/>
          <w:bCs/>
        </w:rPr>
        <w:t>2020</w:t>
      </w:r>
      <w:r w:rsidRPr="0044257B">
        <w:t xml:space="preserve">, </w:t>
      </w:r>
      <w:r w:rsidRPr="0044257B">
        <w:rPr>
          <w:i/>
          <w:iCs/>
        </w:rPr>
        <w:t>579</w:t>
      </w:r>
      <w:r w:rsidRPr="0044257B">
        <w:t xml:space="preserve"> (7798), 265–269. https://doi.org/10.1038/s41586-020-2008-3.</w:t>
      </w:r>
    </w:p>
    <w:p w14:paraId="4027E366" w14:textId="77777777" w:rsidR="0044257B" w:rsidRPr="0044257B" w:rsidRDefault="0044257B" w:rsidP="0044257B">
      <w:pPr>
        <w:tabs>
          <w:tab w:val="left" w:pos="504"/>
        </w:tabs>
        <w:spacing w:after="0"/>
        <w:ind w:left="504" w:hanging="504"/>
      </w:pPr>
      <w:r w:rsidRPr="0044257B">
        <w:t xml:space="preserve">(24) </w:t>
      </w:r>
      <w:r w:rsidRPr="0044257B">
        <w:tab/>
        <w:t xml:space="preserve">Wu, C.-Y.; Jan, J.-T.; Ma, S.-H.; Kuo, C.-J.; Juan, H.-F.; Cheng, Y.-S. E.; Hsu, H.-H.; Huang, H.-C.; Wu, D.; Brik, A.; Liang, F.-S.; Liu, R.-S.; Fang, J.-M.; Chen, S.-T.; Liang, P.-H.; Wong, C.-H. Small Molecules Targeting Severe Acute Respiratory Syndrome Human Coronavirus. </w:t>
      </w:r>
      <w:r w:rsidRPr="0044257B">
        <w:rPr>
          <w:i/>
          <w:iCs/>
        </w:rPr>
        <w:t>Proceedings of the National Academy of Sciences</w:t>
      </w:r>
      <w:r w:rsidRPr="0044257B">
        <w:t xml:space="preserve"> </w:t>
      </w:r>
      <w:r w:rsidRPr="0044257B">
        <w:rPr>
          <w:b/>
          <w:bCs/>
        </w:rPr>
        <w:t>2004</w:t>
      </w:r>
      <w:r w:rsidRPr="0044257B">
        <w:t xml:space="preserve">, </w:t>
      </w:r>
      <w:r w:rsidRPr="0044257B">
        <w:rPr>
          <w:i/>
          <w:iCs/>
        </w:rPr>
        <w:t>101</w:t>
      </w:r>
      <w:r w:rsidRPr="0044257B">
        <w:t xml:space="preserve"> (27), 10012–10017. https://doi.org/10.1073/pnas.0403596101.</w:t>
      </w:r>
    </w:p>
    <w:p w14:paraId="554B9F10" w14:textId="77777777" w:rsidR="0044257B" w:rsidRPr="0044257B" w:rsidRDefault="0044257B" w:rsidP="0044257B">
      <w:pPr>
        <w:tabs>
          <w:tab w:val="left" w:pos="504"/>
        </w:tabs>
        <w:spacing w:after="0"/>
        <w:ind w:left="504" w:hanging="504"/>
      </w:pPr>
      <w:r w:rsidRPr="0044257B">
        <w:t xml:space="preserve">(25) </w:t>
      </w:r>
      <w:r w:rsidRPr="0044257B">
        <w:tab/>
        <w:t xml:space="preserve">Delre, P.; Caporuscio, F.; Saviano, M.; Mangiatordi, G. F. Repurposing Known Drugs as Covalent and Non-Covalent Inhibitors of the SARS-CoV-2 Papain-Like Protease. </w:t>
      </w:r>
      <w:r w:rsidRPr="0044257B">
        <w:rPr>
          <w:i/>
          <w:iCs/>
        </w:rPr>
        <w:t>Frontiers in Chemistry</w:t>
      </w:r>
      <w:r w:rsidRPr="0044257B">
        <w:t xml:space="preserve"> </w:t>
      </w:r>
      <w:r w:rsidRPr="0044257B">
        <w:rPr>
          <w:b/>
          <w:bCs/>
        </w:rPr>
        <w:t>2020</w:t>
      </w:r>
      <w:r w:rsidRPr="0044257B">
        <w:t xml:space="preserve">, </w:t>
      </w:r>
      <w:r w:rsidRPr="0044257B">
        <w:rPr>
          <w:i/>
          <w:iCs/>
        </w:rPr>
        <w:t>8</w:t>
      </w:r>
      <w:r w:rsidRPr="0044257B">
        <w:t>.</w:t>
      </w:r>
    </w:p>
    <w:p w14:paraId="51220EF0" w14:textId="77777777" w:rsidR="0044257B" w:rsidRPr="0044257B" w:rsidRDefault="0044257B" w:rsidP="0044257B">
      <w:pPr>
        <w:tabs>
          <w:tab w:val="left" w:pos="504"/>
        </w:tabs>
        <w:spacing w:after="0"/>
        <w:ind w:left="504" w:hanging="504"/>
      </w:pPr>
      <w:r w:rsidRPr="0044257B">
        <w:t xml:space="preserve">(26) </w:t>
      </w:r>
      <w:r w:rsidRPr="0044257B">
        <w:tab/>
        <w:t xml:space="preserve">Alamri, M. A.; Tahir ul Qamar, M.; Mirza, M. U.; Alqahtani, S. M.; Froeyen, M.; Chen, L.-L. Discovery of Human Coronaviruses Pan-Papain-like Protease Inhibitors Using </w:t>
      </w:r>
      <w:r w:rsidRPr="0044257B">
        <w:lastRenderedPageBreak/>
        <w:t xml:space="preserve">Computational Approaches. </w:t>
      </w:r>
      <w:r w:rsidRPr="0044257B">
        <w:rPr>
          <w:i/>
          <w:iCs/>
        </w:rPr>
        <w:t>Journal of Pharmaceutical Analysis</w:t>
      </w:r>
      <w:r w:rsidRPr="0044257B">
        <w:t xml:space="preserve"> </w:t>
      </w:r>
      <w:r w:rsidRPr="0044257B">
        <w:rPr>
          <w:b/>
          <w:bCs/>
        </w:rPr>
        <w:t>2020</w:t>
      </w:r>
      <w:r w:rsidRPr="0044257B">
        <w:t xml:space="preserve">, </w:t>
      </w:r>
      <w:r w:rsidRPr="0044257B">
        <w:rPr>
          <w:i/>
          <w:iCs/>
        </w:rPr>
        <w:t>10</w:t>
      </w:r>
      <w:r w:rsidRPr="0044257B">
        <w:t xml:space="preserve"> (6), 546–559. https://doi.org/10.1016/j.jpha.2020.08.012.</w:t>
      </w:r>
    </w:p>
    <w:p w14:paraId="22A3FD22" w14:textId="77777777" w:rsidR="0044257B" w:rsidRPr="0044257B" w:rsidRDefault="0044257B" w:rsidP="0044257B">
      <w:pPr>
        <w:tabs>
          <w:tab w:val="left" w:pos="504"/>
        </w:tabs>
        <w:spacing w:after="0"/>
        <w:ind w:left="504" w:hanging="504"/>
      </w:pPr>
      <w:r w:rsidRPr="0044257B">
        <w:t xml:space="preserve">(27) </w:t>
      </w:r>
      <w:r w:rsidRPr="0044257B">
        <w:tab/>
        <w:t xml:space="preserve">Tchesnokov, E. P.; Feng, J. Y.; Porter, D. P.; Götte, M. Mechanism of Inhibition of Ebola Virus RNA-Dependent RNA Polymerase by Remdesivir. </w:t>
      </w:r>
      <w:r w:rsidRPr="0044257B">
        <w:rPr>
          <w:i/>
          <w:iCs/>
        </w:rPr>
        <w:t>Viruses</w:t>
      </w:r>
      <w:r w:rsidRPr="0044257B">
        <w:t xml:space="preserve"> </w:t>
      </w:r>
      <w:r w:rsidRPr="0044257B">
        <w:rPr>
          <w:b/>
          <w:bCs/>
        </w:rPr>
        <w:t>2019</w:t>
      </w:r>
      <w:r w:rsidRPr="0044257B">
        <w:t xml:space="preserve">, </w:t>
      </w:r>
      <w:r w:rsidRPr="0044257B">
        <w:rPr>
          <w:i/>
          <w:iCs/>
        </w:rPr>
        <w:t>11</w:t>
      </w:r>
      <w:r w:rsidRPr="0044257B">
        <w:t xml:space="preserve"> (4), 326. https://doi.org/10.3390/v11040326.</w:t>
      </w:r>
    </w:p>
    <w:p w14:paraId="0832C311" w14:textId="77777777" w:rsidR="0044257B" w:rsidRPr="0044257B" w:rsidRDefault="0044257B" w:rsidP="0044257B">
      <w:pPr>
        <w:tabs>
          <w:tab w:val="left" w:pos="504"/>
        </w:tabs>
        <w:spacing w:after="0"/>
        <w:ind w:left="504" w:hanging="504"/>
      </w:pPr>
      <w:r w:rsidRPr="0044257B">
        <w:t xml:space="preserve">(28) </w:t>
      </w:r>
      <w:r w:rsidRPr="0044257B">
        <w:tab/>
        <w:t xml:space="preserve">Crotty, S.; Cameron, C.; Andino, R. Ribavirin’s Antiviral Mechanism of Action: Lethal Mutagenesis? </w:t>
      </w:r>
      <w:r w:rsidRPr="0044257B">
        <w:rPr>
          <w:i/>
          <w:iCs/>
        </w:rPr>
        <w:t>J Mol Med</w:t>
      </w:r>
      <w:r w:rsidRPr="0044257B">
        <w:t xml:space="preserve"> </w:t>
      </w:r>
      <w:r w:rsidRPr="0044257B">
        <w:rPr>
          <w:b/>
          <w:bCs/>
        </w:rPr>
        <w:t>2002</w:t>
      </w:r>
      <w:r w:rsidRPr="0044257B">
        <w:t xml:space="preserve">, </w:t>
      </w:r>
      <w:r w:rsidRPr="0044257B">
        <w:rPr>
          <w:i/>
          <w:iCs/>
        </w:rPr>
        <w:t>80</w:t>
      </w:r>
      <w:r w:rsidRPr="0044257B">
        <w:t xml:space="preserve"> (2), 86–95. https://doi.org/10.1007/s00109-001-0308-0.</w:t>
      </w:r>
    </w:p>
    <w:p w14:paraId="1E72221E" w14:textId="77777777" w:rsidR="0044257B" w:rsidRPr="0044257B" w:rsidRDefault="0044257B" w:rsidP="0044257B">
      <w:pPr>
        <w:tabs>
          <w:tab w:val="left" w:pos="504"/>
        </w:tabs>
        <w:spacing w:after="0"/>
        <w:ind w:left="504" w:hanging="504"/>
      </w:pPr>
      <w:r w:rsidRPr="0044257B">
        <w:t xml:space="preserve">(29) </w:t>
      </w:r>
      <w:r w:rsidRPr="0044257B">
        <w:tab/>
        <w:t xml:space="preserve">Shuster, A.; Pechalrieu, D.; Jackson, C. B.; Abegg, D.; Choe, H.; Adibekian, A. Clinical Antiviral Drug Arbidol Inhibits Infection by SARS-CoV-2 and Variants through Direct Binding to the Spike Protein. </w:t>
      </w:r>
      <w:r w:rsidRPr="0044257B">
        <w:rPr>
          <w:i/>
          <w:iCs/>
        </w:rPr>
        <w:t>ACS Chem Biol</w:t>
      </w:r>
      <w:r w:rsidRPr="0044257B">
        <w:t xml:space="preserve"> </w:t>
      </w:r>
      <w:r w:rsidRPr="0044257B">
        <w:rPr>
          <w:b/>
          <w:bCs/>
        </w:rPr>
        <w:t>2021</w:t>
      </w:r>
      <w:r w:rsidRPr="0044257B">
        <w:t>, acschembio.1c00756. https://doi.org/10.1021/acschembio.1c00756.</w:t>
      </w:r>
    </w:p>
    <w:p w14:paraId="1B93A28E" w14:textId="77777777" w:rsidR="0044257B" w:rsidRPr="0044257B" w:rsidRDefault="0044257B" w:rsidP="0044257B">
      <w:pPr>
        <w:tabs>
          <w:tab w:val="left" w:pos="504"/>
        </w:tabs>
        <w:spacing w:after="0"/>
        <w:ind w:left="504" w:hanging="504"/>
      </w:pPr>
      <w:r w:rsidRPr="0044257B">
        <w:t xml:space="preserve">(30) </w:t>
      </w:r>
      <w:r w:rsidRPr="0044257B">
        <w:tab/>
        <w:t xml:space="preserve">Padhi, A. K.; Seal, A.; Khan, J. M.; Ahamed, M.; Tripathi, T. Unraveling the Mechanism of Arbidol Binding and Inhibition of SARS-CoV-2: Insights from Atomistic Simulations. </w:t>
      </w:r>
      <w:r w:rsidRPr="0044257B">
        <w:rPr>
          <w:i/>
          <w:iCs/>
        </w:rPr>
        <w:t>Eur J Pharmacol</w:t>
      </w:r>
      <w:r w:rsidRPr="0044257B">
        <w:t xml:space="preserve"> </w:t>
      </w:r>
      <w:r w:rsidRPr="0044257B">
        <w:rPr>
          <w:b/>
          <w:bCs/>
        </w:rPr>
        <w:t>2021</w:t>
      </w:r>
      <w:r w:rsidRPr="0044257B">
        <w:t xml:space="preserve">, </w:t>
      </w:r>
      <w:r w:rsidRPr="0044257B">
        <w:rPr>
          <w:i/>
          <w:iCs/>
        </w:rPr>
        <w:t>894</w:t>
      </w:r>
      <w:r w:rsidRPr="0044257B">
        <w:t>, 173836. https://doi.org/10.1016/j.ejphar.2020.173836.</w:t>
      </w:r>
    </w:p>
    <w:p w14:paraId="09CFEA45" w14:textId="77777777" w:rsidR="0044257B" w:rsidRPr="0044257B" w:rsidRDefault="0044257B" w:rsidP="0044257B">
      <w:pPr>
        <w:tabs>
          <w:tab w:val="left" w:pos="504"/>
        </w:tabs>
        <w:spacing w:after="0"/>
        <w:ind w:left="504" w:hanging="504"/>
      </w:pPr>
      <w:r w:rsidRPr="0044257B">
        <w:t xml:space="preserve">(31) </w:t>
      </w:r>
      <w:r w:rsidRPr="0044257B">
        <w:tab/>
        <w:t xml:space="preserve">De Witt, B. J.; Garrison, E. A.; Champion, H. C.; Kadowitz, P. J. L-163,491 Is a Partial Angiotensin AT1 Receptor Agonist in the Hindquarters Vascular Bed of the Cat. </w:t>
      </w:r>
      <w:r w:rsidRPr="0044257B">
        <w:rPr>
          <w:i/>
          <w:iCs/>
        </w:rPr>
        <w:t>European Journal of Pharmacology</w:t>
      </w:r>
      <w:r w:rsidRPr="0044257B">
        <w:t xml:space="preserve"> </w:t>
      </w:r>
      <w:r w:rsidRPr="0044257B">
        <w:rPr>
          <w:b/>
          <w:bCs/>
        </w:rPr>
        <w:t>2000</w:t>
      </w:r>
      <w:r w:rsidRPr="0044257B">
        <w:t xml:space="preserve">, </w:t>
      </w:r>
      <w:r w:rsidRPr="0044257B">
        <w:rPr>
          <w:i/>
          <w:iCs/>
        </w:rPr>
        <w:t>404</w:t>
      </w:r>
      <w:r w:rsidRPr="0044257B">
        <w:t xml:space="preserve"> (1), 213–219. https://doi.org/10.1016/S0014-2999(00)00612-9.</w:t>
      </w:r>
    </w:p>
    <w:p w14:paraId="085B13E4" w14:textId="77777777" w:rsidR="0044257B" w:rsidRPr="0044257B" w:rsidRDefault="0044257B" w:rsidP="0044257B">
      <w:pPr>
        <w:tabs>
          <w:tab w:val="left" w:pos="504"/>
        </w:tabs>
        <w:spacing w:after="0"/>
        <w:ind w:left="504" w:hanging="504"/>
      </w:pPr>
      <w:r w:rsidRPr="0044257B">
        <w:t xml:space="preserve">(32) </w:t>
      </w:r>
      <w:r w:rsidRPr="0044257B">
        <w:tab/>
        <w:t xml:space="preserve">Kawase, M.; Shirato, K.; van der Hoek, L.; Taguchi, F.; Matsuyama, S. Simultaneous Treatment of Human Bronchial Epithelial Cells with Serine and Cysteine Protease Inhibitors Prevents Severe Acute Respiratory Syndrome Coronavirus Entry. </w:t>
      </w:r>
      <w:r w:rsidRPr="0044257B">
        <w:rPr>
          <w:i/>
          <w:iCs/>
        </w:rPr>
        <w:t>Journal of Virology</w:t>
      </w:r>
      <w:r w:rsidRPr="0044257B">
        <w:t xml:space="preserve"> </w:t>
      </w:r>
      <w:r w:rsidRPr="0044257B">
        <w:rPr>
          <w:b/>
          <w:bCs/>
        </w:rPr>
        <w:t>2012</w:t>
      </w:r>
      <w:r w:rsidRPr="0044257B">
        <w:t xml:space="preserve">, </w:t>
      </w:r>
      <w:r w:rsidRPr="0044257B">
        <w:rPr>
          <w:i/>
          <w:iCs/>
        </w:rPr>
        <w:t>86</w:t>
      </w:r>
      <w:r w:rsidRPr="0044257B">
        <w:t xml:space="preserve"> (12), 6537–6545. https://doi.org/10.1128/JVI.00094-12.</w:t>
      </w:r>
    </w:p>
    <w:p w14:paraId="2916B57F" w14:textId="77777777" w:rsidR="0044257B" w:rsidRPr="0044257B" w:rsidRDefault="0044257B" w:rsidP="0044257B">
      <w:pPr>
        <w:tabs>
          <w:tab w:val="left" w:pos="504"/>
        </w:tabs>
        <w:spacing w:after="0"/>
        <w:ind w:left="504" w:hanging="504"/>
      </w:pPr>
      <w:r w:rsidRPr="0044257B">
        <w:lastRenderedPageBreak/>
        <w:t xml:space="preserve">(33) </w:t>
      </w:r>
      <w:r w:rsidRPr="0044257B">
        <w:tab/>
        <w:t xml:space="preserve">Bosch, B. J.; van der Zee, R.; de Haan, C. A. M.; Rottier, P. J. M. The Coronavirus Spike Protein Is a Class I Virus Fusion Protein: Structural and Functional Characterization of the Fusion Core Complex. </w:t>
      </w:r>
      <w:r w:rsidRPr="0044257B">
        <w:rPr>
          <w:i/>
          <w:iCs/>
        </w:rPr>
        <w:t>Journal of Virology</w:t>
      </w:r>
      <w:r w:rsidRPr="0044257B">
        <w:t xml:space="preserve"> </w:t>
      </w:r>
      <w:r w:rsidRPr="0044257B">
        <w:rPr>
          <w:b/>
          <w:bCs/>
        </w:rPr>
        <w:t>2003</w:t>
      </w:r>
      <w:r w:rsidRPr="0044257B">
        <w:t xml:space="preserve">, </w:t>
      </w:r>
      <w:r w:rsidRPr="0044257B">
        <w:rPr>
          <w:i/>
          <w:iCs/>
        </w:rPr>
        <w:t>77</w:t>
      </w:r>
      <w:r w:rsidRPr="0044257B">
        <w:t xml:space="preserve"> (16), 8801–8811. https://doi.org/10.1128/JVI.77.16.8801-8811.2003.</w:t>
      </w:r>
    </w:p>
    <w:p w14:paraId="673D8E4B" w14:textId="77777777" w:rsidR="0044257B" w:rsidRPr="0044257B" w:rsidRDefault="0044257B" w:rsidP="0044257B">
      <w:pPr>
        <w:tabs>
          <w:tab w:val="left" w:pos="504"/>
        </w:tabs>
        <w:spacing w:after="0"/>
        <w:ind w:left="504" w:hanging="504"/>
      </w:pPr>
      <w:r w:rsidRPr="0044257B">
        <w:t xml:space="preserve">(34) </w:t>
      </w:r>
      <w:r w:rsidRPr="0044257B">
        <w:tab/>
        <w:t xml:space="preserve">Wan, Y.; Shang, J.; Graham, R.; Baric, R. S.; Li, F. Receptor Recognition by the Novel Coronavirus from Wuhan: An Analysis Based on Decade-Long Structural Studies of SARS Coronavirus. </w:t>
      </w:r>
      <w:r w:rsidRPr="0044257B">
        <w:rPr>
          <w:i/>
          <w:iCs/>
        </w:rPr>
        <w:t>J Virol</w:t>
      </w:r>
      <w:r w:rsidRPr="0044257B">
        <w:t xml:space="preserve"> </w:t>
      </w:r>
      <w:r w:rsidRPr="0044257B">
        <w:rPr>
          <w:b/>
          <w:bCs/>
        </w:rPr>
        <w:t>2020</w:t>
      </w:r>
      <w:r w:rsidRPr="0044257B">
        <w:t xml:space="preserve">, </w:t>
      </w:r>
      <w:r w:rsidRPr="0044257B">
        <w:rPr>
          <w:i/>
          <w:iCs/>
        </w:rPr>
        <w:t>94</w:t>
      </w:r>
      <w:r w:rsidRPr="0044257B">
        <w:t xml:space="preserve"> (7), e00127-20. https://doi.org/10.1128/JVI.00127-20.</w:t>
      </w:r>
    </w:p>
    <w:p w14:paraId="3F88C630" w14:textId="77777777" w:rsidR="0044257B" w:rsidRPr="0044257B" w:rsidRDefault="0044257B" w:rsidP="0044257B">
      <w:pPr>
        <w:tabs>
          <w:tab w:val="left" w:pos="504"/>
        </w:tabs>
        <w:spacing w:after="0"/>
        <w:ind w:left="504" w:hanging="504"/>
      </w:pPr>
      <w:r w:rsidRPr="0044257B">
        <w:t xml:space="preserve">(35) </w:t>
      </w:r>
      <w:r w:rsidRPr="0044257B">
        <w:tab/>
        <w:t xml:space="preserve">Leneva, I. A.; Russell, R. J.; Boriskin, Y. S.; Hay, A. J. Characteristics of Arbidol-Resistant Mutants of Influenza Virus: Implications for the Mechanism of Anti-Influenza Action of Arbidol. </w:t>
      </w:r>
      <w:r w:rsidRPr="0044257B">
        <w:rPr>
          <w:i/>
          <w:iCs/>
        </w:rPr>
        <w:t>Antiviral Research</w:t>
      </w:r>
      <w:r w:rsidRPr="0044257B">
        <w:t xml:space="preserve"> </w:t>
      </w:r>
      <w:r w:rsidRPr="0044257B">
        <w:rPr>
          <w:b/>
          <w:bCs/>
        </w:rPr>
        <w:t>2009</w:t>
      </w:r>
      <w:r w:rsidRPr="0044257B">
        <w:t xml:space="preserve">, </w:t>
      </w:r>
      <w:r w:rsidRPr="0044257B">
        <w:rPr>
          <w:i/>
          <w:iCs/>
        </w:rPr>
        <w:t>81</w:t>
      </w:r>
      <w:r w:rsidRPr="0044257B">
        <w:t xml:space="preserve"> (2), 132–140. https://doi.org/10.1016/j.antiviral.2008.10.009.</w:t>
      </w:r>
    </w:p>
    <w:p w14:paraId="7D27EB56" w14:textId="77777777" w:rsidR="0044257B" w:rsidRPr="0044257B" w:rsidRDefault="0044257B" w:rsidP="0044257B">
      <w:pPr>
        <w:tabs>
          <w:tab w:val="left" w:pos="504"/>
        </w:tabs>
        <w:spacing w:after="0"/>
        <w:ind w:left="504" w:hanging="504"/>
      </w:pPr>
      <w:r w:rsidRPr="0044257B">
        <w:t xml:space="preserve">(36) </w:t>
      </w:r>
      <w:r w:rsidRPr="0044257B">
        <w:tab/>
        <w:t xml:space="preserve">Xu, P.; Huang, J.; Fan, Z.; Huang, W.; Qi, M.; Lin, X.; Song, W.; Yi, L. Arbidol/IFN-Α2b Therapy for Patients with Corona Virus Disease 2019: A Retrospective Multicenter Cohort Study. </w:t>
      </w:r>
      <w:r w:rsidRPr="0044257B">
        <w:rPr>
          <w:i/>
          <w:iCs/>
        </w:rPr>
        <w:t>Microbes and Infection</w:t>
      </w:r>
      <w:r w:rsidRPr="0044257B">
        <w:t xml:space="preserve"> </w:t>
      </w:r>
      <w:r w:rsidRPr="0044257B">
        <w:rPr>
          <w:b/>
          <w:bCs/>
        </w:rPr>
        <w:t>2020</w:t>
      </w:r>
      <w:r w:rsidRPr="0044257B">
        <w:t xml:space="preserve">, </w:t>
      </w:r>
      <w:r w:rsidRPr="0044257B">
        <w:rPr>
          <w:i/>
          <w:iCs/>
        </w:rPr>
        <w:t>22</w:t>
      </w:r>
      <w:r w:rsidRPr="0044257B">
        <w:t xml:space="preserve"> (4), 200–205. https://doi.org/10.1016/j.micinf.2020.05.012.</w:t>
      </w:r>
    </w:p>
    <w:p w14:paraId="7F7C4284" w14:textId="77777777" w:rsidR="0044257B" w:rsidRPr="0044257B" w:rsidRDefault="0044257B" w:rsidP="0044257B">
      <w:pPr>
        <w:tabs>
          <w:tab w:val="left" w:pos="504"/>
        </w:tabs>
        <w:spacing w:after="0"/>
        <w:ind w:left="504" w:hanging="504"/>
      </w:pPr>
      <w:r w:rsidRPr="0044257B">
        <w:t xml:space="preserve">(37) </w:t>
      </w:r>
      <w:r w:rsidRPr="0044257B">
        <w:tab/>
        <w:t xml:space="preserve">Brant, A. C.; Tian, W.; Majerciak, V.; Yang, W.; Zheng, Z.-M. SARS-CoV-2: From Its Discovery to Genome Structure, Transcription, and Replication. </w:t>
      </w:r>
      <w:r w:rsidRPr="0044257B">
        <w:rPr>
          <w:i/>
          <w:iCs/>
        </w:rPr>
        <w:t>Cell &amp; Bioscience</w:t>
      </w:r>
      <w:r w:rsidRPr="0044257B">
        <w:t xml:space="preserve"> </w:t>
      </w:r>
      <w:r w:rsidRPr="0044257B">
        <w:rPr>
          <w:b/>
          <w:bCs/>
        </w:rPr>
        <w:t>2021</w:t>
      </w:r>
      <w:r w:rsidRPr="0044257B">
        <w:t xml:space="preserve">, </w:t>
      </w:r>
      <w:r w:rsidRPr="0044257B">
        <w:rPr>
          <w:i/>
          <w:iCs/>
        </w:rPr>
        <w:t>11</w:t>
      </w:r>
      <w:r w:rsidRPr="0044257B">
        <w:t xml:space="preserve"> (1), 136. https://doi.org/10.1186/s13578-021-00643-z.</w:t>
      </w:r>
    </w:p>
    <w:p w14:paraId="5D10C0F5" w14:textId="77777777" w:rsidR="0044257B" w:rsidRPr="0044257B" w:rsidRDefault="0044257B" w:rsidP="0044257B">
      <w:pPr>
        <w:tabs>
          <w:tab w:val="left" w:pos="504"/>
        </w:tabs>
        <w:spacing w:after="0"/>
        <w:ind w:left="504" w:hanging="504"/>
      </w:pPr>
      <w:r w:rsidRPr="0044257B">
        <w:t xml:space="preserve">(38) </w:t>
      </w:r>
      <w:r w:rsidRPr="0044257B">
        <w:tab/>
        <w:t xml:space="preserve">Kumar, V.; Tan, K.-P.; Wang, Y.-M.; Lin, S.-W.; Liang, P.-H. Identification, Synthesis and Evaluation of SARS-CoV and MERS-CoV 3C-like Protease Inhibitors. </w:t>
      </w:r>
      <w:r w:rsidRPr="0044257B">
        <w:rPr>
          <w:i/>
          <w:iCs/>
        </w:rPr>
        <w:t>Bioorganic &amp; Medicinal Chemistry</w:t>
      </w:r>
      <w:r w:rsidRPr="0044257B">
        <w:t xml:space="preserve"> </w:t>
      </w:r>
      <w:r w:rsidRPr="0044257B">
        <w:rPr>
          <w:b/>
          <w:bCs/>
        </w:rPr>
        <w:t>2016</w:t>
      </w:r>
      <w:r w:rsidRPr="0044257B">
        <w:t xml:space="preserve">, </w:t>
      </w:r>
      <w:r w:rsidRPr="0044257B">
        <w:rPr>
          <w:i/>
          <w:iCs/>
        </w:rPr>
        <w:t>24</w:t>
      </w:r>
      <w:r w:rsidRPr="0044257B">
        <w:t xml:space="preserve"> (13), 3035–3042. https://doi.org/10.1016/j.bmc.2016.05.013.</w:t>
      </w:r>
    </w:p>
    <w:p w14:paraId="66C74C58" w14:textId="77777777" w:rsidR="0044257B" w:rsidRPr="0044257B" w:rsidRDefault="0044257B" w:rsidP="0044257B">
      <w:pPr>
        <w:tabs>
          <w:tab w:val="left" w:pos="504"/>
        </w:tabs>
        <w:spacing w:after="0"/>
        <w:ind w:left="504" w:hanging="504"/>
      </w:pPr>
      <w:r w:rsidRPr="0044257B">
        <w:t xml:space="preserve">(39) </w:t>
      </w:r>
      <w:r w:rsidRPr="0044257B">
        <w:tab/>
        <w:t>Arya, R.; Das, A.; Prashar, V.; Kumar, M. Potential Inhibitors against Papain-like Protease of Novel Coronavirus (SARS-CoV-2) from FDA Approved Drugs. 8.</w:t>
      </w:r>
    </w:p>
    <w:p w14:paraId="06C8C7E7" w14:textId="77777777" w:rsidR="0044257B" w:rsidRPr="0044257B" w:rsidRDefault="0044257B" w:rsidP="0044257B">
      <w:pPr>
        <w:tabs>
          <w:tab w:val="left" w:pos="504"/>
        </w:tabs>
        <w:spacing w:after="0"/>
        <w:ind w:left="504" w:hanging="504"/>
      </w:pPr>
      <w:r w:rsidRPr="0044257B">
        <w:lastRenderedPageBreak/>
        <w:t xml:space="preserve">(40) </w:t>
      </w:r>
      <w:r w:rsidRPr="0044257B">
        <w:tab/>
        <w:t xml:space="preserve">Cho, E.; Rosa, M.; Anjum, R.; Mehmood, S.; Soban, M.; Mujtaba, M.; Bux, K.; Moin, S. T.; Tanweer, M.; Dantu, S.; Pandini, A.; Yin, J.; Ma, H.; Ramanathan, A.; Islam, B.; Mey, A. S. J. S.; Bhowmik, D.; Haider, S. Dynamic Profiling of β-Coronavirus 3CL Mpro Protease Ligand-Binding Sites. </w:t>
      </w:r>
      <w:r w:rsidRPr="0044257B">
        <w:rPr>
          <w:i/>
          <w:iCs/>
        </w:rPr>
        <w:t>J. Chem. Inf. Model.</w:t>
      </w:r>
      <w:r w:rsidRPr="0044257B">
        <w:t xml:space="preserve"> </w:t>
      </w:r>
      <w:r w:rsidRPr="0044257B">
        <w:rPr>
          <w:b/>
          <w:bCs/>
        </w:rPr>
        <w:t>2021</w:t>
      </w:r>
      <w:r w:rsidRPr="0044257B">
        <w:t xml:space="preserve">, </w:t>
      </w:r>
      <w:r w:rsidRPr="0044257B">
        <w:rPr>
          <w:i/>
          <w:iCs/>
        </w:rPr>
        <w:t>61</w:t>
      </w:r>
      <w:r w:rsidRPr="0044257B">
        <w:t xml:space="preserve"> (6), 3058–3073. https://doi.org/10.1021/acs.jcim.1c00449.</w:t>
      </w:r>
    </w:p>
    <w:p w14:paraId="5FA9AD07" w14:textId="77777777" w:rsidR="0044257B" w:rsidRPr="0044257B" w:rsidRDefault="0044257B" w:rsidP="0044257B">
      <w:pPr>
        <w:tabs>
          <w:tab w:val="left" w:pos="504"/>
        </w:tabs>
        <w:spacing w:after="0"/>
        <w:ind w:left="504" w:hanging="504"/>
      </w:pPr>
      <w:r w:rsidRPr="0044257B">
        <w:t xml:space="preserve">(41) </w:t>
      </w:r>
      <w:r w:rsidRPr="0044257B">
        <w:tab/>
        <w:t xml:space="preserve">Pillaiyar, T.; Meenakshisundaram, S.; Manickam, M. Recent Discovery and Development of Inhibitors Targeting Coronaviruses. </w:t>
      </w:r>
      <w:r w:rsidRPr="0044257B">
        <w:rPr>
          <w:i/>
          <w:iCs/>
        </w:rPr>
        <w:t>Drug Discovery Today</w:t>
      </w:r>
      <w:r w:rsidRPr="0044257B">
        <w:t xml:space="preserve"> </w:t>
      </w:r>
      <w:r w:rsidRPr="0044257B">
        <w:rPr>
          <w:b/>
          <w:bCs/>
        </w:rPr>
        <w:t>2020</w:t>
      </w:r>
      <w:r w:rsidRPr="0044257B">
        <w:t>, S1359644620300416. https://doi.org/10.1016/j.drudis.2020.01.015.</w:t>
      </w:r>
    </w:p>
    <w:p w14:paraId="0B5FC3A8" w14:textId="77777777" w:rsidR="0044257B" w:rsidRPr="0044257B" w:rsidRDefault="0044257B" w:rsidP="0044257B">
      <w:pPr>
        <w:tabs>
          <w:tab w:val="left" w:pos="504"/>
        </w:tabs>
        <w:spacing w:after="0"/>
        <w:ind w:left="504" w:hanging="504"/>
      </w:pPr>
      <w:r w:rsidRPr="0044257B">
        <w:t xml:space="preserve">(42) </w:t>
      </w:r>
      <w:r w:rsidRPr="0044257B">
        <w:tab/>
        <w:t xml:space="preserve">Wu, C.; Liu, Y.; Yang, Y.; Zhang, P.; Zhong, W.; Wang, Y.; Wang, Q.; Xu, Y.; Li, M.; Li, X.; Zheng, M.; Chen, L.; Li, H. Analysis of Therapeutic Targets for SARS-CoV-2 and Discovery of Potential Drugs by Computational Methods. </w:t>
      </w:r>
      <w:r w:rsidRPr="0044257B">
        <w:rPr>
          <w:i/>
          <w:iCs/>
        </w:rPr>
        <w:t>Acta Pharmaceutica Sinica B</w:t>
      </w:r>
      <w:r w:rsidRPr="0044257B">
        <w:t xml:space="preserve"> </w:t>
      </w:r>
      <w:r w:rsidRPr="0044257B">
        <w:rPr>
          <w:b/>
          <w:bCs/>
        </w:rPr>
        <w:t>2020</w:t>
      </w:r>
      <w:r w:rsidRPr="0044257B">
        <w:t xml:space="preserve">, </w:t>
      </w:r>
      <w:r w:rsidRPr="0044257B">
        <w:rPr>
          <w:i/>
          <w:iCs/>
        </w:rPr>
        <w:t>10</w:t>
      </w:r>
      <w:r w:rsidRPr="0044257B">
        <w:t xml:space="preserve"> (5), 766–788. https://doi.org/10.1016/j.apsb.2020.02.008.</w:t>
      </w:r>
    </w:p>
    <w:p w14:paraId="73E1BCE6" w14:textId="77777777" w:rsidR="0044257B" w:rsidRPr="0044257B" w:rsidRDefault="0044257B" w:rsidP="0044257B">
      <w:pPr>
        <w:tabs>
          <w:tab w:val="left" w:pos="504"/>
        </w:tabs>
        <w:spacing w:after="0"/>
        <w:ind w:left="504" w:hanging="504"/>
      </w:pPr>
      <w:r w:rsidRPr="0044257B">
        <w:t xml:space="preserve">(43) </w:t>
      </w:r>
      <w:r w:rsidRPr="0044257B">
        <w:tab/>
        <w:t xml:space="preserve">Yao, T.-T.; Qian, J.-D.; Zhu, W.-Y.; Wang, Y.; Wang, G.-Q. A Systematic Review of Lopinavir Therapy for SARS Coronavirus and MERS Coronavirus-A Possible Reference for Coronavirus Disease-19 Treatment Option. </w:t>
      </w:r>
      <w:r w:rsidRPr="0044257B">
        <w:rPr>
          <w:i/>
          <w:iCs/>
        </w:rPr>
        <w:t>J Med Virol</w:t>
      </w:r>
      <w:r w:rsidRPr="0044257B">
        <w:t xml:space="preserve"> </w:t>
      </w:r>
      <w:r w:rsidRPr="0044257B">
        <w:rPr>
          <w:b/>
          <w:bCs/>
        </w:rPr>
        <w:t>2020</w:t>
      </w:r>
      <w:r w:rsidRPr="0044257B">
        <w:t xml:space="preserve">, </w:t>
      </w:r>
      <w:r w:rsidRPr="0044257B">
        <w:rPr>
          <w:i/>
          <w:iCs/>
        </w:rPr>
        <w:t>92</w:t>
      </w:r>
      <w:r w:rsidRPr="0044257B">
        <w:t xml:space="preserve"> (6), 556–563. https://doi.org/10.1002/jmv.25729.</w:t>
      </w:r>
    </w:p>
    <w:p w14:paraId="3618BE96" w14:textId="77777777" w:rsidR="0044257B" w:rsidRPr="0044257B" w:rsidRDefault="0044257B" w:rsidP="0044257B">
      <w:pPr>
        <w:tabs>
          <w:tab w:val="left" w:pos="504"/>
        </w:tabs>
        <w:spacing w:after="0"/>
        <w:ind w:left="504" w:hanging="504"/>
      </w:pPr>
      <w:r w:rsidRPr="0044257B">
        <w:t xml:space="preserve">(44) </w:t>
      </w:r>
      <w:r w:rsidRPr="0044257B">
        <w:tab/>
        <w:t xml:space="preserve">Patel, T. K.; Patel, P. B.; Barvaliya, M.; Saurabh, M. K.; Bhalla, H. L.; Khosla, P. P. Efficacy and Safety of Lopinavir-Ritonavir in COVID-19: A Systematic Review of Randomized Controlled Trials. </w:t>
      </w:r>
      <w:r w:rsidRPr="0044257B">
        <w:rPr>
          <w:i/>
          <w:iCs/>
        </w:rPr>
        <w:t>J Infect Public Health</w:t>
      </w:r>
      <w:r w:rsidRPr="0044257B">
        <w:t xml:space="preserve"> </w:t>
      </w:r>
      <w:r w:rsidRPr="0044257B">
        <w:rPr>
          <w:b/>
          <w:bCs/>
        </w:rPr>
        <w:t>2021</w:t>
      </w:r>
      <w:r w:rsidRPr="0044257B">
        <w:t xml:space="preserve">, </w:t>
      </w:r>
      <w:r w:rsidRPr="0044257B">
        <w:rPr>
          <w:i/>
          <w:iCs/>
        </w:rPr>
        <w:t>14</w:t>
      </w:r>
      <w:r w:rsidRPr="0044257B">
        <w:t xml:space="preserve"> (6), 740–748. https://doi.org/10.1016/j.jiph.2021.03.015.</w:t>
      </w:r>
    </w:p>
    <w:p w14:paraId="6E546438" w14:textId="77777777" w:rsidR="0044257B" w:rsidRPr="0044257B" w:rsidRDefault="0044257B" w:rsidP="0044257B">
      <w:pPr>
        <w:tabs>
          <w:tab w:val="left" w:pos="504"/>
        </w:tabs>
        <w:spacing w:after="0"/>
        <w:ind w:left="504" w:hanging="504"/>
      </w:pPr>
      <w:r w:rsidRPr="0044257B">
        <w:t xml:space="preserve">(45) </w:t>
      </w:r>
      <w:r w:rsidRPr="0044257B">
        <w:tab/>
        <w:t xml:space="preserve">Ghosh, A. K.; Gong, G.; Grum-Tokars, V.; Mulhearn, D. C.; Baker, S. C.; Coughlin, M.; Prabhakar, B. S.; Sleeman, K.; Johnson, M. E.; Mesecar, A. D. Design, Synthesis and Antiviral Efficacy of a Series of Potent Chloropyridyl Ester-Derived SARS-CoV 3CLpro </w:t>
      </w:r>
      <w:r w:rsidRPr="0044257B">
        <w:lastRenderedPageBreak/>
        <w:t xml:space="preserve">Inhibitors. </w:t>
      </w:r>
      <w:r w:rsidRPr="0044257B">
        <w:rPr>
          <w:i/>
          <w:iCs/>
        </w:rPr>
        <w:t>Bioorganic &amp; Medicinal Chemistry Letters</w:t>
      </w:r>
      <w:r w:rsidRPr="0044257B">
        <w:t xml:space="preserve"> </w:t>
      </w:r>
      <w:r w:rsidRPr="0044257B">
        <w:rPr>
          <w:b/>
          <w:bCs/>
        </w:rPr>
        <w:t>2008</w:t>
      </w:r>
      <w:r w:rsidRPr="0044257B">
        <w:t xml:space="preserve">, </w:t>
      </w:r>
      <w:r w:rsidRPr="0044257B">
        <w:rPr>
          <w:i/>
          <w:iCs/>
        </w:rPr>
        <w:t>18</w:t>
      </w:r>
      <w:r w:rsidRPr="0044257B">
        <w:t xml:space="preserve"> (20), 5684–5688. https://doi.org/10.1016/j.bmcl.2008.08.082.</w:t>
      </w:r>
    </w:p>
    <w:p w14:paraId="3695AF7B" w14:textId="77777777" w:rsidR="0044257B" w:rsidRPr="0044257B" w:rsidRDefault="0044257B" w:rsidP="0044257B">
      <w:pPr>
        <w:tabs>
          <w:tab w:val="left" w:pos="504"/>
        </w:tabs>
        <w:spacing w:after="0"/>
        <w:ind w:left="504" w:hanging="504"/>
      </w:pPr>
      <w:r w:rsidRPr="0044257B">
        <w:t xml:space="preserve">(46) </w:t>
      </w:r>
      <w:r w:rsidRPr="0044257B">
        <w:tab/>
        <w:t xml:space="preserve">Cao, W.; Cho, C.-C. D.; Geng, Z. Z.; Shaabani, N.; Ma, X. R.; Vatansever, E. C.; Alugubelli, Y. R.; Ma, Y.; Chaki, S. P.; Ellenburg, W. H.; Yang, K. S.; Qiao, Y.; Allen, R.; Neuman, B. W.; Ji, H.; Xu, S.; Liu, W. R. Evaluation of SARS-CoV-2 Main Protease Inhibitors Using a Novel Cell-Based Assay. </w:t>
      </w:r>
      <w:r w:rsidRPr="0044257B">
        <w:rPr>
          <w:i/>
          <w:iCs/>
        </w:rPr>
        <w:t>ACS Cent. Sci.</w:t>
      </w:r>
      <w:r w:rsidRPr="0044257B">
        <w:t xml:space="preserve"> </w:t>
      </w:r>
      <w:r w:rsidRPr="0044257B">
        <w:rPr>
          <w:b/>
          <w:bCs/>
        </w:rPr>
        <w:t>2022</w:t>
      </w:r>
      <w:r w:rsidRPr="0044257B">
        <w:t xml:space="preserve">, </w:t>
      </w:r>
      <w:r w:rsidRPr="0044257B">
        <w:rPr>
          <w:i/>
          <w:iCs/>
        </w:rPr>
        <w:t>8</w:t>
      </w:r>
      <w:r w:rsidRPr="0044257B">
        <w:t xml:space="preserve"> (2), 192–204. https://doi.org/10.1021/acscentsci.1c00910.</w:t>
      </w:r>
    </w:p>
    <w:p w14:paraId="2779D455" w14:textId="77777777" w:rsidR="0044257B" w:rsidRPr="0044257B" w:rsidRDefault="0044257B" w:rsidP="0044257B">
      <w:pPr>
        <w:tabs>
          <w:tab w:val="left" w:pos="504"/>
        </w:tabs>
        <w:spacing w:after="0"/>
        <w:ind w:left="504" w:hanging="504"/>
      </w:pPr>
      <w:r w:rsidRPr="0044257B">
        <w:t xml:space="preserve">(47) </w:t>
      </w:r>
      <w:r w:rsidRPr="0044257B">
        <w:tab/>
        <w:t xml:space="preserve">Galasiti Kankanamalage, A. C.; Kim, Y.; Damalanka, V. C.; Rathnayake, A. D.; Fehr, A. R.; Mehzabeen, N.; Battaile, K. P.; Lovell, S.; Lushington, G. H.; Perlman, S.; Chang, K.-O.; Groutas, W. C. Structure-Guided Design of Potent and Permeable Inhibitors of MERS Coronavirus 3CL Protease That Utilize a Piperidine Moiety as a Novel Design Element. </w:t>
      </w:r>
      <w:r w:rsidRPr="0044257B">
        <w:rPr>
          <w:i/>
          <w:iCs/>
        </w:rPr>
        <w:t>European Journal of Medicinal Chemistry</w:t>
      </w:r>
      <w:r w:rsidRPr="0044257B">
        <w:t xml:space="preserve"> </w:t>
      </w:r>
      <w:r w:rsidRPr="0044257B">
        <w:rPr>
          <w:b/>
          <w:bCs/>
        </w:rPr>
        <w:t>2018</w:t>
      </w:r>
      <w:r w:rsidRPr="0044257B">
        <w:t xml:space="preserve">, </w:t>
      </w:r>
      <w:r w:rsidRPr="0044257B">
        <w:rPr>
          <w:i/>
          <w:iCs/>
        </w:rPr>
        <w:t>150</w:t>
      </w:r>
      <w:r w:rsidRPr="0044257B">
        <w:t>, 334–346. https://doi.org/10.1016/j.ejmech.2018.03.004.</w:t>
      </w:r>
    </w:p>
    <w:p w14:paraId="07D381C5" w14:textId="77777777" w:rsidR="0044257B" w:rsidRPr="0044257B" w:rsidRDefault="0044257B" w:rsidP="0044257B">
      <w:pPr>
        <w:tabs>
          <w:tab w:val="left" w:pos="504"/>
        </w:tabs>
        <w:spacing w:after="0"/>
        <w:ind w:left="504" w:hanging="504"/>
      </w:pPr>
      <w:r w:rsidRPr="0044257B">
        <w:t xml:space="preserve">(48) </w:t>
      </w:r>
      <w:r w:rsidRPr="0044257B">
        <w:tab/>
        <w:t xml:space="preserve">Jacobs, J.; Grum-Tokars, V.; Zhou, Y.; Turlington, M.; Saldanha, S. A.; Chase, P.; Eggler, A.; Dawson, E. S.; Baez-Santos, Y. M.; Tomar, S.; Mielech, A. M.; Baker, S. C.; Lindsley, C. W.; Hodder, P.; Mesecar, A.; Stauffer, S. R. Discovery, Synthesis, And Structure-Based Optimization of a Series of </w:t>
      </w:r>
      <w:r w:rsidRPr="0044257B">
        <w:rPr>
          <w:i/>
          <w:iCs/>
        </w:rPr>
        <w:t>N</w:t>
      </w:r>
      <w:r w:rsidRPr="0044257B">
        <w:t xml:space="preserve"> -( </w:t>
      </w:r>
      <w:r w:rsidRPr="0044257B">
        <w:rPr>
          <w:i/>
          <w:iCs/>
        </w:rPr>
        <w:t>Tert</w:t>
      </w:r>
      <w:r w:rsidRPr="0044257B">
        <w:t xml:space="preserve"> -Butyl)-2-( </w:t>
      </w:r>
      <w:r w:rsidRPr="0044257B">
        <w:rPr>
          <w:i/>
          <w:iCs/>
        </w:rPr>
        <w:t>N</w:t>
      </w:r>
      <w:r w:rsidRPr="0044257B">
        <w:t xml:space="preserve"> -Arylamido)-2-(Pyridin-3-Yl) Acetamides (ML188) as Potent Noncovalent Small Molecule Inhibitors of the Severe Acute Respiratory Syndrome Coronavirus (SARS-CoV) 3CL Protease. </w:t>
      </w:r>
      <w:r w:rsidRPr="0044257B">
        <w:rPr>
          <w:i/>
          <w:iCs/>
        </w:rPr>
        <w:t>J. Med. Chem.</w:t>
      </w:r>
      <w:r w:rsidRPr="0044257B">
        <w:t xml:space="preserve"> </w:t>
      </w:r>
      <w:r w:rsidRPr="0044257B">
        <w:rPr>
          <w:b/>
          <w:bCs/>
        </w:rPr>
        <w:t>2013</w:t>
      </w:r>
      <w:r w:rsidRPr="0044257B">
        <w:t xml:space="preserve">, </w:t>
      </w:r>
      <w:r w:rsidRPr="0044257B">
        <w:rPr>
          <w:i/>
          <w:iCs/>
        </w:rPr>
        <w:t>56</w:t>
      </w:r>
      <w:r w:rsidRPr="0044257B">
        <w:t xml:space="preserve"> (2), 534–546. https://doi.org/10.1021/jm301580n.</w:t>
      </w:r>
    </w:p>
    <w:p w14:paraId="58262194" w14:textId="77777777" w:rsidR="0044257B" w:rsidRPr="0044257B" w:rsidRDefault="0044257B" w:rsidP="0044257B">
      <w:pPr>
        <w:tabs>
          <w:tab w:val="left" w:pos="504"/>
        </w:tabs>
        <w:spacing w:after="0"/>
        <w:ind w:left="504" w:hanging="504"/>
      </w:pPr>
      <w:r w:rsidRPr="0044257B">
        <w:t xml:space="preserve">(49) </w:t>
      </w:r>
      <w:r w:rsidRPr="0044257B">
        <w:tab/>
        <w:t xml:space="preserve">Báez-Santos, Y. M.; Barraza, S. J.; Wilson, M. W.; Agius, M. P.; Mielech, A. M.; Davis, N. M.; Baker, S. C.; Larsen, S. D.; Mesecar, A. D. X-Ray Structural and Biological Evaluation </w:t>
      </w:r>
      <w:r w:rsidRPr="0044257B">
        <w:lastRenderedPageBreak/>
        <w:t xml:space="preserve">of a Series of Potent and Highly Selective Inhibitors of Human Coronavirus Papain-like Proteases. </w:t>
      </w:r>
      <w:r w:rsidRPr="0044257B">
        <w:rPr>
          <w:i/>
          <w:iCs/>
        </w:rPr>
        <w:t>J. Med. Chem.</w:t>
      </w:r>
      <w:r w:rsidRPr="0044257B">
        <w:t xml:space="preserve"> </w:t>
      </w:r>
      <w:r w:rsidRPr="0044257B">
        <w:rPr>
          <w:b/>
          <w:bCs/>
        </w:rPr>
        <w:t>2014</w:t>
      </w:r>
      <w:r w:rsidRPr="0044257B">
        <w:t xml:space="preserve">, </w:t>
      </w:r>
      <w:r w:rsidRPr="0044257B">
        <w:rPr>
          <w:i/>
          <w:iCs/>
        </w:rPr>
        <w:t>57</w:t>
      </w:r>
      <w:r w:rsidRPr="0044257B">
        <w:t xml:space="preserve"> (6), 2393–2412. https://doi.org/10.1021/jm401712t.</w:t>
      </w:r>
    </w:p>
    <w:p w14:paraId="49E321C0" w14:textId="77777777" w:rsidR="0044257B" w:rsidRPr="0044257B" w:rsidRDefault="0044257B" w:rsidP="0044257B">
      <w:pPr>
        <w:tabs>
          <w:tab w:val="left" w:pos="504"/>
        </w:tabs>
        <w:spacing w:after="0"/>
        <w:ind w:left="504" w:hanging="504"/>
      </w:pPr>
      <w:r w:rsidRPr="0044257B">
        <w:t xml:space="preserve">(50) </w:t>
      </w:r>
      <w:r w:rsidRPr="0044257B">
        <w:tab/>
        <w:t xml:space="preserve">Lee, H.; Lei, H.; Santarsiero, B. D.; Gatuz, J. L.; Cao, S.; Rice, A. J.; Patel, K.; Szypulinski, M. Z.; Ojeda, I.; Ghosh, A. K.; Johnson, M. E. Inhibitor Recognition Specificity of MERS-CoV Papain-like Protease May Differ from That of SARS-CoV. </w:t>
      </w:r>
      <w:r w:rsidRPr="0044257B">
        <w:rPr>
          <w:i/>
          <w:iCs/>
        </w:rPr>
        <w:t>ACS Chem. Biol.</w:t>
      </w:r>
      <w:r w:rsidRPr="0044257B">
        <w:t xml:space="preserve"> </w:t>
      </w:r>
      <w:r w:rsidRPr="0044257B">
        <w:rPr>
          <w:b/>
          <w:bCs/>
        </w:rPr>
        <w:t>2015</w:t>
      </w:r>
      <w:r w:rsidRPr="0044257B">
        <w:t xml:space="preserve">, </w:t>
      </w:r>
      <w:r w:rsidRPr="0044257B">
        <w:rPr>
          <w:i/>
          <w:iCs/>
        </w:rPr>
        <w:t>10</w:t>
      </w:r>
      <w:r w:rsidRPr="0044257B">
        <w:t xml:space="preserve"> (6), 1456–1465. https://doi.org/10.1021/cb500917m.</w:t>
      </w:r>
    </w:p>
    <w:p w14:paraId="2992ADAD" w14:textId="77777777" w:rsidR="0044257B" w:rsidRPr="0044257B" w:rsidRDefault="0044257B" w:rsidP="0044257B">
      <w:pPr>
        <w:tabs>
          <w:tab w:val="left" w:pos="504"/>
        </w:tabs>
        <w:spacing w:after="0"/>
        <w:ind w:left="504" w:hanging="504"/>
      </w:pPr>
      <w:r w:rsidRPr="0044257B">
        <w:t xml:space="preserve">(51) </w:t>
      </w:r>
      <w:r w:rsidRPr="0044257B">
        <w:tab/>
        <w:t xml:space="preserve">Giner-Sorolla, A.; Bendich, A. Fluorine-Containing Pyrimidines and Purines: Synthesis and Properties of Trifluoromethyl Pyrimidines and Purines1. </w:t>
      </w:r>
      <w:r w:rsidRPr="0044257B">
        <w:rPr>
          <w:i/>
          <w:iCs/>
        </w:rPr>
        <w:t>J. Am. Chem. Soc.</w:t>
      </w:r>
      <w:r w:rsidRPr="0044257B">
        <w:t xml:space="preserve"> </w:t>
      </w:r>
      <w:r w:rsidRPr="0044257B">
        <w:rPr>
          <w:b/>
          <w:bCs/>
        </w:rPr>
        <w:t>1958</w:t>
      </w:r>
      <w:r w:rsidRPr="0044257B">
        <w:t xml:space="preserve">, </w:t>
      </w:r>
      <w:r w:rsidRPr="0044257B">
        <w:rPr>
          <w:i/>
          <w:iCs/>
        </w:rPr>
        <w:t>80</w:t>
      </w:r>
      <w:r w:rsidRPr="0044257B">
        <w:t xml:space="preserve"> (21), 5744–5752. https://doi.org/10.1021/ja01554a041.</w:t>
      </w:r>
    </w:p>
    <w:p w14:paraId="7B1D810A" w14:textId="77777777" w:rsidR="0044257B" w:rsidRPr="0044257B" w:rsidRDefault="0044257B" w:rsidP="0044257B">
      <w:pPr>
        <w:tabs>
          <w:tab w:val="left" w:pos="504"/>
        </w:tabs>
        <w:spacing w:after="0"/>
        <w:ind w:left="504" w:hanging="504"/>
      </w:pPr>
      <w:r w:rsidRPr="0044257B">
        <w:t xml:space="preserve">(52) </w:t>
      </w:r>
      <w:r w:rsidRPr="0044257B">
        <w:tab/>
        <w:t xml:space="preserve">Pervushin, K.; Tan, E.; Parthasarathy, K.; Lin, X.; Jiang, F. L.; Yu, D.; Vararattanavech, A.; Soong, T. W.; Liu, D. X.; Torres, J. Structure and Inhibition of the SARS Coronavirus Envelope Protein Ion Channel. </w:t>
      </w:r>
      <w:r w:rsidRPr="0044257B">
        <w:rPr>
          <w:i/>
          <w:iCs/>
        </w:rPr>
        <w:t>PLOS Pathogens</w:t>
      </w:r>
      <w:r w:rsidRPr="0044257B">
        <w:t xml:space="preserve"> </w:t>
      </w:r>
      <w:r w:rsidRPr="0044257B">
        <w:rPr>
          <w:b/>
          <w:bCs/>
        </w:rPr>
        <w:t>2009</w:t>
      </w:r>
      <w:r w:rsidRPr="0044257B">
        <w:t xml:space="preserve">, </w:t>
      </w:r>
      <w:r w:rsidRPr="0044257B">
        <w:rPr>
          <w:i/>
          <w:iCs/>
        </w:rPr>
        <w:t>5</w:t>
      </w:r>
      <w:r w:rsidRPr="0044257B">
        <w:t xml:space="preserve"> (7), e1000511. https://doi.org/10.1371/journal.ppat.1000511.</w:t>
      </w:r>
    </w:p>
    <w:p w14:paraId="35EC4981" w14:textId="77777777" w:rsidR="0044257B" w:rsidRPr="0044257B" w:rsidRDefault="0044257B" w:rsidP="0044257B">
      <w:pPr>
        <w:tabs>
          <w:tab w:val="left" w:pos="504"/>
        </w:tabs>
        <w:spacing w:after="0"/>
        <w:ind w:left="504" w:hanging="504"/>
      </w:pPr>
      <w:r w:rsidRPr="0044257B">
        <w:t xml:space="preserve">(53) </w:t>
      </w:r>
      <w:r w:rsidRPr="0044257B">
        <w:tab/>
        <w:t xml:space="preserve">Milewska, A.; Nowak, P.; Owczarek, K.; Szczepanski, A.; Zarebski, M.; Hoang, A.; Berniak, K.; Wojarski, J.; Zeglen, S.; Baster, Z.; Rajfur, Z.; Pyrc, K. Entry of Human Coronavirus NL63 into the Cell. </w:t>
      </w:r>
      <w:r w:rsidRPr="0044257B">
        <w:rPr>
          <w:i/>
          <w:iCs/>
        </w:rPr>
        <w:t>Journal of Virology</w:t>
      </w:r>
      <w:r w:rsidRPr="0044257B">
        <w:t xml:space="preserve"> </w:t>
      </w:r>
      <w:r w:rsidRPr="0044257B">
        <w:rPr>
          <w:b/>
          <w:bCs/>
        </w:rPr>
        <w:t>2018</w:t>
      </w:r>
      <w:r w:rsidRPr="0044257B">
        <w:t xml:space="preserve">, </w:t>
      </w:r>
      <w:r w:rsidRPr="0044257B">
        <w:rPr>
          <w:i/>
          <w:iCs/>
        </w:rPr>
        <w:t>92</w:t>
      </w:r>
      <w:r w:rsidRPr="0044257B">
        <w:t xml:space="preserve"> (3). https://doi.org/10.1128/JVI.01933-17.</w:t>
      </w:r>
    </w:p>
    <w:p w14:paraId="44CCB0DB" w14:textId="77777777" w:rsidR="0044257B" w:rsidRPr="0044257B" w:rsidRDefault="0044257B" w:rsidP="0044257B">
      <w:pPr>
        <w:tabs>
          <w:tab w:val="left" w:pos="504"/>
        </w:tabs>
        <w:spacing w:after="0"/>
        <w:ind w:left="504" w:hanging="504"/>
      </w:pPr>
      <w:r w:rsidRPr="0044257B">
        <w:t xml:space="preserve">(54) </w:t>
      </w:r>
      <w:r w:rsidRPr="0044257B">
        <w:tab/>
        <w:t xml:space="preserve">Roger, C.; Roberts, J. A.; Muller, L. Clinical Pharmacokinetics and Pharmacodynamics of Oxazolidinones. </w:t>
      </w:r>
      <w:r w:rsidRPr="0044257B">
        <w:rPr>
          <w:i/>
          <w:iCs/>
        </w:rPr>
        <w:t>Clin Pharmacokinet</w:t>
      </w:r>
      <w:r w:rsidRPr="0044257B">
        <w:t xml:space="preserve"> </w:t>
      </w:r>
      <w:r w:rsidRPr="0044257B">
        <w:rPr>
          <w:b/>
          <w:bCs/>
        </w:rPr>
        <w:t>2018</w:t>
      </w:r>
      <w:r w:rsidRPr="0044257B">
        <w:t xml:space="preserve">, </w:t>
      </w:r>
      <w:r w:rsidRPr="0044257B">
        <w:rPr>
          <w:i/>
          <w:iCs/>
        </w:rPr>
        <w:t>57</w:t>
      </w:r>
      <w:r w:rsidRPr="0044257B">
        <w:t xml:space="preserve"> (5), 559–575. https://doi.org/10.1007/s40262-017-0601-x.</w:t>
      </w:r>
    </w:p>
    <w:p w14:paraId="7BA996F9" w14:textId="77777777" w:rsidR="0044257B" w:rsidRPr="0044257B" w:rsidRDefault="0044257B" w:rsidP="0044257B">
      <w:pPr>
        <w:tabs>
          <w:tab w:val="left" w:pos="504"/>
        </w:tabs>
        <w:spacing w:after="0"/>
        <w:ind w:left="504" w:hanging="504"/>
      </w:pPr>
      <w:r w:rsidRPr="0044257B">
        <w:t xml:space="preserve">(55) </w:t>
      </w:r>
      <w:r w:rsidRPr="0044257B">
        <w:tab/>
        <w:t xml:space="preserve">Swaney, S. M.; Aoki, H.; Ganoza, M. C.; Shinabarger, D. L. The Oxazolidinone Linezolid Inhibits Initiation of Protein Synthesis in Bacteria. </w:t>
      </w:r>
      <w:r w:rsidRPr="0044257B">
        <w:rPr>
          <w:i/>
          <w:iCs/>
        </w:rPr>
        <w:t>Antimicrob Agents Chemother</w:t>
      </w:r>
      <w:r w:rsidRPr="0044257B">
        <w:t xml:space="preserve"> </w:t>
      </w:r>
      <w:r w:rsidRPr="0044257B">
        <w:rPr>
          <w:b/>
          <w:bCs/>
        </w:rPr>
        <w:t>1998</w:t>
      </w:r>
      <w:r w:rsidRPr="0044257B">
        <w:t xml:space="preserve">, </w:t>
      </w:r>
      <w:r w:rsidRPr="0044257B">
        <w:rPr>
          <w:i/>
          <w:iCs/>
        </w:rPr>
        <w:t>42</w:t>
      </w:r>
      <w:r w:rsidRPr="0044257B">
        <w:t xml:space="preserve"> (12), 3251–3255. https://doi.org/10.1128/AAC.42.12.3251.</w:t>
      </w:r>
    </w:p>
    <w:p w14:paraId="3411D15C" w14:textId="77777777" w:rsidR="0044257B" w:rsidRPr="0044257B" w:rsidRDefault="0044257B" w:rsidP="0044257B">
      <w:pPr>
        <w:tabs>
          <w:tab w:val="left" w:pos="504"/>
        </w:tabs>
        <w:spacing w:after="0"/>
        <w:ind w:left="504" w:hanging="504"/>
      </w:pPr>
      <w:r w:rsidRPr="0044257B">
        <w:lastRenderedPageBreak/>
        <w:t xml:space="preserve">(56) </w:t>
      </w:r>
      <w:r w:rsidRPr="0044257B">
        <w:tab/>
        <w:t xml:space="preserve">Moghadam, V. D.; Momenimovahed, Z.; Ghorbani, M.; Khodadadi, J. Linezolid a Potential Treatment for COVID-19 Coinfections. </w:t>
      </w:r>
      <w:r w:rsidRPr="0044257B">
        <w:rPr>
          <w:i/>
          <w:iCs/>
        </w:rPr>
        <w:t>Braz J Anesthesiol</w:t>
      </w:r>
      <w:r w:rsidRPr="0044257B">
        <w:t xml:space="preserve"> </w:t>
      </w:r>
      <w:r w:rsidRPr="0044257B">
        <w:rPr>
          <w:b/>
          <w:bCs/>
        </w:rPr>
        <w:t>2021</w:t>
      </w:r>
      <w:r w:rsidRPr="0044257B">
        <w:t xml:space="preserve">, </w:t>
      </w:r>
      <w:r w:rsidRPr="0044257B">
        <w:rPr>
          <w:i/>
          <w:iCs/>
        </w:rPr>
        <w:t>71</w:t>
      </w:r>
      <w:r w:rsidRPr="0044257B">
        <w:t xml:space="preserve"> (2), 198. https://doi.org/10.1016/j.bjane.2020.12.019.</w:t>
      </w:r>
    </w:p>
    <w:p w14:paraId="2A99767D" w14:textId="77777777" w:rsidR="0044257B" w:rsidRPr="0044257B" w:rsidRDefault="0044257B" w:rsidP="0044257B">
      <w:pPr>
        <w:tabs>
          <w:tab w:val="left" w:pos="504"/>
        </w:tabs>
        <w:spacing w:after="0"/>
        <w:ind w:left="504" w:hanging="504"/>
      </w:pPr>
      <w:r w:rsidRPr="0044257B">
        <w:t xml:space="preserve">(57) </w:t>
      </w:r>
      <w:r w:rsidRPr="0044257B">
        <w:tab/>
        <w:t xml:space="preserve">Bakowski, M. A.; Beutler, N.; Wolff, K. C.; Kirkpatrick, M. G.; Chen, E.; Nguyen, T.-T. H.; Riva, L.; Shaabani, N.; Parren, M.; Ricketts, J.; Gupta, A. K.; Pan, K.; Kuo, P.; Fuller, M.; Garcia, E.; Teijaro, J. R.; Yang, L.; Sahoo, D.; Chi, V.; Huang, E.; Vargas, N.; Roberts, A. J.; Das, S.; Ghosh, P.; Woods, A. K.; Joseph, S. B.; Hull, M. V.; Schultz, P. G.; Burton, D. R.; Chatterjee, A. K.; McNamara, C. W.; Rogers, T. F. Drug Repurposing Screens Identify Chemical Entities for the Development of COVID-19 Interventions. </w:t>
      </w:r>
      <w:r w:rsidRPr="0044257B">
        <w:rPr>
          <w:i/>
          <w:iCs/>
        </w:rPr>
        <w:t>Nat Commun</w:t>
      </w:r>
      <w:r w:rsidRPr="0044257B">
        <w:t xml:space="preserve"> </w:t>
      </w:r>
      <w:r w:rsidRPr="0044257B">
        <w:rPr>
          <w:b/>
          <w:bCs/>
        </w:rPr>
        <w:t>2021</w:t>
      </w:r>
      <w:r w:rsidRPr="0044257B">
        <w:t xml:space="preserve">, </w:t>
      </w:r>
      <w:r w:rsidRPr="0044257B">
        <w:rPr>
          <w:i/>
          <w:iCs/>
        </w:rPr>
        <w:t>12</w:t>
      </w:r>
      <w:r w:rsidRPr="0044257B">
        <w:t xml:space="preserve"> (1), 1–14. https://doi.org/10.1038/s41467-021-23328-0.</w:t>
      </w:r>
    </w:p>
    <w:p w14:paraId="5C635880" w14:textId="77777777" w:rsidR="0044257B" w:rsidRPr="0044257B" w:rsidRDefault="0044257B" w:rsidP="0044257B">
      <w:pPr>
        <w:tabs>
          <w:tab w:val="left" w:pos="504"/>
        </w:tabs>
        <w:spacing w:after="0"/>
        <w:ind w:left="504" w:hanging="504"/>
      </w:pPr>
      <w:r w:rsidRPr="0044257B">
        <w:t xml:space="preserve">(58) </w:t>
      </w:r>
      <w:r w:rsidRPr="0044257B">
        <w:tab/>
        <w:t xml:space="preserve">Beigel, J. H.; Tomashek, K. M.; Dodd, L. E.; Mehta, A. K.; Zingman, B. S.; Kalil, A. C.; Hohmann, E.; Chu, H. Y.; Luetkemeyer, A.; Kline, S.; Lopez de Castilla, D.; Finberg, R. W.; Dierberg, K.; Tapson, V.; Hsieh, L.; Patterson, T. F.; Paredes, R.; Sweeney, D. A.; Short, W. R.; Touloumi, G.; Lye, D. C.; Ohmagari, N.; Oh, M.; Ruiz-Palacios, G. M.; Benfield, T.; Fätkenheuer, G.; Kortepeter, M. G.; Atmar, R. L.; Creech, C. B.; Lundgren, J.; Babiker, A. G.; Pett, S.; Neaton, J. D.; Burgess, T. H.; Bonnett, T.; Green, M.; Makowski, M.; Osinusi, A.; Nayak, S.; Lane, H. C. Remdesivir for the Treatment of Covid-19 — Final Report. </w:t>
      </w:r>
      <w:r w:rsidRPr="0044257B">
        <w:rPr>
          <w:i/>
          <w:iCs/>
        </w:rPr>
        <w:t>New England Journal of Medicine</w:t>
      </w:r>
      <w:r w:rsidRPr="0044257B">
        <w:t xml:space="preserve"> </w:t>
      </w:r>
      <w:r w:rsidRPr="0044257B">
        <w:rPr>
          <w:b/>
          <w:bCs/>
        </w:rPr>
        <w:t>2020</w:t>
      </w:r>
      <w:r w:rsidRPr="0044257B">
        <w:t xml:space="preserve">, </w:t>
      </w:r>
      <w:r w:rsidRPr="0044257B">
        <w:rPr>
          <w:i/>
          <w:iCs/>
        </w:rPr>
        <w:t>383</w:t>
      </w:r>
      <w:r w:rsidRPr="0044257B">
        <w:t xml:space="preserve"> (19), 1813–1826. https://doi.org/10.1056/NEJMoa2007764.</w:t>
      </w:r>
    </w:p>
    <w:p w14:paraId="6A46FE17" w14:textId="77777777" w:rsidR="0044257B" w:rsidRPr="0044257B" w:rsidRDefault="0044257B" w:rsidP="0044257B">
      <w:pPr>
        <w:tabs>
          <w:tab w:val="left" w:pos="504"/>
        </w:tabs>
        <w:spacing w:after="0"/>
        <w:ind w:left="504" w:hanging="504"/>
      </w:pPr>
      <w:r w:rsidRPr="0044257B">
        <w:t xml:space="preserve">(59) </w:t>
      </w:r>
      <w:r w:rsidRPr="0044257B">
        <w:tab/>
        <w:t xml:space="preserve">Sinha, N.; Balayla, G. Hydroxychloroquine and COVID-19. </w:t>
      </w:r>
      <w:r w:rsidRPr="0044257B">
        <w:rPr>
          <w:i/>
          <w:iCs/>
        </w:rPr>
        <w:t>Postgraduate Medical Journal</w:t>
      </w:r>
      <w:r w:rsidRPr="0044257B">
        <w:t xml:space="preserve"> </w:t>
      </w:r>
      <w:r w:rsidRPr="0044257B">
        <w:rPr>
          <w:b/>
          <w:bCs/>
        </w:rPr>
        <w:t>2020</w:t>
      </w:r>
      <w:r w:rsidRPr="0044257B">
        <w:t xml:space="preserve">, </w:t>
      </w:r>
      <w:r w:rsidRPr="0044257B">
        <w:rPr>
          <w:i/>
          <w:iCs/>
        </w:rPr>
        <w:t>96</w:t>
      </w:r>
      <w:r w:rsidRPr="0044257B">
        <w:t xml:space="preserve"> (1139), 550–555. https://doi.org/10.1136/postgradmedj-2020-137785.</w:t>
      </w:r>
    </w:p>
    <w:p w14:paraId="408E9F28" w14:textId="77777777" w:rsidR="0044257B" w:rsidRPr="0044257B" w:rsidRDefault="0044257B" w:rsidP="0044257B">
      <w:pPr>
        <w:tabs>
          <w:tab w:val="left" w:pos="504"/>
        </w:tabs>
        <w:spacing w:after="0"/>
        <w:ind w:left="504" w:hanging="504"/>
      </w:pPr>
      <w:r w:rsidRPr="0044257B">
        <w:t xml:space="preserve">(60) </w:t>
      </w:r>
      <w:r w:rsidRPr="0044257B">
        <w:tab/>
        <w:t xml:space="preserve">Isolation of Potent SARS-CoV-2 Neutralizing Antibodies and Protection from Disease in a Small Animal Model. </w:t>
      </w:r>
      <w:r w:rsidRPr="0044257B">
        <w:rPr>
          <w:i/>
          <w:iCs/>
        </w:rPr>
        <w:t>Science</w:t>
      </w:r>
      <w:r w:rsidRPr="0044257B">
        <w:t>.</w:t>
      </w:r>
    </w:p>
    <w:p w14:paraId="3A7CA377" w14:textId="77777777" w:rsidR="0044257B" w:rsidRPr="0044257B" w:rsidRDefault="0044257B" w:rsidP="0044257B">
      <w:pPr>
        <w:tabs>
          <w:tab w:val="left" w:pos="504"/>
        </w:tabs>
        <w:spacing w:after="0"/>
        <w:ind w:left="504" w:hanging="504"/>
      </w:pPr>
      <w:r w:rsidRPr="0044257B">
        <w:lastRenderedPageBreak/>
        <w:t xml:space="preserve">(61) </w:t>
      </w:r>
      <w:r w:rsidRPr="0044257B">
        <w:tab/>
        <w:t xml:space="preserve">Shin, D.; Mukherjee, R.; Grewe, D.; Bojkova, D.; Baek, K.; Bhattacharya, A.; Schulz, L.; Widera, M.; Mehdipour, A. R.; Tascher, G.; Geurink, P. P.; Wilhelm, A.; van der Heden van Noort, G. J.; Ovaa, H.; Müller, S.; Knobeloch, K.-P.; Rajalingam, K.; Schulman, B. A.; Cinatl, J.; Hummer, G.; Ciesek, S.; Dikic, I. Papain-like Protease Regulates SARS-CoV-2 Viral Spread and Innate Immunity. </w:t>
      </w:r>
      <w:r w:rsidRPr="0044257B">
        <w:rPr>
          <w:i/>
          <w:iCs/>
        </w:rPr>
        <w:t>Nature</w:t>
      </w:r>
      <w:r w:rsidRPr="0044257B">
        <w:t xml:space="preserve"> </w:t>
      </w:r>
      <w:r w:rsidRPr="0044257B">
        <w:rPr>
          <w:b/>
          <w:bCs/>
        </w:rPr>
        <w:t>2020</w:t>
      </w:r>
      <w:r w:rsidRPr="0044257B">
        <w:t xml:space="preserve">, </w:t>
      </w:r>
      <w:r w:rsidRPr="0044257B">
        <w:rPr>
          <w:i/>
          <w:iCs/>
        </w:rPr>
        <w:t>587</w:t>
      </w:r>
      <w:r w:rsidRPr="0044257B">
        <w:t xml:space="preserve"> (7835), 657–662. https://doi.org/10.1038/s41586-020-2601-5.</w:t>
      </w:r>
    </w:p>
    <w:p w14:paraId="5A97CF37" w14:textId="77777777" w:rsidR="0044257B" w:rsidRPr="0044257B" w:rsidRDefault="0044257B" w:rsidP="0044257B">
      <w:pPr>
        <w:tabs>
          <w:tab w:val="left" w:pos="504"/>
        </w:tabs>
        <w:spacing w:after="0"/>
        <w:ind w:left="504" w:hanging="504"/>
      </w:pPr>
      <w:r w:rsidRPr="0044257B">
        <w:t xml:space="preserve">(62) </w:t>
      </w:r>
      <w:r w:rsidRPr="0044257B">
        <w:tab/>
        <w:t xml:space="preserve">Pfeffer, L. M. The Role of Nuclear Factor ΚB in the Interferon Response. </w:t>
      </w:r>
      <w:r w:rsidRPr="0044257B">
        <w:rPr>
          <w:i/>
          <w:iCs/>
        </w:rPr>
        <w:t>J Interferon Cytokine Res</w:t>
      </w:r>
      <w:r w:rsidRPr="0044257B">
        <w:t xml:space="preserve"> </w:t>
      </w:r>
      <w:r w:rsidRPr="0044257B">
        <w:rPr>
          <w:b/>
          <w:bCs/>
        </w:rPr>
        <w:t>2011</w:t>
      </w:r>
      <w:r w:rsidRPr="0044257B">
        <w:t xml:space="preserve">, </w:t>
      </w:r>
      <w:r w:rsidRPr="0044257B">
        <w:rPr>
          <w:i/>
          <w:iCs/>
        </w:rPr>
        <w:t>31</w:t>
      </w:r>
      <w:r w:rsidRPr="0044257B">
        <w:t xml:space="preserve"> (7), 553–559. https://doi.org/10.1089/jir.2011.0028.</w:t>
      </w:r>
    </w:p>
    <w:p w14:paraId="0CF559A9" w14:textId="77777777" w:rsidR="0044257B" w:rsidRPr="0044257B" w:rsidRDefault="0044257B" w:rsidP="0044257B">
      <w:pPr>
        <w:tabs>
          <w:tab w:val="left" w:pos="504"/>
        </w:tabs>
        <w:spacing w:after="0"/>
        <w:ind w:left="504" w:hanging="504"/>
      </w:pPr>
      <w:r w:rsidRPr="0044257B">
        <w:t xml:space="preserve">(63) </w:t>
      </w:r>
      <w:r w:rsidRPr="0044257B">
        <w:tab/>
        <w:t xml:space="preserve">Lin, Y.; Zang, R.; Ma, Y.; Wang, Z.; Li, L.; Ding, S.; Zhang, R.; Wei, Z.; Yang, J.; Wang, X. Xanthohumol Is a Potent Pan-Inhibitor of Coronaviruses Targeting Main Protease. </w:t>
      </w:r>
      <w:r w:rsidRPr="0044257B">
        <w:rPr>
          <w:i/>
          <w:iCs/>
        </w:rPr>
        <w:t>International Journal of Molecular Sciences</w:t>
      </w:r>
      <w:r w:rsidRPr="0044257B">
        <w:t xml:space="preserve"> </w:t>
      </w:r>
      <w:r w:rsidRPr="0044257B">
        <w:rPr>
          <w:b/>
          <w:bCs/>
        </w:rPr>
        <w:t>2021</w:t>
      </w:r>
      <w:r w:rsidRPr="0044257B">
        <w:t xml:space="preserve">, </w:t>
      </w:r>
      <w:r w:rsidRPr="0044257B">
        <w:rPr>
          <w:i/>
          <w:iCs/>
        </w:rPr>
        <w:t>22</w:t>
      </w:r>
      <w:r w:rsidRPr="0044257B">
        <w:t xml:space="preserve"> (22), 12134. https://doi.org/10.3390/ijms222212134.</w:t>
      </w:r>
    </w:p>
    <w:p w14:paraId="3B7D525B" w14:textId="77777777" w:rsidR="0044257B" w:rsidRPr="0044257B" w:rsidRDefault="0044257B" w:rsidP="0044257B">
      <w:pPr>
        <w:tabs>
          <w:tab w:val="left" w:pos="504"/>
        </w:tabs>
        <w:spacing w:after="0"/>
        <w:ind w:left="504" w:hanging="504"/>
      </w:pPr>
      <w:r w:rsidRPr="0044257B">
        <w:t xml:space="preserve">(64) </w:t>
      </w:r>
      <w:r w:rsidRPr="0044257B">
        <w:tab/>
        <w:t xml:space="preserve">Owen, D. R.; Allerton, C. M. N.; Anderson, A. S.; Aschenbrenner, L.; Avery, M.; Berritt, S.; Boras, B.; Cardin, R. D.; Carlo, A.; Coffman, K. J.; Dantonio, A.; Di, L.; Eng, H.; Ferre, R.; Gajiwala, K. S.; Gibson, S. A.; Greasley, S. E.; Hurst, B. L.; Kadar, E. P.; Kalgutkar, A. S.; Lee, J. C.; Lee, J.; Liu, W.; Mason, S. W.; Noell, S.; Novak, J. J.; Obach, R. S.; Ogilvie, K.; Patel, N. C.; Pettersson, M.; Rai, D. K.; Reese, M. R.; Sammons, M. F.; Sathish, J. G.; Singh, R. S. P.; Steppan, C. M.; Stewart, A. E.; Tuttle, J. B.; Updyke, L.; Verhoest, P. R.; Wei, L.; Yang, Q.; Zhu, Y. An Oral SARS-CoV-2 Mpro Inhibitor Clinical Candidate for the Treatment of COVID-19. </w:t>
      </w:r>
      <w:r w:rsidRPr="0044257B">
        <w:rPr>
          <w:i/>
          <w:iCs/>
        </w:rPr>
        <w:t>Science</w:t>
      </w:r>
      <w:r w:rsidRPr="0044257B">
        <w:t xml:space="preserve"> </w:t>
      </w:r>
      <w:r w:rsidRPr="0044257B">
        <w:rPr>
          <w:b/>
          <w:bCs/>
        </w:rPr>
        <w:t>2021</w:t>
      </w:r>
      <w:r w:rsidRPr="0044257B">
        <w:t xml:space="preserve">, </w:t>
      </w:r>
      <w:r w:rsidRPr="0044257B">
        <w:rPr>
          <w:i/>
          <w:iCs/>
        </w:rPr>
        <w:t>374</w:t>
      </w:r>
      <w:r w:rsidRPr="0044257B">
        <w:t xml:space="preserve"> (6575), 1586–1593. https://doi.org/10.1126/science.abl4784.</w:t>
      </w:r>
    </w:p>
    <w:p w14:paraId="51CD3C1B" w14:textId="77777777" w:rsidR="0044257B" w:rsidRPr="0044257B" w:rsidRDefault="0044257B" w:rsidP="0044257B">
      <w:pPr>
        <w:tabs>
          <w:tab w:val="left" w:pos="504"/>
        </w:tabs>
        <w:spacing w:after="0"/>
        <w:ind w:left="504" w:hanging="504"/>
      </w:pPr>
      <w:r w:rsidRPr="0044257B">
        <w:t xml:space="preserve">(65) </w:t>
      </w:r>
      <w:r w:rsidRPr="0044257B">
        <w:tab/>
        <w:t xml:space="preserve">Suárez, D.; Díaz, N. SARS-CoV-2 Main Protease: A Molecular Dynamics Study. </w:t>
      </w:r>
      <w:r w:rsidRPr="0044257B">
        <w:rPr>
          <w:i/>
          <w:iCs/>
        </w:rPr>
        <w:t>J. Chem. Inf. Model.</w:t>
      </w:r>
      <w:r w:rsidRPr="0044257B">
        <w:t xml:space="preserve"> </w:t>
      </w:r>
      <w:r w:rsidRPr="0044257B">
        <w:rPr>
          <w:b/>
          <w:bCs/>
        </w:rPr>
        <w:t>2020</w:t>
      </w:r>
      <w:r w:rsidRPr="0044257B">
        <w:t xml:space="preserve">, </w:t>
      </w:r>
      <w:r w:rsidRPr="0044257B">
        <w:rPr>
          <w:i/>
          <w:iCs/>
        </w:rPr>
        <w:t>60</w:t>
      </w:r>
      <w:r w:rsidRPr="0044257B">
        <w:t xml:space="preserve"> (12), 5815–5831. https://doi.org/10.1021/acs.jcim.0c00575.</w:t>
      </w:r>
    </w:p>
    <w:p w14:paraId="4987C9D9" w14:textId="77777777" w:rsidR="0044257B" w:rsidRPr="0044257B" w:rsidRDefault="0044257B" w:rsidP="0044257B">
      <w:pPr>
        <w:tabs>
          <w:tab w:val="left" w:pos="504"/>
        </w:tabs>
        <w:spacing w:after="0"/>
        <w:ind w:left="504" w:hanging="504"/>
      </w:pPr>
      <w:r w:rsidRPr="0044257B">
        <w:lastRenderedPageBreak/>
        <w:t xml:space="preserve">(66) </w:t>
      </w:r>
      <w:r w:rsidRPr="0044257B">
        <w:tab/>
        <w:t xml:space="preserve">Anand, K.; Palm, G. J.; Mesters, J. R.; Siddell, S. G.; Ziebuhr, J.; Hilgenfeld, R. Structure of Coronavirus Main Proteinase Reveals Combination of a Chymotrypsin Fold with an Extra α-Helical Domain. </w:t>
      </w:r>
      <w:r w:rsidRPr="0044257B">
        <w:rPr>
          <w:i/>
          <w:iCs/>
        </w:rPr>
        <w:t>EMBO J</w:t>
      </w:r>
      <w:r w:rsidRPr="0044257B">
        <w:t xml:space="preserve"> </w:t>
      </w:r>
      <w:r w:rsidRPr="0044257B">
        <w:rPr>
          <w:b/>
          <w:bCs/>
        </w:rPr>
        <w:t>2002</w:t>
      </w:r>
      <w:r w:rsidRPr="0044257B">
        <w:t xml:space="preserve">, </w:t>
      </w:r>
      <w:r w:rsidRPr="0044257B">
        <w:rPr>
          <w:i/>
          <w:iCs/>
        </w:rPr>
        <w:t>21</w:t>
      </w:r>
      <w:r w:rsidRPr="0044257B">
        <w:t xml:space="preserve"> (13), 3213–3224. https://doi.org/10.1093/emboj/cdf327.</w:t>
      </w:r>
    </w:p>
    <w:p w14:paraId="79577533" w14:textId="77777777" w:rsidR="0044257B" w:rsidRPr="0044257B" w:rsidRDefault="0044257B" w:rsidP="0044257B">
      <w:pPr>
        <w:tabs>
          <w:tab w:val="left" w:pos="504"/>
        </w:tabs>
        <w:spacing w:after="0"/>
        <w:ind w:left="504" w:hanging="504"/>
      </w:pPr>
      <w:r w:rsidRPr="0044257B">
        <w:t xml:space="preserve">(67) </w:t>
      </w:r>
      <w:r w:rsidRPr="0044257B">
        <w:tab/>
        <w:t xml:space="preserve">Dodson, G.; Wlodawer, A. Catalytic Triads and Their Relatives. </w:t>
      </w:r>
      <w:r w:rsidRPr="0044257B">
        <w:rPr>
          <w:i/>
          <w:iCs/>
        </w:rPr>
        <w:t>Trends in Biochemical Sciences</w:t>
      </w:r>
      <w:r w:rsidRPr="0044257B">
        <w:t xml:space="preserve"> </w:t>
      </w:r>
      <w:r w:rsidRPr="0044257B">
        <w:rPr>
          <w:b/>
          <w:bCs/>
        </w:rPr>
        <w:t>1998</w:t>
      </w:r>
      <w:r w:rsidRPr="0044257B">
        <w:t xml:space="preserve">, </w:t>
      </w:r>
      <w:r w:rsidRPr="0044257B">
        <w:rPr>
          <w:i/>
          <w:iCs/>
        </w:rPr>
        <w:t>23</w:t>
      </w:r>
      <w:r w:rsidRPr="0044257B">
        <w:t xml:space="preserve"> (9), 347–352. https://doi.org/10.1016/S0968-0004(98)01254-7.</w:t>
      </w:r>
    </w:p>
    <w:p w14:paraId="2B3830E5" w14:textId="77777777" w:rsidR="0044257B" w:rsidRPr="0044257B" w:rsidRDefault="0044257B" w:rsidP="0044257B">
      <w:pPr>
        <w:tabs>
          <w:tab w:val="left" w:pos="504"/>
        </w:tabs>
        <w:spacing w:after="0"/>
        <w:ind w:left="504" w:hanging="504"/>
      </w:pPr>
      <w:r w:rsidRPr="0044257B">
        <w:t xml:space="preserve">(68) </w:t>
      </w:r>
      <w:r w:rsidRPr="0044257B">
        <w:tab/>
        <w:t xml:space="preserve">Ma, C.; Sacco, M. D.; Hurst, B.; Townsend, J. A.; Hu, Y.; Szeto, T.; Zhang, X.; Tarbet, B.; Marty, M. T.; Chen, Y.; Wang, J. Boceprevir, GC-376, and Calpain Inhibitors II, XII Inhibit SARS-CoV-2 Viral Replication by Targeting the Viral Main Protease. </w:t>
      </w:r>
      <w:r w:rsidRPr="0044257B">
        <w:rPr>
          <w:i/>
          <w:iCs/>
        </w:rPr>
        <w:t>Cell Res</w:t>
      </w:r>
      <w:r w:rsidRPr="0044257B">
        <w:t xml:space="preserve"> </w:t>
      </w:r>
      <w:r w:rsidRPr="0044257B">
        <w:rPr>
          <w:b/>
          <w:bCs/>
        </w:rPr>
        <w:t>2020</w:t>
      </w:r>
      <w:r w:rsidRPr="0044257B">
        <w:t xml:space="preserve">, </w:t>
      </w:r>
      <w:r w:rsidRPr="0044257B">
        <w:rPr>
          <w:i/>
          <w:iCs/>
        </w:rPr>
        <w:t>30</w:t>
      </w:r>
      <w:r w:rsidRPr="0044257B">
        <w:t xml:space="preserve"> (8), 678–692. https://doi.org/10.1038/s41422-020-0356-z.</w:t>
      </w:r>
    </w:p>
    <w:p w14:paraId="25B89556" w14:textId="77777777" w:rsidR="0044257B" w:rsidRPr="0044257B" w:rsidRDefault="0044257B" w:rsidP="0044257B">
      <w:pPr>
        <w:tabs>
          <w:tab w:val="left" w:pos="504"/>
        </w:tabs>
        <w:spacing w:after="0"/>
        <w:ind w:left="504" w:hanging="504"/>
      </w:pPr>
      <w:r w:rsidRPr="0044257B">
        <w:t xml:space="preserve">(69) </w:t>
      </w:r>
      <w:r w:rsidRPr="0044257B">
        <w:tab/>
        <w:t xml:space="preserve">Anand, K.; Ziebuhr, J.; Wadhwani, P.; Mesters, J. R.; Hilgenfeld, R. Coronavirus Main Proteinase (3CLpro) Structure: Basis for Design of Anti-SARS Drugs. </w:t>
      </w:r>
      <w:r w:rsidRPr="0044257B">
        <w:rPr>
          <w:i/>
          <w:iCs/>
        </w:rPr>
        <w:t>Science</w:t>
      </w:r>
      <w:r w:rsidRPr="0044257B">
        <w:t xml:space="preserve"> </w:t>
      </w:r>
      <w:r w:rsidRPr="0044257B">
        <w:rPr>
          <w:b/>
          <w:bCs/>
        </w:rPr>
        <w:t>2003</w:t>
      </w:r>
      <w:r w:rsidRPr="0044257B">
        <w:t xml:space="preserve">, </w:t>
      </w:r>
      <w:r w:rsidRPr="0044257B">
        <w:rPr>
          <w:i/>
          <w:iCs/>
        </w:rPr>
        <w:t>300</w:t>
      </w:r>
      <w:r w:rsidRPr="0044257B">
        <w:t xml:space="preserve"> (5626), 1763–1767. https://doi.org/10.1126/science.1085658.</w:t>
      </w:r>
    </w:p>
    <w:p w14:paraId="3545DD68" w14:textId="77777777" w:rsidR="0044257B" w:rsidRPr="0044257B" w:rsidRDefault="0044257B" w:rsidP="0044257B">
      <w:pPr>
        <w:tabs>
          <w:tab w:val="left" w:pos="504"/>
        </w:tabs>
        <w:spacing w:after="0"/>
        <w:ind w:left="504" w:hanging="504"/>
      </w:pPr>
      <w:r w:rsidRPr="0044257B">
        <w:t xml:space="preserve">(70) </w:t>
      </w:r>
      <w:r w:rsidRPr="0044257B">
        <w:tab/>
        <w:t xml:space="preserve">Yang, H.; Bartlam, M.; Rao, Z. Drug Design Targeting the Main Protease, the Achilles’ Heel of Coronaviruses. </w:t>
      </w:r>
      <w:r w:rsidRPr="0044257B">
        <w:rPr>
          <w:i/>
          <w:iCs/>
        </w:rPr>
        <w:t>Curr Pharm Des</w:t>
      </w:r>
      <w:r w:rsidRPr="0044257B">
        <w:t xml:space="preserve"> </w:t>
      </w:r>
      <w:r w:rsidRPr="0044257B">
        <w:rPr>
          <w:b/>
          <w:bCs/>
        </w:rPr>
        <w:t>2006</w:t>
      </w:r>
      <w:r w:rsidRPr="0044257B">
        <w:t xml:space="preserve">, </w:t>
      </w:r>
      <w:r w:rsidRPr="0044257B">
        <w:rPr>
          <w:i/>
          <w:iCs/>
        </w:rPr>
        <w:t>12</w:t>
      </w:r>
      <w:r w:rsidRPr="0044257B">
        <w:t xml:space="preserve"> (35), 4573–4590. https://doi.org/10.2174/138161206779010369.</w:t>
      </w:r>
    </w:p>
    <w:p w14:paraId="544BBE77" w14:textId="77777777" w:rsidR="0044257B" w:rsidRPr="0044257B" w:rsidRDefault="0044257B" w:rsidP="0044257B">
      <w:pPr>
        <w:tabs>
          <w:tab w:val="left" w:pos="504"/>
        </w:tabs>
        <w:spacing w:after="0"/>
        <w:ind w:left="504" w:hanging="504"/>
      </w:pPr>
      <w:r w:rsidRPr="0044257B">
        <w:t xml:space="preserve">(71) </w:t>
      </w:r>
      <w:r w:rsidRPr="0044257B">
        <w:tab/>
        <w:t xml:space="preserve">Fan, K.; Ma, L.; Han, X.; Liang, H.; Wei, P.; Liu, Y.; Lai, L. The Substrate Specificity of SARS Coronavirus 3C-like Proteinase. </w:t>
      </w:r>
      <w:r w:rsidRPr="0044257B">
        <w:rPr>
          <w:i/>
          <w:iCs/>
        </w:rPr>
        <w:t>Biochem Biophys Res Commun</w:t>
      </w:r>
      <w:r w:rsidRPr="0044257B">
        <w:t xml:space="preserve"> </w:t>
      </w:r>
      <w:r w:rsidRPr="0044257B">
        <w:rPr>
          <w:b/>
          <w:bCs/>
        </w:rPr>
        <w:t>2005</w:t>
      </w:r>
      <w:r w:rsidRPr="0044257B">
        <w:t xml:space="preserve">, </w:t>
      </w:r>
      <w:r w:rsidRPr="0044257B">
        <w:rPr>
          <w:i/>
          <w:iCs/>
        </w:rPr>
        <w:t>329</w:t>
      </w:r>
      <w:r w:rsidRPr="0044257B">
        <w:t xml:space="preserve"> (3), 934–940. https://doi.org/10.1016/j.bbrc.2005.02.061.</w:t>
      </w:r>
    </w:p>
    <w:p w14:paraId="78D6B358" w14:textId="77777777" w:rsidR="0044257B" w:rsidRPr="0044257B" w:rsidRDefault="0044257B" w:rsidP="0044257B">
      <w:pPr>
        <w:tabs>
          <w:tab w:val="left" w:pos="504"/>
        </w:tabs>
        <w:spacing w:after="0"/>
        <w:ind w:left="504" w:hanging="504"/>
      </w:pPr>
      <w:r w:rsidRPr="0044257B">
        <w:t xml:space="preserve">(72) </w:t>
      </w:r>
      <w:r w:rsidRPr="0044257B">
        <w:tab/>
        <w:t xml:space="preserve">Chuck, C.-P.; Chow, H.-F.; Wan, D. C.-C.; Wong, K.-B. Profiling of Substrate Specificities of 3C-Like Proteases from Group 1, 2a, 2b, and 3 Coronaviruses. </w:t>
      </w:r>
      <w:r w:rsidRPr="0044257B">
        <w:rPr>
          <w:i/>
          <w:iCs/>
        </w:rPr>
        <w:t>PLOS ONE</w:t>
      </w:r>
      <w:r w:rsidRPr="0044257B">
        <w:t xml:space="preserve"> </w:t>
      </w:r>
      <w:r w:rsidRPr="0044257B">
        <w:rPr>
          <w:b/>
          <w:bCs/>
        </w:rPr>
        <w:t>2011</w:t>
      </w:r>
      <w:r w:rsidRPr="0044257B">
        <w:t xml:space="preserve">, </w:t>
      </w:r>
      <w:r w:rsidRPr="0044257B">
        <w:rPr>
          <w:i/>
          <w:iCs/>
        </w:rPr>
        <w:t>6</w:t>
      </w:r>
      <w:r w:rsidRPr="0044257B">
        <w:t xml:space="preserve"> (11), e27228. https://doi.org/10.1371/journal.pone.0027228.</w:t>
      </w:r>
    </w:p>
    <w:p w14:paraId="5FAB282F" w14:textId="77777777" w:rsidR="0044257B" w:rsidRPr="0044257B" w:rsidRDefault="0044257B" w:rsidP="0044257B">
      <w:pPr>
        <w:tabs>
          <w:tab w:val="left" w:pos="504"/>
        </w:tabs>
        <w:spacing w:after="0"/>
        <w:ind w:left="504" w:hanging="504"/>
      </w:pPr>
      <w:r w:rsidRPr="0044257B">
        <w:t xml:space="preserve">(73) </w:t>
      </w:r>
      <w:r w:rsidRPr="0044257B">
        <w:tab/>
        <w:t xml:space="preserve">Jin, Z.; Du, X.; Xu, Y.; Deng, Y.; Liu, M.; Zhao, Y.; Zhang, B.; Li, X.; Zhang, L.; Peng, C.; Duan, Y.; Yu, J.; Wang, L.; Yang, K.; Liu, F.; Jiang, R.; Yang, X.; You, T.; Liu, X.; Yang, </w:t>
      </w:r>
      <w:r w:rsidRPr="0044257B">
        <w:lastRenderedPageBreak/>
        <w:t xml:space="preserve">X.; Bai, F.; Liu, H.; Liu, X.; Guddat, L. W.; Xu, W.; Xiao, G.; Qin, C.; Shi, Z.; Jiang, H.; Rao, Z.; Yang, H. Structure of Mpro from SARS-CoV-2 and Discovery of Its Inhibitors. </w:t>
      </w:r>
      <w:r w:rsidRPr="0044257B">
        <w:rPr>
          <w:i/>
          <w:iCs/>
        </w:rPr>
        <w:t>Nature</w:t>
      </w:r>
      <w:r w:rsidRPr="0044257B">
        <w:t xml:space="preserve"> </w:t>
      </w:r>
      <w:r w:rsidRPr="0044257B">
        <w:rPr>
          <w:b/>
          <w:bCs/>
        </w:rPr>
        <w:t>2020</w:t>
      </w:r>
      <w:r w:rsidRPr="0044257B">
        <w:t xml:space="preserve">, </w:t>
      </w:r>
      <w:r w:rsidRPr="0044257B">
        <w:rPr>
          <w:i/>
          <w:iCs/>
        </w:rPr>
        <w:t>582</w:t>
      </w:r>
      <w:r w:rsidRPr="0044257B">
        <w:t xml:space="preserve"> (7811), 289–293. https://doi.org/10.1038/s41586-020-2223-y.</w:t>
      </w:r>
    </w:p>
    <w:p w14:paraId="44317E99" w14:textId="77777777" w:rsidR="0044257B" w:rsidRPr="0044257B" w:rsidRDefault="0044257B" w:rsidP="0044257B">
      <w:pPr>
        <w:tabs>
          <w:tab w:val="left" w:pos="504"/>
        </w:tabs>
        <w:spacing w:after="0"/>
        <w:ind w:left="504" w:hanging="504"/>
      </w:pPr>
      <w:r w:rsidRPr="0044257B">
        <w:t xml:space="preserve">(74) </w:t>
      </w:r>
      <w:r w:rsidRPr="0044257B">
        <w:tab/>
        <w:t xml:space="preserve">Zhang, L.; Lin, D.; Sun, X.; Curth, U.; Drosten, C.; Sauerhering, L.; Becker, S.; Rox, K.; Hilgenfeld, R. Crystal Structure of SARS-CoV-2 Main Protease Provides a Basis for Design of Improved α-Ketoamide Inhibitors. </w:t>
      </w:r>
      <w:r w:rsidRPr="0044257B">
        <w:rPr>
          <w:i/>
          <w:iCs/>
        </w:rPr>
        <w:t>Science</w:t>
      </w:r>
      <w:r w:rsidRPr="0044257B">
        <w:t xml:space="preserve"> </w:t>
      </w:r>
      <w:r w:rsidRPr="0044257B">
        <w:rPr>
          <w:b/>
          <w:bCs/>
        </w:rPr>
        <w:t>2020</w:t>
      </w:r>
      <w:r w:rsidRPr="0044257B">
        <w:t xml:space="preserve">, </w:t>
      </w:r>
      <w:r w:rsidRPr="0044257B">
        <w:rPr>
          <w:i/>
          <w:iCs/>
        </w:rPr>
        <w:t>368</w:t>
      </w:r>
      <w:r w:rsidRPr="0044257B">
        <w:t xml:space="preserve"> (6489), 409–412. https://doi.org/10.1126/science.abb3405.</w:t>
      </w:r>
    </w:p>
    <w:p w14:paraId="39D28029" w14:textId="77777777" w:rsidR="0044257B" w:rsidRPr="0044257B" w:rsidRDefault="0044257B" w:rsidP="0044257B">
      <w:pPr>
        <w:tabs>
          <w:tab w:val="left" w:pos="504"/>
        </w:tabs>
        <w:spacing w:after="0"/>
        <w:ind w:left="504" w:hanging="504"/>
      </w:pPr>
      <w:r w:rsidRPr="0044257B">
        <w:t xml:space="preserve">(75) </w:t>
      </w:r>
      <w:r w:rsidRPr="0044257B">
        <w:tab/>
        <w:t xml:space="preserve">Yang, H.; Yang, M.; Ding, Y.; Liu, Y.; Lou, Z.; Zhou, Z.; Sun, L.; Mo, L.; Ye, S.; Pang, H.; Gao, G. F.; Anand, K.; Bartlam, M.; Hilgenfeld, R.; Rao, Z. The Crystal Structures of Severe Acute Respiratory Syndrome Virus Main Protease and Its Complex with an Inhibitor. </w:t>
      </w:r>
      <w:r w:rsidRPr="0044257B">
        <w:rPr>
          <w:i/>
          <w:iCs/>
        </w:rPr>
        <w:t>Proceedings of the National Academy of Sciences</w:t>
      </w:r>
      <w:r w:rsidRPr="0044257B">
        <w:t xml:space="preserve"> </w:t>
      </w:r>
      <w:r w:rsidRPr="0044257B">
        <w:rPr>
          <w:b/>
          <w:bCs/>
        </w:rPr>
        <w:t>2003</w:t>
      </w:r>
      <w:r w:rsidRPr="0044257B">
        <w:t xml:space="preserve">, </w:t>
      </w:r>
      <w:r w:rsidRPr="0044257B">
        <w:rPr>
          <w:i/>
          <w:iCs/>
        </w:rPr>
        <w:t>100</w:t>
      </w:r>
      <w:r w:rsidRPr="0044257B">
        <w:t xml:space="preserve"> (23), 13190–13195. https://doi.org/10.1073/pnas.1835675100.</w:t>
      </w:r>
    </w:p>
    <w:p w14:paraId="5B8B70CC" w14:textId="77777777" w:rsidR="0044257B" w:rsidRPr="0044257B" w:rsidRDefault="0044257B" w:rsidP="0044257B">
      <w:pPr>
        <w:tabs>
          <w:tab w:val="left" w:pos="504"/>
        </w:tabs>
        <w:spacing w:after="0"/>
        <w:ind w:left="504" w:hanging="504"/>
      </w:pPr>
      <w:r w:rsidRPr="0044257B">
        <w:t xml:space="preserve">(76) </w:t>
      </w:r>
      <w:r w:rsidRPr="0044257B">
        <w:tab/>
        <w:t xml:space="preserve">Ghosh, A. K.; Xi, K.; Johnson, M. E.; Baker, S. C.; Mesecar, A. D. Progress in Anti-SARS Coronavirus Chemistry, Biology and Chemotherapy. </w:t>
      </w:r>
      <w:r w:rsidRPr="0044257B">
        <w:rPr>
          <w:i/>
          <w:iCs/>
        </w:rPr>
        <w:t>Annu Rep Med Chem</w:t>
      </w:r>
      <w:r w:rsidRPr="0044257B">
        <w:t xml:space="preserve"> </w:t>
      </w:r>
      <w:r w:rsidRPr="0044257B">
        <w:rPr>
          <w:b/>
          <w:bCs/>
        </w:rPr>
        <w:t>2007</w:t>
      </w:r>
      <w:r w:rsidRPr="0044257B">
        <w:t xml:space="preserve">, </w:t>
      </w:r>
      <w:r w:rsidRPr="0044257B">
        <w:rPr>
          <w:i/>
          <w:iCs/>
        </w:rPr>
        <w:t>41</w:t>
      </w:r>
      <w:r w:rsidRPr="0044257B">
        <w:t>, 183–196. https://doi.org/10.1016/S0065-7743(06)41011-3.</w:t>
      </w:r>
    </w:p>
    <w:p w14:paraId="0F731C07" w14:textId="77777777" w:rsidR="0044257B" w:rsidRPr="0044257B" w:rsidRDefault="0044257B" w:rsidP="0044257B">
      <w:pPr>
        <w:tabs>
          <w:tab w:val="left" w:pos="504"/>
        </w:tabs>
        <w:spacing w:after="0"/>
        <w:ind w:left="504" w:hanging="504"/>
      </w:pPr>
      <w:r w:rsidRPr="0044257B">
        <w:t xml:space="preserve">(77) </w:t>
      </w:r>
      <w:r w:rsidRPr="0044257B">
        <w:tab/>
        <w:t xml:space="preserve">Jain, R. P.; Pettersson, H. I.; Zhang, J.; Aull, K. D.; Fortin, P. D.; Huitema, C.; Eltis, L. D.; Parrish, J. C.; James, M. N. G.; Wishart, D. S.; Vederas, J. C. Synthesis and Evaluation of Keto-Glutamine Analogues as Potent Inhibitors of Severe Acute Respiratory Syndrome 3CLpro. </w:t>
      </w:r>
      <w:r w:rsidRPr="0044257B">
        <w:rPr>
          <w:i/>
          <w:iCs/>
        </w:rPr>
        <w:t>J. Med. Chem.</w:t>
      </w:r>
      <w:r w:rsidRPr="0044257B">
        <w:t xml:space="preserve"> </w:t>
      </w:r>
      <w:r w:rsidRPr="0044257B">
        <w:rPr>
          <w:b/>
          <w:bCs/>
        </w:rPr>
        <w:t>2004</w:t>
      </w:r>
      <w:r w:rsidRPr="0044257B">
        <w:t xml:space="preserve">, </w:t>
      </w:r>
      <w:r w:rsidRPr="0044257B">
        <w:rPr>
          <w:i/>
          <w:iCs/>
        </w:rPr>
        <w:t>47</w:t>
      </w:r>
      <w:r w:rsidRPr="0044257B">
        <w:t xml:space="preserve"> (25), 6113–6116. https://doi.org/10.1021/jm0494873.</w:t>
      </w:r>
    </w:p>
    <w:p w14:paraId="4E06EAD2" w14:textId="77777777" w:rsidR="0044257B" w:rsidRPr="0044257B" w:rsidRDefault="0044257B" w:rsidP="0044257B">
      <w:pPr>
        <w:tabs>
          <w:tab w:val="left" w:pos="504"/>
        </w:tabs>
        <w:spacing w:after="0"/>
        <w:ind w:left="504" w:hanging="504"/>
      </w:pPr>
      <w:r w:rsidRPr="0044257B">
        <w:t xml:space="preserve">(78) </w:t>
      </w:r>
      <w:r w:rsidRPr="0044257B">
        <w:tab/>
        <w:t xml:space="preserve">O’Reilly, M.; Cleasby, A.; Davies, T. G.; Hall, R. J.; Ludlow, R. F.; Murray, C. W.; Tisi, D.; Jhoti, H. Crystallographic Screening Using Ultra-Low-Molecular-Weight Ligands to Guide Drug Design. </w:t>
      </w:r>
      <w:r w:rsidRPr="0044257B">
        <w:rPr>
          <w:i/>
          <w:iCs/>
        </w:rPr>
        <w:t>Drug Discovery Today</w:t>
      </w:r>
      <w:r w:rsidRPr="0044257B">
        <w:t xml:space="preserve"> </w:t>
      </w:r>
      <w:r w:rsidRPr="0044257B">
        <w:rPr>
          <w:b/>
          <w:bCs/>
        </w:rPr>
        <w:t>2019</w:t>
      </w:r>
      <w:r w:rsidRPr="0044257B">
        <w:t xml:space="preserve">, </w:t>
      </w:r>
      <w:r w:rsidRPr="0044257B">
        <w:rPr>
          <w:i/>
          <w:iCs/>
        </w:rPr>
        <w:t>24</w:t>
      </w:r>
      <w:r w:rsidRPr="0044257B">
        <w:t xml:space="preserve"> (5), 1081–1086. https://doi.org/10.1016/j.drudis.2019.03.009.</w:t>
      </w:r>
    </w:p>
    <w:p w14:paraId="7A6B4F8E" w14:textId="77777777" w:rsidR="0044257B" w:rsidRPr="0044257B" w:rsidRDefault="0044257B" w:rsidP="0044257B">
      <w:pPr>
        <w:tabs>
          <w:tab w:val="left" w:pos="504"/>
        </w:tabs>
        <w:spacing w:after="0"/>
        <w:ind w:left="504" w:hanging="504"/>
      </w:pPr>
      <w:r w:rsidRPr="0044257B">
        <w:lastRenderedPageBreak/>
        <w:t xml:space="preserve">(79) </w:t>
      </w:r>
      <w:r w:rsidRPr="0044257B">
        <w:tab/>
        <w:t xml:space="preserve">Ugi, I. The α-Addition of Immonium Ions and Anions to Isonitriles Accompanied by Secondary Reactions. </w:t>
      </w:r>
      <w:r w:rsidRPr="0044257B">
        <w:rPr>
          <w:i/>
          <w:iCs/>
        </w:rPr>
        <w:t>Angewandte Chemie International Edition in English</w:t>
      </w:r>
      <w:r w:rsidRPr="0044257B">
        <w:t xml:space="preserve"> </w:t>
      </w:r>
      <w:r w:rsidRPr="0044257B">
        <w:rPr>
          <w:b/>
          <w:bCs/>
        </w:rPr>
        <w:t>1962</w:t>
      </w:r>
      <w:r w:rsidRPr="0044257B">
        <w:t xml:space="preserve">, </w:t>
      </w:r>
      <w:r w:rsidRPr="0044257B">
        <w:rPr>
          <w:i/>
          <w:iCs/>
        </w:rPr>
        <w:t>1</w:t>
      </w:r>
      <w:r w:rsidRPr="0044257B">
        <w:t xml:space="preserve"> (1), 8–21. https://doi.org/10.1002/anie.196200081.</w:t>
      </w:r>
    </w:p>
    <w:p w14:paraId="01D7EF8E" w14:textId="77777777" w:rsidR="0044257B" w:rsidRPr="0044257B" w:rsidRDefault="0044257B" w:rsidP="0044257B">
      <w:pPr>
        <w:tabs>
          <w:tab w:val="left" w:pos="504"/>
        </w:tabs>
        <w:spacing w:after="0"/>
        <w:ind w:left="504" w:hanging="504"/>
      </w:pPr>
      <w:r w:rsidRPr="0044257B">
        <w:t xml:space="preserve">(80) </w:t>
      </w:r>
      <w:r w:rsidRPr="0044257B">
        <w:tab/>
        <w:t xml:space="preserve">Bienaymé, H.; Hulme, C.; Oddon, G.; Schmitt, P. Maximizing Synthetic Efficiency: Multi-Component Transformations Lead the Way. </w:t>
      </w:r>
      <w:r w:rsidRPr="0044257B">
        <w:rPr>
          <w:i/>
          <w:iCs/>
        </w:rPr>
        <w:t>Chemistry – A European Journal</w:t>
      </w:r>
      <w:r w:rsidRPr="0044257B">
        <w:t xml:space="preserve"> </w:t>
      </w:r>
      <w:r w:rsidRPr="0044257B">
        <w:rPr>
          <w:b/>
          <w:bCs/>
        </w:rPr>
        <w:t>2000</w:t>
      </w:r>
      <w:r w:rsidRPr="0044257B">
        <w:t xml:space="preserve">, </w:t>
      </w:r>
      <w:r w:rsidRPr="0044257B">
        <w:rPr>
          <w:i/>
          <w:iCs/>
        </w:rPr>
        <w:t>6</w:t>
      </w:r>
      <w:r w:rsidRPr="0044257B">
        <w:t xml:space="preserve"> (18), 3321–3329. https://doi.org/10.1002/1521-3765(20000915)6:18&lt;3321::AID-CHEM3321&gt;3.0.CO;2-A.</w:t>
      </w:r>
    </w:p>
    <w:p w14:paraId="540DBC87" w14:textId="77777777" w:rsidR="0044257B" w:rsidRPr="0044257B" w:rsidRDefault="0044257B" w:rsidP="0044257B">
      <w:pPr>
        <w:tabs>
          <w:tab w:val="left" w:pos="504"/>
        </w:tabs>
        <w:spacing w:after="0"/>
        <w:ind w:left="504" w:hanging="504"/>
      </w:pPr>
      <w:r w:rsidRPr="0044257B">
        <w:t xml:space="preserve">(81) </w:t>
      </w:r>
      <w:r w:rsidRPr="0044257B">
        <w:tab/>
        <w:t xml:space="preserve">Ugi, I.; Werner, B.; Dömling, A. The Chemistry of Isocyanides, Their MultiComponent Reactions and Their Libraries. </w:t>
      </w:r>
      <w:r w:rsidRPr="0044257B">
        <w:rPr>
          <w:i/>
          <w:iCs/>
        </w:rPr>
        <w:t>Molecules</w:t>
      </w:r>
      <w:r w:rsidRPr="0044257B">
        <w:t xml:space="preserve"> </w:t>
      </w:r>
      <w:r w:rsidRPr="0044257B">
        <w:rPr>
          <w:b/>
          <w:bCs/>
        </w:rPr>
        <w:t>2003</w:t>
      </w:r>
      <w:r w:rsidRPr="0044257B">
        <w:t xml:space="preserve">, </w:t>
      </w:r>
      <w:r w:rsidRPr="0044257B">
        <w:rPr>
          <w:i/>
          <w:iCs/>
        </w:rPr>
        <w:t>8</w:t>
      </w:r>
      <w:r w:rsidRPr="0044257B">
        <w:t xml:space="preserve"> (1), 53–66. https://doi.org/10.3390/80100053.</w:t>
      </w:r>
    </w:p>
    <w:p w14:paraId="2E066BC0" w14:textId="77777777" w:rsidR="0044257B" w:rsidRPr="0044257B" w:rsidRDefault="0044257B" w:rsidP="0044257B">
      <w:pPr>
        <w:tabs>
          <w:tab w:val="left" w:pos="504"/>
        </w:tabs>
        <w:spacing w:after="0"/>
        <w:ind w:left="504" w:hanging="504"/>
      </w:pPr>
      <w:r w:rsidRPr="0044257B">
        <w:t xml:space="preserve">(82) </w:t>
      </w:r>
      <w:r w:rsidRPr="0044257B">
        <w:tab/>
        <w:t xml:space="preserve">Ostrovskaya, R. U.; Gruden, M. A.; Bobkova, N. A.; Sewell, R. D. E.; Gudasheva, T. A.; Samokhin, A. N.; Seredinin, S. B.; Noppe, W.; Sherstnev, V. V.; Morozova-Roche, L. A. The Nootropic and Neuroprotective Proline-Containing Dipeptide Noopept Restores Spatial Memory and Increases Immunoreactivity to Amyloid in an Alzheimer’s Disease Model. </w:t>
      </w:r>
      <w:r w:rsidRPr="0044257B">
        <w:rPr>
          <w:i/>
          <w:iCs/>
        </w:rPr>
        <w:t>J Psychopharmacol</w:t>
      </w:r>
      <w:r w:rsidRPr="0044257B">
        <w:t xml:space="preserve"> </w:t>
      </w:r>
      <w:r w:rsidRPr="0044257B">
        <w:rPr>
          <w:b/>
          <w:bCs/>
        </w:rPr>
        <w:t>2007</w:t>
      </w:r>
      <w:r w:rsidRPr="0044257B">
        <w:t xml:space="preserve">, </w:t>
      </w:r>
      <w:r w:rsidRPr="0044257B">
        <w:rPr>
          <w:i/>
          <w:iCs/>
        </w:rPr>
        <w:t>21</w:t>
      </w:r>
      <w:r w:rsidRPr="0044257B">
        <w:t xml:space="preserve"> (6), 611–619. https://doi.org/10.1177/0269881106071335.</w:t>
      </w:r>
    </w:p>
    <w:p w14:paraId="47607406" w14:textId="77777777" w:rsidR="0044257B" w:rsidRPr="0044257B" w:rsidRDefault="0044257B" w:rsidP="0044257B">
      <w:pPr>
        <w:tabs>
          <w:tab w:val="left" w:pos="504"/>
        </w:tabs>
        <w:spacing w:after="0"/>
        <w:ind w:left="504" w:hanging="504"/>
      </w:pPr>
      <w:r w:rsidRPr="0044257B">
        <w:t xml:space="preserve">(83) </w:t>
      </w:r>
      <w:r w:rsidRPr="0044257B">
        <w:tab/>
        <w:t xml:space="preserve">Ostrovskaya, R. U.; Gudasheva, T. A.; Zaplina, A. P.; Vahitova, Ju. V.; Salimgareeva, M. H.; Jamidanov, R. S.; Seredenin, S. B. Noopept Stimulates the Expression of NGF and BDNF in Rat Hippocampus. </w:t>
      </w:r>
      <w:r w:rsidRPr="0044257B">
        <w:rPr>
          <w:i/>
          <w:iCs/>
        </w:rPr>
        <w:t>Bull Exp Biol Med</w:t>
      </w:r>
      <w:r w:rsidRPr="0044257B">
        <w:t xml:space="preserve"> </w:t>
      </w:r>
      <w:r w:rsidRPr="0044257B">
        <w:rPr>
          <w:b/>
          <w:bCs/>
        </w:rPr>
        <w:t>2008</w:t>
      </w:r>
      <w:r w:rsidRPr="0044257B">
        <w:t xml:space="preserve">, </w:t>
      </w:r>
      <w:r w:rsidRPr="0044257B">
        <w:rPr>
          <w:i/>
          <w:iCs/>
        </w:rPr>
        <w:t>146</w:t>
      </w:r>
      <w:r w:rsidRPr="0044257B">
        <w:t xml:space="preserve"> (3), 334–337. https://doi.org/10.1007/s10517-008-0297-x.</w:t>
      </w:r>
    </w:p>
    <w:p w14:paraId="5A4FEAC3" w14:textId="77777777" w:rsidR="0044257B" w:rsidRPr="0044257B" w:rsidRDefault="0044257B" w:rsidP="0044257B">
      <w:pPr>
        <w:tabs>
          <w:tab w:val="left" w:pos="504"/>
        </w:tabs>
        <w:spacing w:after="0"/>
        <w:ind w:left="504" w:hanging="504"/>
      </w:pPr>
      <w:r w:rsidRPr="0044257B">
        <w:t xml:space="preserve">(84) </w:t>
      </w:r>
      <w:r w:rsidRPr="0044257B">
        <w:tab/>
        <w:t>PubChem Bioassay Record for AID 756284, Source: ChEMBL https://pubchem.ncbi.nlm.nih.gov/bioassay/756284.</w:t>
      </w:r>
    </w:p>
    <w:p w14:paraId="46EE19D9" w14:textId="77777777" w:rsidR="0044257B" w:rsidRPr="0044257B" w:rsidRDefault="0044257B" w:rsidP="0044257B">
      <w:pPr>
        <w:tabs>
          <w:tab w:val="left" w:pos="504"/>
        </w:tabs>
        <w:spacing w:after="0"/>
        <w:ind w:left="504" w:hanging="504"/>
      </w:pPr>
      <w:r w:rsidRPr="0044257B">
        <w:t xml:space="preserve">(85) </w:t>
      </w:r>
      <w:r w:rsidRPr="0044257B">
        <w:tab/>
        <w:t>3CL Protease, MBP-tagged (SARS-CoV-2) Assay Kit https://bpsbioscience.com/3cl-protease-sars-cov-2-assay-kit-79955.</w:t>
      </w:r>
    </w:p>
    <w:p w14:paraId="37627FF6" w14:textId="77777777" w:rsidR="0044257B" w:rsidRPr="0044257B" w:rsidRDefault="0044257B" w:rsidP="0044257B">
      <w:pPr>
        <w:tabs>
          <w:tab w:val="left" w:pos="504"/>
        </w:tabs>
        <w:spacing w:after="0"/>
        <w:ind w:left="504" w:hanging="504"/>
      </w:pPr>
      <w:r w:rsidRPr="0044257B">
        <w:lastRenderedPageBreak/>
        <w:t xml:space="preserve">(86) </w:t>
      </w:r>
      <w:r w:rsidRPr="0044257B">
        <w:tab/>
        <w:t xml:space="preserve">Kim, Y.; Liu, H.; Kankanamalage, A. C. G.; Weerasekara, S.; Hua, D. H.; Groutas, W. C.; Chang, K.-O.; Pedersen, N. C. Reversal of the Progression of Fatal Coronavirus Infection in Cats by a Broad-Spectrum Coronavirus Protease Inhibitor. </w:t>
      </w:r>
      <w:r w:rsidRPr="0044257B">
        <w:rPr>
          <w:i/>
          <w:iCs/>
        </w:rPr>
        <w:t>PLOS Pathogens</w:t>
      </w:r>
      <w:r w:rsidRPr="0044257B">
        <w:t xml:space="preserve"> </w:t>
      </w:r>
      <w:r w:rsidRPr="0044257B">
        <w:rPr>
          <w:b/>
          <w:bCs/>
        </w:rPr>
        <w:t>2016</w:t>
      </w:r>
      <w:r w:rsidRPr="0044257B">
        <w:t xml:space="preserve">, </w:t>
      </w:r>
      <w:r w:rsidRPr="0044257B">
        <w:rPr>
          <w:i/>
          <w:iCs/>
        </w:rPr>
        <w:t>12</w:t>
      </w:r>
      <w:r w:rsidRPr="0044257B">
        <w:t xml:space="preserve"> (3), e1005531. https://doi.org/10.1371/journal.ppat.1005531.</w:t>
      </w:r>
    </w:p>
    <w:p w14:paraId="58D3C9F2" w14:textId="77777777" w:rsidR="0044257B" w:rsidRPr="0044257B" w:rsidRDefault="0044257B" w:rsidP="0044257B">
      <w:pPr>
        <w:tabs>
          <w:tab w:val="left" w:pos="504"/>
        </w:tabs>
        <w:spacing w:after="0"/>
        <w:ind w:left="504" w:hanging="504"/>
      </w:pPr>
      <w:r w:rsidRPr="0044257B">
        <w:t xml:space="preserve">(87) </w:t>
      </w:r>
      <w:r w:rsidRPr="0044257B">
        <w:tab/>
        <w:t xml:space="preserve">Larsen, R. S.; Zylka, M. J.; Scott, J. E. A High Throughput Assay to Identify Small Molecule Modulators of Prostatic Acid Phosphatase. </w:t>
      </w:r>
      <w:r w:rsidRPr="0044257B">
        <w:rPr>
          <w:i/>
          <w:iCs/>
        </w:rPr>
        <w:t>Curr Chem Genomics</w:t>
      </w:r>
      <w:r w:rsidRPr="0044257B">
        <w:t xml:space="preserve"> </w:t>
      </w:r>
      <w:r w:rsidRPr="0044257B">
        <w:rPr>
          <w:b/>
          <w:bCs/>
        </w:rPr>
        <w:t>2009</w:t>
      </w:r>
      <w:r w:rsidRPr="0044257B">
        <w:t xml:space="preserve">, </w:t>
      </w:r>
      <w:r w:rsidRPr="0044257B">
        <w:rPr>
          <w:i/>
          <w:iCs/>
        </w:rPr>
        <w:t>3</w:t>
      </w:r>
      <w:r w:rsidRPr="0044257B">
        <w:t>, 42–49. https://doi.org/10.2174/1875397300903010042.</w:t>
      </w:r>
    </w:p>
    <w:p w14:paraId="4FF730FD" w14:textId="77777777" w:rsidR="0044257B" w:rsidRPr="0044257B" w:rsidRDefault="0044257B" w:rsidP="0044257B">
      <w:pPr>
        <w:tabs>
          <w:tab w:val="left" w:pos="504"/>
        </w:tabs>
        <w:spacing w:after="0"/>
        <w:ind w:left="504" w:hanging="504"/>
      </w:pPr>
      <w:r w:rsidRPr="0044257B">
        <w:t xml:space="preserve">(88) </w:t>
      </w:r>
      <w:r w:rsidRPr="0044257B">
        <w:tab/>
        <w:t xml:space="preserve">Turlington, M.; Chun, A.; Tomar, S.; Eggler, A.; Grum-Tokars, V.; Jacobs, J.; Daniels, J. S.; Dawson, E.; Saldanha, A.; Chase, P.; Baez-Santos, Y. M.; Lindsley, C. W.; Hodder, P.; Mesecar, A. D.; Stauffer, S. R. Discovery of N-(Benzo[1,2,3]Triazol-1-Yl)-N-(Benzyl)Acetamido)Phenyl) Carboxamides as Severe Acute Respiratory Syndrome Coronavirus (SARS-CoV) 3CLpro Inhibitors: Identification of ML300 and Noncovalent Nanomolar Inhibitors with an Induced-Fit Binding. </w:t>
      </w:r>
      <w:r w:rsidRPr="0044257B">
        <w:rPr>
          <w:i/>
          <w:iCs/>
        </w:rPr>
        <w:t>Bioorganic &amp; Medicinal Chemistry Letters</w:t>
      </w:r>
      <w:r w:rsidRPr="0044257B">
        <w:t xml:space="preserve"> </w:t>
      </w:r>
      <w:r w:rsidRPr="0044257B">
        <w:rPr>
          <w:b/>
          <w:bCs/>
        </w:rPr>
        <w:t>2013</w:t>
      </w:r>
      <w:r w:rsidRPr="0044257B">
        <w:t xml:space="preserve">, </w:t>
      </w:r>
      <w:r w:rsidRPr="0044257B">
        <w:rPr>
          <w:i/>
          <w:iCs/>
        </w:rPr>
        <w:t>23</w:t>
      </w:r>
      <w:r w:rsidRPr="0044257B">
        <w:t xml:space="preserve"> (22), 6172–6177. https://doi.org/10.1016/j.bmcl.2013.08.112.</w:t>
      </w:r>
    </w:p>
    <w:p w14:paraId="591F3F36" w14:textId="77777777" w:rsidR="0044257B" w:rsidRPr="0044257B" w:rsidRDefault="0044257B" w:rsidP="0044257B">
      <w:pPr>
        <w:tabs>
          <w:tab w:val="left" w:pos="504"/>
        </w:tabs>
        <w:spacing w:after="0"/>
        <w:ind w:left="504" w:hanging="504"/>
      </w:pPr>
      <w:r w:rsidRPr="0044257B">
        <w:t xml:space="preserve">(89) </w:t>
      </w:r>
      <w:r w:rsidRPr="0044257B">
        <w:tab/>
        <w:t xml:space="preserve">Hoffman, R. L.; Kania, R. S.; Brothers, M. A.; Davies, J. F.; Ferre, R. A.; Gajiwala, K. S.; He, M.; Hogan, R. J.; Kozminski, K.; Li, L. Y.; Lockner, J. W.; Lou, J.; Marra, M. T.; Mitchell, L. J.; Murray, B. W.; Nieman, J. A.; Noell, S.; Planken, S. P.; Rowe, T.; Ryan, K.; Smith, G. J.; Solowiej, J. E.; Steppan, C. M.; Taggart, B. Discovery of Ketone-Based Covalent Inhibitors of Coronavirus 3CL Proteases for the Potential Therapeutic Treatment of COVID-19. </w:t>
      </w:r>
      <w:r w:rsidRPr="0044257B">
        <w:rPr>
          <w:i/>
          <w:iCs/>
        </w:rPr>
        <w:t>J. Med. Chem.</w:t>
      </w:r>
      <w:r w:rsidRPr="0044257B">
        <w:t xml:space="preserve"> </w:t>
      </w:r>
      <w:r w:rsidRPr="0044257B">
        <w:rPr>
          <w:b/>
          <w:bCs/>
        </w:rPr>
        <w:t>2020</w:t>
      </w:r>
      <w:r w:rsidRPr="0044257B">
        <w:t xml:space="preserve">, </w:t>
      </w:r>
      <w:r w:rsidRPr="0044257B">
        <w:rPr>
          <w:i/>
          <w:iCs/>
        </w:rPr>
        <w:t>63</w:t>
      </w:r>
      <w:r w:rsidRPr="0044257B">
        <w:t xml:space="preserve"> (21), 12725–12747. https://doi.org/10.1021/acs.jmedchem.0c01063.</w:t>
      </w:r>
    </w:p>
    <w:p w14:paraId="1EC8EAA3" w14:textId="77777777" w:rsidR="0044257B" w:rsidRPr="0044257B" w:rsidRDefault="0044257B" w:rsidP="0044257B">
      <w:pPr>
        <w:tabs>
          <w:tab w:val="left" w:pos="504"/>
        </w:tabs>
        <w:spacing w:after="0"/>
        <w:ind w:left="504" w:hanging="504"/>
      </w:pPr>
      <w:r w:rsidRPr="0044257B">
        <w:t xml:space="preserve">(90) </w:t>
      </w:r>
      <w:r w:rsidRPr="0044257B">
        <w:tab/>
        <w:t xml:space="preserve">Xue, X.; Yang, H.; Shen, W.; Zhao, Q.; Li, J.; Yang, K.; Chen, C.; Jin, Y.; Bartlam, M.; Rao, Z. Production of Authentic SARS-CoV Mpro with Enhanced Activity: Application as a </w:t>
      </w:r>
      <w:r w:rsidRPr="0044257B">
        <w:lastRenderedPageBreak/>
        <w:t xml:space="preserve">Novel Tag-Cleavage Endopeptidase for Protein Overproduction. </w:t>
      </w:r>
      <w:r w:rsidRPr="0044257B">
        <w:rPr>
          <w:i/>
          <w:iCs/>
        </w:rPr>
        <w:t>J Mol Biol</w:t>
      </w:r>
      <w:r w:rsidRPr="0044257B">
        <w:t xml:space="preserve"> </w:t>
      </w:r>
      <w:r w:rsidRPr="0044257B">
        <w:rPr>
          <w:b/>
          <w:bCs/>
        </w:rPr>
        <w:t>2007</w:t>
      </w:r>
      <w:r w:rsidRPr="0044257B">
        <w:t xml:space="preserve">, </w:t>
      </w:r>
      <w:r w:rsidRPr="0044257B">
        <w:rPr>
          <w:i/>
          <w:iCs/>
        </w:rPr>
        <w:t>366</w:t>
      </w:r>
      <w:r w:rsidRPr="0044257B">
        <w:t xml:space="preserve"> (3), 965–975. https://doi.org/10.1016/j.jmb.2006.11.073.</w:t>
      </w:r>
    </w:p>
    <w:p w14:paraId="1CDE37E6" w14:textId="77777777" w:rsidR="0044257B" w:rsidRPr="0044257B" w:rsidRDefault="0044257B" w:rsidP="0044257B">
      <w:pPr>
        <w:tabs>
          <w:tab w:val="left" w:pos="504"/>
        </w:tabs>
        <w:spacing w:after="0"/>
        <w:ind w:left="504" w:hanging="504"/>
      </w:pPr>
      <w:r w:rsidRPr="0044257B">
        <w:t xml:space="preserve">(91) </w:t>
      </w:r>
      <w:r w:rsidRPr="0044257B">
        <w:tab/>
        <w:t>Pfizer unveils its oral SARS-CoV-2 inhibitor http://cen.acs.org/acs-news/acs-meeting-news/Pfizer-unveils-oral-SARS-CoV/99/i13 (accessed 2022 -02 -28).</w:t>
      </w:r>
    </w:p>
    <w:p w14:paraId="14132D60" w14:textId="77777777" w:rsidR="0044257B" w:rsidRPr="0044257B" w:rsidRDefault="0044257B" w:rsidP="0044257B">
      <w:pPr>
        <w:tabs>
          <w:tab w:val="left" w:pos="504"/>
        </w:tabs>
        <w:spacing w:after="0"/>
        <w:ind w:left="504" w:hanging="504"/>
      </w:pPr>
      <w:r w:rsidRPr="0044257B">
        <w:t xml:space="preserve">(92) </w:t>
      </w:r>
      <w:r w:rsidRPr="0044257B">
        <w:tab/>
      </w:r>
      <w:r w:rsidRPr="0044257B">
        <w:rPr>
          <w:i/>
          <w:iCs/>
        </w:rPr>
        <w:t>The Encyclopedia of New York City</w:t>
      </w:r>
      <w:r w:rsidRPr="0044257B">
        <w:t>; Jackson, K. T., New-York Historical Society, Eds.; Yale University Press ; New-York Historical Society: New Haven, Conn. : New York, 1995.</w:t>
      </w:r>
    </w:p>
    <w:p w14:paraId="3EC085E8" w14:textId="77777777" w:rsidR="0044257B" w:rsidRPr="0044257B" w:rsidRDefault="0044257B" w:rsidP="0044257B">
      <w:pPr>
        <w:tabs>
          <w:tab w:val="left" w:pos="504"/>
        </w:tabs>
        <w:spacing w:after="0"/>
        <w:ind w:left="504" w:hanging="504"/>
      </w:pPr>
      <w:r w:rsidRPr="0044257B">
        <w:t xml:space="preserve">(93) </w:t>
      </w:r>
      <w:r w:rsidRPr="0044257B">
        <w:tab/>
        <w:t xml:space="preserve">Ahmad, B.; Batool, M.; Ain, Q. ul; Kim, M. S.; Choi, S. Exploring the Binding Mechanism of PF-07321332 SARS-CoV-2 Protease Inhibitor through Molecular Dynamics and Binding Free Energy Simulations. </w:t>
      </w:r>
      <w:r w:rsidRPr="0044257B">
        <w:rPr>
          <w:i/>
          <w:iCs/>
        </w:rPr>
        <w:t>International Journal of Molecular Sciences</w:t>
      </w:r>
      <w:r w:rsidRPr="0044257B">
        <w:t xml:space="preserve"> </w:t>
      </w:r>
      <w:r w:rsidRPr="0044257B">
        <w:rPr>
          <w:b/>
          <w:bCs/>
        </w:rPr>
        <w:t>2021</w:t>
      </w:r>
      <w:r w:rsidRPr="0044257B">
        <w:t xml:space="preserve">, </w:t>
      </w:r>
      <w:r w:rsidRPr="0044257B">
        <w:rPr>
          <w:i/>
          <w:iCs/>
        </w:rPr>
        <w:t>22</w:t>
      </w:r>
      <w:r w:rsidRPr="0044257B">
        <w:t xml:space="preserve"> (17), 9124. https://doi.org/10.3390/ijms22179124.</w:t>
      </w:r>
    </w:p>
    <w:p w14:paraId="7ADDDA70" w14:textId="77777777" w:rsidR="0044257B" w:rsidRPr="0044257B" w:rsidRDefault="0044257B" w:rsidP="0044257B">
      <w:pPr>
        <w:tabs>
          <w:tab w:val="left" w:pos="504"/>
        </w:tabs>
        <w:spacing w:after="0"/>
        <w:ind w:left="504" w:hanging="504"/>
      </w:pPr>
      <w:r w:rsidRPr="0044257B">
        <w:t xml:space="preserve">(94) </w:t>
      </w:r>
      <w:r w:rsidRPr="0044257B">
        <w:tab/>
        <w:t xml:space="preserve">Leist, S. R.; Dinnon, K. H.; Schäfer, A.; Tse, L. V.; Okuda, K.; Hou, Y. J.; West, A.; Edwards, C. E.; Sanders, W.; Fritch, E. J.; Gully, K. L.; Scobey, T.; Brown, A. J.; Sheahan, T. P.; Moorman, N. J.; Boucher, R. C.; Gralinski, L. E.; Montgomery, S. A.; Baric, R. S. A Mouse-Adapted SARS-CoV-2 Induces Acute Lung Injury and Mortality in Standard Laboratory Mice. </w:t>
      </w:r>
      <w:r w:rsidRPr="0044257B">
        <w:rPr>
          <w:i/>
          <w:iCs/>
        </w:rPr>
        <w:t>Cell</w:t>
      </w:r>
      <w:r w:rsidRPr="0044257B">
        <w:t xml:space="preserve"> </w:t>
      </w:r>
      <w:r w:rsidRPr="0044257B">
        <w:rPr>
          <w:b/>
          <w:bCs/>
        </w:rPr>
        <w:t>2020</w:t>
      </w:r>
      <w:r w:rsidRPr="0044257B">
        <w:t xml:space="preserve">, </w:t>
      </w:r>
      <w:r w:rsidRPr="0044257B">
        <w:rPr>
          <w:i/>
          <w:iCs/>
        </w:rPr>
        <w:t>183</w:t>
      </w:r>
      <w:r w:rsidRPr="0044257B">
        <w:t xml:space="preserve"> (4), 1070-1085.e12. https://doi.org/10.1016/j.cell.2020.09.050.</w:t>
      </w:r>
    </w:p>
    <w:p w14:paraId="2C11EDA1" w14:textId="77777777" w:rsidR="0044257B" w:rsidRPr="0044257B" w:rsidRDefault="0044257B" w:rsidP="0044257B">
      <w:r w:rsidRPr="0044257B">
        <w:fldChar w:fldCharType="end"/>
      </w:r>
    </w:p>
    <w:p w14:paraId="46D6058A" w14:textId="77777777" w:rsidR="0044257B" w:rsidRPr="0044257B" w:rsidRDefault="0044257B" w:rsidP="0044257B">
      <w:pPr>
        <w:spacing w:line="259" w:lineRule="auto"/>
        <w:jc w:val="left"/>
      </w:pPr>
      <w:r w:rsidRPr="0044257B">
        <w:br w:type="page"/>
      </w:r>
    </w:p>
    <w:p w14:paraId="1B9F66FC" w14:textId="77777777" w:rsidR="0044257B" w:rsidRPr="0044257B" w:rsidRDefault="0044257B" w:rsidP="0044257B">
      <w:pPr>
        <w:spacing w:after="0" w:line="259" w:lineRule="auto"/>
        <w:rPr>
          <w:rFonts w:eastAsia="Times New Roman" w:cs="Times New Roman"/>
          <w:b/>
          <w:sz w:val="28"/>
          <w:szCs w:val="28"/>
        </w:rPr>
      </w:pPr>
    </w:p>
    <w:p w14:paraId="4D3EA1F2" w14:textId="3A7095A3" w:rsidR="0044257B" w:rsidRDefault="0044257B" w:rsidP="0044257B">
      <w:pPr>
        <w:spacing w:after="0" w:line="259" w:lineRule="auto"/>
        <w:rPr>
          <w:rFonts w:eastAsia="Times New Roman" w:cs="Times New Roman"/>
          <w:b/>
          <w:sz w:val="28"/>
          <w:szCs w:val="28"/>
        </w:rPr>
      </w:pPr>
    </w:p>
    <w:p w14:paraId="0C295FBE" w14:textId="2A4AA11D" w:rsidR="00BE0F89" w:rsidRDefault="00BE0F89" w:rsidP="0044257B">
      <w:pPr>
        <w:spacing w:after="0" w:line="259" w:lineRule="auto"/>
        <w:rPr>
          <w:rFonts w:eastAsia="Times New Roman" w:cs="Times New Roman"/>
          <w:b/>
          <w:sz w:val="28"/>
          <w:szCs w:val="28"/>
        </w:rPr>
      </w:pPr>
    </w:p>
    <w:p w14:paraId="0C13AC02" w14:textId="77777777" w:rsidR="00BE0F89" w:rsidRPr="0044257B" w:rsidRDefault="00BE0F89" w:rsidP="0044257B">
      <w:pPr>
        <w:spacing w:after="0" w:line="259" w:lineRule="auto"/>
        <w:rPr>
          <w:rFonts w:eastAsia="Times New Roman" w:cs="Times New Roman"/>
          <w:b/>
          <w:sz w:val="28"/>
          <w:szCs w:val="28"/>
        </w:rPr>
      </w:pPr>
    </w:p>
    <w:p w14:paraId="76D796EE" w14:textId="77777777" w:rsidR="0044257B" w:rsidRPr="0044257B" w:rsidRDefault="0044257B" w:rsidP="0044257B">
      <w:pPr>
        <w:spacing w:after="0" w:line="259" w:lineRule="auto"/>
        <w:rPr>
          <w:rFonts w:eastAsia="Times New Roman" w:cs="Times New Roman"/>
          <w:b/>
          <w:sz w:val="28"/>
          <w:szCs w:val="28"/>
        </w:rPr>
      </w:pPr>
    </w:p>
    <w:p w14:paraId="47C61661" w14:textId="77777777" w:rsidR="0044257B" w:rsidRPr="0044257B" w:rsidRDefault="0044257B" w:rsidP="0044257B">
      <w:pPr>
        <w:spacing w:after="0" w:line="259" w:lineRule="auto"/>
        <w:rPr>
          <w:rFonts w:eastAsia="Times New Roman" w:cs="Times New Roman"/>
          <w:b/>
          <w:sz w:val="28"/>
          <w:szCs w:val="28"/>
        </w:rPr>
      </w:pPr>
    </w:p>
    <w:p w14:paraId="15557310" w14:textId="77777777" w:rsidR="0044257B" w:rsidRPr="0044257B" w:rsidRDefault="0044257B" w:rsidP="0044257B">
      <w:pPr>
        <w:spacing w:after="0" w:line="259" w:lineRule="auto"/>
        <w:rPr>
          <w:rFonts w:eastAsia="Times New Roman" w:cs="Times New Roman"/>
          <w:b/>
          <w:sz w:val="28"/>
          <w:szCs w:val="28"/>
        </w:rPr>
      </w:pPr>
    </w:p>
    <w:p w14:paraId="0A2BEEE7" w14:textId="77777777" w:rsidR="0044257B" w:rsidRPr="0044257B" w:rsidRDefault="0044257B" w:rsidP="00A95EA4">
      <w:pPr>
        <w:pStyle w:val="ChapterTitles"/>
      </w:pPr>
      <w:bookmarkStart w:id="586" w:name="_Toc100241946"/>
      <w:bookmarkStart w:id="587" w:name="_Toc102586311"/>
      <w:r w:rsidRPr="0044257B">
        <w:t>Appendix II. Spectra Relevant to Chapter 4</w:t>
      </w:r>
      <w:bookmarkEnd w:id="586"/>
      <w:bookmarkEnd w:id="587"/>
    </w:p>
    <w:p w14:paraId="5278CF56" w14:textId="77777777" w:rsidR="0044257B" w:rsidRPr="0044257B" w:rsidRDefault="0044257B" w:rsidP="0044257B">
      <w:pPr>
        <w:jc w:val="left"/>
      </w:pPr>
    </w:p>
    <w:p w14:paraId="7FB6F1A7" w14:textId="77777777" w:rsidR="0044257B" w:rsidRPr="0044257B" w:rsidRDefault="0044257B" w:rsidP="0044257B">
      <w:pPr>
        <w:spacing w:line="259" w:lineRule="auto"/>
        <w:jc w:val="left"/>
      </w:pPr>
      <w:r w:rsidRPr="0044257B">
        <w:br w:type="page"/>
      </w:r>
    </w:p>
    <w:bookmarkEnd w:id="464"/>
    <w:p w14:paraId="15F55487" w14:textId="2C4DF374" w:rsidR="002B55A9" w:rsidRPr="0044257B" w:rsidRDefault="0044257B" w:rsidP="0044257B">
      <w:pPr>
        <w:jc w:val="left"/>
      </w:pPr>
      <w:r w:rsidRPr="0044257B">
        <w:rPr>
          <w:noProof/>
        </w:rPr>
        <w:lastRenderedPageBreak/>
        <w:drawing>
          <wp:inline distT="0" distB="0" distL="0" distR="0" wp14:anchorId="0DB800D9" wp14:editId="67054412">
            <wp:extent cx="5504688" cy="3840480"/>
            <wp:effectExtent l="0" t="0" r="1270" b="7620"/>
            <wp:docPr id="298" name="Picture 2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429" cstate="print">
                      <a:extLst>
                        <a:ext uri="{28A0092B-C50C-407E-A947-70E740481C1C}">
                          <a14:useLocalDpi xmlns:a14="http://schemas.microsoft.com/office/drawing/2010/main" val="0"/>
                        </a:ext>
                      </a:extLst>
                    </a:blip>
                    <a:stretch>
                      <a:fillRect/>
                    </a:stretch>
                  </pic:blipFill>
                  <pic:spPr>
                    <a:xfrm>
                      <a:off x="0" y="0"/>
                      <a:ext cx="5504688" cy="3840480"/>
                    </a:xfrm>
                    <a:prstGeom prst="rect">
                      <a:avLst/>
                    </a:prstGeom>
                  </pic:spPr>
                </pic:pic>
              </a:graphicData>
            </a:graphic>
          </wp:inline>
        </w:drawing>
      </w:r>
      <w:r w:rsidRPr="0044257B">
        <w:rPr>
          <w:noProof/>
        </w:rPr>
        <w:drawing>
          <wp:inline distT="0" distB="0" distL="0" distR="0" wp14:anchorId="50114C11" wp14:editId="42A006BC">
            <wp:extent cx="5504688" cy="3840480"/>
            <wp:effectExtent l="0" t="0" r="1270" b="7620"/>
            <wp:docPr id="299" name="Picture 29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pic:nvPicPr>
                  <pic:blipFill>
                    <a:blip r:embed="rId430" cstate="print">
                      <a:extLst>
                        <a:ext uri="{28A0092B-C50C-407E-A947-70E740481C1C}">
                          <a14:useLocalDpi xmlns:a14="http://schemas.microsoft.com/office/drawing/2010/main" val="0"/>
                        </a:ext>
                      </a:extLst>
                    </a:blip>
                    <a:stretch>
                      <a:fillRect/>
                    </a:stretch>
                  </pic:blipFill>
                  <pic:spPr>
                    <a:xfrm>
                      <a:off x="0" y="0"/>
                      <a:ext cx="5504688" cy="3840480"/>
                    </a:xfrm>
                    <a:prstGeom prst="rect">
                      <a:avLst/>
                    </a:prstGeom>
                  </pic:spPr>
                </pic:pic>
              </a:graphicData>
            </a:graphic>
          </wp:inline>
        </w:drawing>
      </w:r>
      <w:r w:rsidRPr="0044257B">
        <w:rPr>
          <w:noProof/>
        </w:rPr>
        <w:lastRenderedPageBreak/>
        <w:drawing>
          <wp:inline distT="0" distB="0" distL="0" distR="0" wp14:anchorId="102F3CFB" wp14:editId="7F43251F">
            <wp:extent cx="5504688" cy="3840480"/>
            <wp:effectExtent l="0" t="0" r="1270" b="7620"/>
            <wp:docPr id="300" name="Picture 30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schematic&#10;&#10;Description automatically generated"/>
                    <pic:cNvPicPr/>
                  </pic:nvPicPr>
                  <pic:blipFill>
                    <a:blip r:embed="rId431" cstate="print">
                      <a:extLst>
                        <a:ext uri="{28A0092B-C50C-407E-A947-70E740481C1C}">
                          <a14:useLocalDpi xmlns:a14="http://schemas.microsoft.com/office/drawing/2010/main" val="0"/>
                        </a:ext>
                      </a:extLst>
                    </a:blip>
                    <a:stretch>
                      <a:fillRect/>
                    </a:stretch>
                  </pic:blipFill>
                  <pic:spPr>
                    <a:xfrm>
                      <a:off x="0" y="0"/>
                      <a:ext cx="5504688" cy="3840480"/>
                    </a:xfrm>
                    <a:prstGeom prst="rect">
                      <a:avLst/>
                    </a:prstGeom>
                  </pic:spPr>
                </pic:pic>
              </a:graphicData>
            </a:graphic>
          </wp:inline>
        </w:drawing>
      </w:r>
      <w:r w:rsidRPr="0044257B">
        <w:rPr>
          <w:noProof/>
        </w:rPr>
        <w:drawing>
          <wp:inline distT="0" distB="0" distL="0" distR="0" wp14:anchorId="4DF42274" wp14:editId="29DA9049">
            <wp:extent cx="5504688" cy="3840480"/>
            <wp:effectExtent l="0" t="0" r="1270" b="7620"/>
            <wp:docPr id="301" name="Picture 30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432" cstate="print">
                      <a:extLst>
                        <a:ext uri="{28A0092B-C50C-407E-A947-70E740481C1C}">
                          <a14:useLocalDpi xmlns:a14="http://schemas.microsoft.com/office/drawing/2010/main" val="0"/>
                        </a:ext>
                      </a:extLst>
                    </a:blip>
                    <a:stretch>
                      <a:fillRect/>
                    </a:stretch>
                  </pic:blipFill>
                  <pic:spPr>
                    <a:xfrm>
                      <a:off x="0" y="0"/>
                      <a:ext cx="5504688" cy="3840480"/>
                    </a:xfrm>
                    <a:prstGeom prst="rect">
                      <a:avLst/>
                    </a:prstGeom>
                  </pic:spPr>
                </pic:pic>
              </a:graphicData>
            </a:graphic>
          </wp:inline>
        </w:drawing>
      </w:r>
      <w:r w:rsidRPr="0044257B">
        <w:rPr>
          <w:noProof/>
        </w:rPr>
        <w:lastRenderedPageBreak/>
        <w:drawing>
          <wp:inline distT="0" distB="0" distL="0" distR="0" wp14:anchorId="40DE19AF" wp14:editId="238C2E42">
            <wp:extent cx="5504688" cy="3840480"/>
            <wp:effectExtent l="0" t="0" r="1270" b="7620"/>
            <wp:docPr id="302" name="Picture 30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433" cstate="print">
                      <a:extLst>
                        <a:ext uri="{28A0092B-C50C-407E-A947-70E740481C1C}">
                          <a14:useLocalDpi xmlns:a14="http://schemas.microsoft.com/office/drawing/2010/main" val="0"/>
                        </a:ext>
                      </a:extLst>
                    </a:blip>
                    <a:stretch>
                      <a:fillRect/>
                    </a:stretch>
                  </pic:blipFill>
                  <pic:spPr>
                    <a:xfrm>
                      <a:off x="0" y="0"/>
                      <a:ext cx="5504688" cy="3840480"/>
                    </a:xfrm>
                    <a:prstGeom prst="rect">
                      <a:avLst/>
                    </a:prstGeom>
                  </pic:spPr>
                </pic:pic>
              </a:graphicData>
            </a:graphic>
          </wp:inline>
        </w:drawing>
      </w:r>
      <w:r w:rsidRPr="0044257B">
        <w:rPr>
          <w:noProof/>
        </w:rPr>
        <w:drawing>
          <wp:inline distT="0" distB="0" distL="0" distR="0" wp14:anchorId="53D77217" wp14:editId="0B40CD93">
            <wp:extent cx="5504688" cy="3840480"/>
            <wp:effectExtent l="0" t="0" r="1270" b="7620"/>
            <wp:docPr id="303" name="Picture 303"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with low confidence"/>
                    <pic:cNvPicPr/>
                  </pic:nvPicPr>
                  <pic:blipFill>
                    <a:blip r:embed="rId434" cstate="print">
                      <a:extLst>
                        <a:ext uri="{28A0092B-C50C-407E-A947-70E740481C1C}">
                          <a14:useLocalDpi xmlns:a14="http://schemas.microsoft.com/office/drawing/2010/main" val="0"/>
                        </a:ext>
                      </a:extLst>
                    </a:blip>
                    <a:stretch>
                      <a:fillRect/>
                    </a:stretch>
                  </pic:blipFill>
                  <pic:spPr>
                    <a:xfrm>
                      <a:off x="0" y="0"/>
                      <a:ext cx="5504688" cy="3840480"/>
                    </a:xfrm>
                    <a:prstGeom prst="rect">
                      <a:avLst/>
                    </a:prstGeom>
                  </pic:spPr>
                </pic:pic>
              </a:graphicData>
            </a:graphic>
          </wp:inline>
        </w:drawing>
      </w:r>
      <w:r w:rsidRPr="0044257B">
        <w:rPr>
          <w:noProof/>
        </w:rPr>
        <w:lastRenderedPageBreak/>
        <w:drawing>
          <wp:inline distT="0" distB="0" distL="0" distR="0" wp14:anchorId="501B457C" wp14:editId="41459205">
            <wp:extent cx="5504688" cy="3840480"/>
            <wp:effectExtent l="0" t="0" r="1270" b="7620"/>
            <wp:docPr id="304" name="Picture 30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schematic&#10;&#10;Description automatically generated"/>
                    <pic:cNvPicPr/>
                  </pic:nvPicPr>
                  <pic:blipFill>
                    <a:blip r:embed="rId435" cstate="print">
                      <a:extLst>
                        <a:ext uri="{28A0092B-C50C-407E-A947-70E740481C1C}">
                          <a14:useLocalDpi xmlns:a14="http://schemas.microsoft.com/office/drawing/2010/main" val="0"/>
                        </a:ext>
                      </a:extLst>
                    </a:blip>
                    <a:stretch>
                      <a:fillRect/>
                    </a:stretch>
                  </pic:blipFill>
                  <pic:spPr>
                    <a:xfrm>
                      <a:off x="0" y="0"/>
                      <a:ext cx="5504688" cy="3840480"/>
                    </a:xfrm>
                    <a:prstGeom prst="rect">
                      <a:avLst/>
                    </a:prstGeom>
                  </pic:spPr>
                </pic:pic>
              </a:graphicData>
            </a:graphic>
          </wp:inline>
        </w:drawing>
      </w:r>
      <w:r w:rsidRPr="0044257B">
        <w:rPr>
          <w:noProof/>
        </w:rPr>
        <w:drawing>
          <wp:inline distT="0" distB="0" distL="0" distR="0" wp14:anchorId="24FF99D8" wp14:editId="7CBDA6A4">
            <wp:extent cx="5495544" cy="3831336"/>
            <wp:effectExtent l="0" t="0" r="0" b="0"/>
            <wp:docPr id="305" name="Picture 30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with low confidence"/>
                    <pic:cNvPicPr/>
                  </pic:nvPicPr>
                  <pic:blipFill>
                    <a:blip r:embed="rId436" cstate="print">
                      <a:extLst>
                        <a:ext uri="{28A0092B-C50C-407E-A947-70E740481C1C}">
                          <a14:useLocalDpi xmlns:a14="http://schemas.microsoft.com/office/drawing/2010/main" val="0"/>
                        </a:ext>
                      </a:extLst>
                    </a:blip>
                    <a:stretch>
                      <a:fillRect/>
                    </a:stretch>
                  </pic:blipFill>
                  <pic:spPr>
                    <a:xfrm>
                      <a:off x="0" y="0"/>
                      <a:ext cx="5495544" cy="3831336"/>
                    </a:xfrm>
                    <a:prstGeom prst="rect">
                      <a:avLst/>
                    </a:prstGeom>
                  </pic:spPr>
                </pic:pic>
              </a:graphicData>
            </a:graphic>
          </wp:inline>
        </w:drawing>
      </w:r>
      <w:r w:rsidRPr="0044257B">
        <w:rPr>
          <w:noProof/>
        </w:rPr>
        <w:lastRenderedPageBreak/>
        <w:drawing>
          <wp:inline distT="0" distB="0" distL="0" distR="0" wp14:anchorId="12AEE41B" wp14:editId="5A71A378">
            <wp:extent cx="5504688" cy="3840480"/>
            <wp:effectExtent l="0" t="0" r="1270" b="7620"/>
            <wp:docPr id="306" name="Picture 30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437" cstate="print">
                      <a:extLst>
                        <a:ext uri="{28A0092B-C50C-407E-A947-70E740481C1C}">
                          <a14:useLocalDpi xmlns:a14="http://schemas.microsoft.com/office/drawing/2010/main" val="0"/>
                        </a:ext>
                      </a:extLst>
                    </a:blip>
                    <a:stretch>
                      <a:fillRect/>
                    </a:stretch>
                  </pic:blipFill>
                  <pic:spPr>
                    <a:xfrm>
                      <a:off x="0" y="0"/>
                      <a:ext cx="5504688" cy="3840480"/>
                    </a:xfrm>
                    <a:prstGeom prst="rect">
                      <a:avLst/>
                    </a:prstGeom>
                  </pic:spPr>
                </pic:pic>
              </a:graphicData>
            </a:graphic>
          </wp:inline>
        </w:drawing>
      </w:r>
      <w:r w:rsidRPr="0044257B">
        <w:rPr>
          <w:noProof/>
        </w:rPr>
        <w:drawing>
          <wp:inline distT="0" distB="0" distL="0" distR="0" wp14:anchorId="54990D42" wp14:editId="0E9E6E94">
            <wp:extent cx="5504688" cy="3840480"/>
            <wp:effectExtent l="0" t="0" r="1270" b="7620"/>
            <wp:docPr id="307" name="Picture 30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a:blip r:embed="rId438" cstate="print">
                      <a:extLst>
                        <a:ext uri="{28A0092B-C50C-407E-A947-70E740481C1C}">
                          <a14:useLocalDpi xmlns:a14="http://schemas.microsoft.com/office/drawing/2010/main" val="0"/>
                        </a:ext>
                      </a:extLst>
                    </a:blip>
                    <a:stretch>
                      <a:fillRect/>
                    </a:stretch>
                  </pic:blipFill>
                  <pic:spPr>
                    <a:xfrm>
                      <a:off x="0" y="0"/>
                      <a:ext cx="5504688" cy="3840480"/>
                    </a:xfrm>
                    <a:prstGeom prst="rect">
                      <a:avLst/>
                    </a:prstGeom>
                  </pic:spPr>
                </pic:pic>
              </a:graphicData>
            </a:graphic>
          </wp:inline>
        </w:drawing>
      </w:r>
      <w:r w:rsidRPr="0044257B">
        <w:rPr>
          <w:noProof/>
        </w:rPr>
        <w:lastRenderedPageBreak/>
        <w:drawing>
          <wp:inline distT="0" distB="0" distL="0" distR="0" wp14:anchorId="6F04CFD2" wp14:editId="26A5A400">
            <wp:extent cx="5504688" cy="3822192"/>
            <wp:effectExtent l="0" t="0" r="1270" b="6985"/>
            <wp:docPr id="308" name="Picture 30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with medium confidence"/>
                    <pic:cNvPicPr/>
                  </pic:nvPicPr>
                  <pic:blipFill>
                    <a:blip r:embed="rId439" cstate="print">
                      <a:extLst>
                        <a:ext uri="{28A0092B-C50C-407E-A947-70E740481C1C}">
                          <a14:useLocalDpi xmlns:a14="http://schemas.microsoft.com/office/drawing/2010/main" val="0"/>
                        </a:ext>
                      </a:extLst>
                    </a:blip>
                    <a:stretch>
                      <a:fillRect/>
                    </a:stretch>
                  </pic:blipFill>
                  <pic:spPr>
                    <a:xfrm>
                      <a:off x="0" y="0"/>
                      <a:ext cx="5504688" cy="3822192"/>
                    </a:xfrm>
                    <a:prstGeom prst="rect">
                      <a:avLst/>
                    </a:prstGeom>
                  </pic:spPr>
                </pic:pic>
              </a:graphicData>
            </a:graphic>
          </wp:inline>
        </w:drawing>
      </w:r>
      <w:r w:rsidRPr="0044257B">
        <w:rPr>
          <w:noProof/>
        </w:rPr>
        <w:drawing>
          <wp:inline distT="0" distB="0" distL="0" distR="0" wp14:anchorId="3B915F74" wp14:editId="5307BB9B">
            <wp:extent cx="5504688" cy="3822192"/>
            <wp:effectExtent l="0" t="0" r="1270" b="6985"/>
            <wp:docPr id="309" name="Picture 30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with medium confidence"/>
                    <pic:cNvPicPr/>
                  </pic:nvPicPr>
                  <pic:blipFill>
                    <a:blip r:embed="rId440" cstate="print">
                      <a:extLst>
                        <a:ext uri="{28A0092B-C50C-407E-A947-70E740481C1C}">
                          <a14:useLocalDpi xmlns:a14="http://schemas.microsoft.com/office/drawing/2010/main" val="0"/>
                        </a:ext>
                      </a:extLst>
                    </a:blip>
                    <a:stretch>
                      <a:fillRect/>
                    </a:stretch>
                  </pic:blipFill>
                  <pic:spPr>
                    <a:xfrm>
                      <a:off x="0" y="0"/>
                      <a:ext cx="5504688" cy="3822192"/>
                    </a:xfrm>
                    <a:prstGeom prst="rect">
                      <a:avLst/>
                    </a:prstGeom>
                  </pic:spPr>
                </pic:pic>
              </a:graphicData>
            </a:graphic>
          </wp:inline>
        </w:drawing>
      </w:r>
      <w:r w:rsidRPr="0044257B">
        <w:rPr>
          <w:noProof/>
        </w:rPr>
        <w:lastRenderedPageBreak/>
        <w:drawing>
          <wp:inline distT="0" distB="0" distL="0" distR="0" wp14:anchorId="6AB51AAC" wp14:editId="40CD31DE">
            <wp:extent cx="5504688" cy="3822192"/>
            <wp:effectExtent l="0" t="0" r="1270" b="6985"/>
            <wp:docPr id="310" name="Picture 3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441" cstate="print">
                      <a:extLst>
                        <a:ext uri="{28A0092B-C50C-407E-A947-70E740481C1C}">
                          <a14:useLocalDpi xmlns:a14="http://schemas.microsoft.com/office/drawing/2010/main" val="0"/>
                        </a:ext>
                      </a:extLst>
                    </a:blip>
                    <a:stretch>
                      <a:fillRect/>
                    </a:stretch>
                  </pic:blipFill>
                  <pic:spPr>
                    <a:xfrm>
                      <a:off x="0" y="0"/>
                      <a:ext cx="5504688" cy="3822192"/>
                    </a:xfrm>
                    <a:prstGeom prst="rect">
                      <a:avLst/>
                    </a:prstGeom>
                  </pic:spPr>
                </pic:pic>
              </a:graphicData>
            </a:graphic>
          </wp:inline>
        </w:drawing>
      </w:r>
      <w:r w:rsidRPr="0044257B">
        <w:rPr>
          <w:noProof/>
        </w:rPr>
        <w:drawing>
          <wp:inline distT="0" distB="0" distL="0" distR="0" wp14:anchorId="1AFEF561" wp14:editId="42185B03">
            <wp:extent cx="5504688" cy="3822192"/>
            <wp:effectExtent l="0" t="0" r="1270" b="6985"/>
            <wp:docPr id="311" name="Picture 3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442" cstate="print">
                      <a:extLst>
                        <a:ext uri="{28A0092B-C50C-407E-A947-70E740481C1C}">
                          <a14:useLocalDpi xmlns:a14="http://schemas.microsoft.com/office/drawing/2010/main" val="0"/>
                        </a:ext>
                      </a:extLst>
                    </a:blip>
                    <a:stretch>
                      <a:fillRect/>
                    </a:stretch>
                  </pic:blipFill>
                  <pic:spPr>
                    <a:xfrm>
                      <a:off x="0" y="0"/>
                      <a:ext cx="5504688" cy="3822192"/>
                    </a:xfrm>
                    <a:prstGeom prst="rect">
                      <a:avLst/>
                    </a:prstGeom>
                  </pic:spPr>
                </pic:pic>
              </a:graphicData>
            </a:graphic>
          </wp:inline>
        </w:drawing>
      </w:r>
      <w:r w:rsidRPr="0044257B">
        <w:rPr>
          <w:noProof/>
        </w:rPr>
        <w:lastRenderedPageBreak/>
        <w:drawing>
          <wp:inline distT="0" distB="0" distL="0" distR="0" wp14:anchorId="3B685496" wp14:editId="2C81D7CF">
            <wp:extent cx="5504688" cy="3822192"/>
            <wp:effectExtent l="0" t="0" r="1270" b="6985"/>
            <wp:docPr id="312" name="Picture 312"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diagram&#10;&#10;Description automatically generated"/>
                    <pic:cNvPicPr/>
                  </pic:nvPicPr>
                  <pic:blipFill>
                    <a:blip r:embed="rId443" cstate="print">
                      <a:extLst>
                        <a:ext uri="{28A0092B-C50C-407E-A947-70E740481C1C}">
                          <a14:useLocalDpi xmlns:a14="http://schemas.microsoft.com/office/drawing/2010/main" val="0"/>
                        </a:ext>
                      </a:extLst>
                    </a:blip>
                    <a:stretch>
                      <a:fillRect/>
                    </a:stretch>
                  </pic:blipFill>
                  <pic:spPr>
                    <a:xfrm>
                      <a:off x="0" y="0"/>
                      <a:ext cx="5504688" cy="3822192"/>
                    </a:xfrm>
                    <a:prstGeom prst="rect">
                      <a:avLst/>
                    </a:prstGeom>
                  </pic:spPr>
                </pic:pic>
              </a:graphicData>
            </a:graphic>
          </wp:inline>
        </w:drawing>
      </w:r>
      <w:r w:rsidRPr="0044257B">
        <w:rPr>
          <w:noProof/>
        </w:rPr>
        <w:drawing>
          <wp:inline distT="0" distB="0" distL="0" distR="0" wp14:anchorId="0C40E776" wp14:editId="30FC4361">
            <wp:extent cx="5504688" cy="3813048"/>
            <wp:effectExtent l="0" t="0" r="1270" b="0"/>
            <wp:docPr id="313" name="Picture 3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444" cstate="print">
                      <a:extLst>
                        <a:ext uri="{28A0092B-C50C-407E-A947-70E740481C1C}">
                          <a14:useLocalDpi xmlns:a14="http://schemas.microsoft.com/office/drawing/2010/main" val="0"/>
                        </a:ext>
                      </a:extLst>
                    </a:blip>
                    <a:stretch>
                      <a:fillRect/>
                    </a:stretch>
                  </pic:blipFill>
                  <pic:spPr>
                    <a:xfrm>
                      <a:off x="0" y="0"/>
                      <a:ext cx="5504688" cy="3813048"/>
                    </a:xfrm>
                    <a:prstGeom prst="rect">
                      <a:avLst/>
                    </a:prstGeom>
                  </pic:spPr>
                </pic:pic>
              </a:graphicData>
            </a:graphic>
          </wp:inline>
        </w:drawing>
      </w:r>
      <w:r w:rsidRPr="0044257B">
        <w:rPr>
          <w:noProof/>
        </w:rPr>
        <w:lastRenderedPageBreak/>
        <w:drawing>
          <wp:inline distT="0" distB="0" distL="0" distR="0" wp14:anchorId="58B1ABD7" wp14:editId="331A3B83">
            <wp:extent cx="5504688" cy="3822192"/>
            <wp:effectExtent l="0" t="0" r="1270" b="6985"/>
            <wp:docPr id="314" name="Picture 314"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histogram&#10;&#10;Description automatically generated"/>
                    <pic:cNvPicPr/>
                  </pic:nvPicPr>
                  <pic:blipFill>
                    <a:blip r:embed="rId445" cstate="print">
                      <a:extLst>
                        <a:ext uri="{28A0092B-C50C-407E-A947-70E740481C1C}">
                          <a14:useLocalDpi xmlns:a14="http://schemas.microsoft.com/office/drawing/2010/main" val="0"/>
                        </a:ext>
                      </a:extLst>
                    </a:blip>
                    <a:stretch>
                      <a:fillRect/>
                    </a:stretch>
                  </pic:blipFill>
                  <pic:spPr>
                    <a:xfrm>
                      <a:off x="0" y="0"/>
                      <a:ext cx="5504688" cy="3822192"/>
                    </a:xfrm>
                    <a:prstGeom prst="rect">
                      <a:avLst/>
                    </a:prstGeom>
                  </pic:spPr>
                </pic:pic>
              </a:graphicData>
            </a:graphic>
          </wp:inline>
        </w:drawing>
      </w:r>
      <w:r w:rsidRPr="0044257B">
        <w:rPr>
          <w:noProof/>
        </w:rPr>
        <w:drawing>
          <wp:inline distT="0" distB="0" distL="0" distR="0" wp14:anchorId="1069D35B" wp14:editId="46DDF777">
            <wp:extent cx="5504688" cy="3822192"/>
            <wp:effectExtent l="0" t="0" r="1270" b="6985"/>
            <wp:docPr id="315" name="Picture 3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pic:cNvPicPr/>
                  </pic:nvPicPr>
                  <pic:blipFill>
                    <a:blip r:embed="rId446" cstate="print">
                      <a:extLst>
                        <a:ext uri="{28A0092B-C50C-407E-A947-70E740481C1C}">
                          <a14:useLocalDpi xmlns:a14="http://schemas.microsoft.com/office/drawing/2010/main" val="0"/>
                        </a:ext>
                      </a:extLst>
                    </a:blip>
                    <a:stretch>
                      <a:fillRect/>
                    </a:stretch>
                  </pic:blipFill>
                  <pic:spPr>
                    <a:xfrm>
                      <a:off x="0" y="0"/>
                      <a:ext cx="5504688" cy="3822192"/>
                    </a:xfrm>
                    <a:prstGeom prst="rect">
                      <a:avLst/>
                    </a:prstGeom>
                  </pic:spPr>
                </pic:pic>
              </a:graphicData>
            </a:graphic>
          </wp:inline>
        </w:drawing>
      </w:r>
    </w:p>
    <w:sectPr w:rsidR="002B55A9" w:rsidRPr="0044257B" w:rsidSect="00183BAD">
      <w:footerReference w:type="default" r:id="rId44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D6148" w14:textId="77777777" w:rsidR="002C1A5C" w:rsidRDefault="002C1A5C" w:rsidP="00AF0AFF">
      <w:pPr>
        <w:spacing w:after="0" w:line="240" w:lineRule="auto"/>
      </w:pPr>
      <w:r>
        <w:separator/>
      </w:r>
    </w:p>
  </w:endnote>
  <w:endnote w:type="continuationSeparator" w:id="0">
    <w:p w14:paraId="21DC4C95" w14:textId="77777777" w:rsidR="002C1A5C" w:rsidRDefault="002C1A5C" w:rsidP="00AF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 w:name="CharisSIL">
    <w:altName w:val="Microsoft YaHei"/>
    <w:panose1 w:val="00000000000000000000"/>
    <w:charset w:val="86"/>
    <w:family w:val="swiss"/>
    <w:notTrueType/>
    <w:pitch w:val="default"/>
    <w:sig w:usb0="00000001" w:usb1="080E0000" w:usb2="0000001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992319"/>
      <w:docPartObj>
        <w:docPartGallery w:val="Page Numbers (Bottom of Page)"/>
        <w:docPartUnique/>
      </w:docPartObj>
    </w:sdtPr>
    <w:sdtEndPr>
      <w:rPr>
        <w:noProof/>
      </w:rPr>
    </w:sdtEndPr>
    <w:sdtContent>
      <w:p w14:paraId="661CB306" w14:textId="22775C98" w:rsidR="00053C56" w:rsidRPr="00053C56" w:rsidRDefault="00053C56">
        <w:pPr>
          <w:pStyle w:val="Footer"/>
          <w:jc w:val="right"/>
        </w:pPr>
        <w:r w:rsidRPr="00053C56">
          <w:fldChar w:fldCharType="begin"/>
        </w:r>
        <w:r w:rsidRPr="00053C56">
          <w:instrText xml:space="preserve"> PAGE   \* MERGEFORMAT </w:instrText>
        </w:r>
        <w:r w:rsidRPr="00053C56">
          <w:fldChar w:fldCharType="separate"/>
        </w:r>
        <w:r w:rsidRPr="00053C56">
          <w:rPr>
            <w:noProof/>
          </w:rPr>
          <w:t>2</w:t>
        </w:r>
        <w:r w:rsidRPr="00053C56">
          <w:rPr>
            <w:noProof/>
          </w:rPr>
          <w:fldChar w:fldCharType="end"/>
        </w:r>
      </w:p>
    </w:sdtContent>
  </w:sdt>
  <w:p w14:paraId="314FD6C5" w14:textId="10A77FA4" w:rsidR="00AF0AFF" w:rsidRDefault="00AF0AFF" w:rsidP="00E70DF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199402"/>
      <w:docPartObj>
        <w:docPartGallery w:val="Page Numbers (Bottom of Page)"/>
        <w:docPartUnique/>
      </w:docPartObj>
    </w:sdtPr>
    <w:sdtEndPr>
      <w:rPr>
        <w:noProof/>
      </w:rPr>
    </w:sdtEndPr>
    <w:sdtContent>
      <w:p w14:paraId="7325ECAD" w14:textId="77777777" w:rsidR="004C2573" w:rsidRPr="00053C56" w:rsidRDefault="004C2573">
        <w:pPr>
          <w:pStyle w:val="Footer"/>
          <w:jc w:val="right"/>
        </w:pPr>
        <w:r w:rsidRPr="00053C56">
          <w:fldChar w:fldCharType="begin"/>
        </w:r>
        <w:r w:rsidRPr="00053C56">
          <w:instrText xml:space="preserve"> PAGE   \* MERGEFORMAT </w:instrText>
        </w:r>
        <w:r w:rsidRPr="00053C56">
          <w:fldChar w:fldCharType="separate"/>
        </w:r>
        <w:r w:rsidRPr="00053C56">
          <w:rPr>
            <w:noProof/>
          </w:rPr>
          <w:t>2</w:t>
        </w:r>
        <w:r w:rsidRPr="00053C56">
          <w:rPr>
            <w:noProof/>
          </w:rPr>
          <w:fldChar w:fldCharType="end"/>
        </w:r>
      </w:p>
    </w:sdtContent>
  </w:sdt>
  <w:p w14:paraId="10F5A36F" w14:textId="77777777" w:rsidR="004C2573" w:rsidRDefault="004C2573" w:rsidP="00E70DF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2464344"/>
      <w:docPartObj>
        <w:docPartGallery w:val="Page Numbers (Bottom of Page)"/>
        <w:docPartUnique/>
      </w:docPartObj>
    </w:sdtPr>
    <w:sdtEndPr>
      <w:rPr>
        <w:noProof/>
      </w:rPr>
    </w:sdtEndPr>
    <w:sdtContent>
      <w:p w14:paraId="0F9D409C" w14:textId="77777777" w:rsidR="003E3CA9" w:rsidRPr="00053C56" w:rsidRDefault="003E3CA9">
        <w:pPr>
          <w:pStyle w:val="Footer"/>
          <w:jc w:val="right"/>
        </w:pPr>
        <w:r w:rsidRPr="00053C56">
          <w:fldChar w:fldCharType="begin"/>
        </w:r>
        <w:r w:rsidRPr="00053C56">
          <w:instrText xml:space="preserve"> PAGE   \* MERGEFORMAT </w:instrText>
        </w:r>
        <w:r w:rsidRPr="00053C56">
          <w:fldChar w:fldCharType="separate"/>
        </w:r>
        <w:r w:rsidRPr="00053C56">
          <w:rPr>
            <w:noProof/>
          </w:rPr>
          <w:t>2</w:t>
        </w:r>
        <w:r w:rsidRPr="00053C56">
          <w:rPr>
            <w:noProof/>
          </w:rPr>
          <w:fldChar w:fldCharType="end"/>
        </w:r>
      </w:p>
    </w:sdtContent>
  </w:sdt>
  <w:p w14:paraId="1EC45772" w14:textId="77777777" w:rsidR="003E3CA9" w:rsidRDefault="003E3CA9" w:rsidP="00E70DF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429256"/>
      <w:docPartObj>
        <w:docPartGallery w:val="Page Numbers (Bottom of Page)"/>
        <w:docPartUnique/>
      </w:docPartObj>
    </w:sdtPr>
    <w:sdtEndPr>
      <w:rPr>
        <w:noProof/>
      </w:rPr>
    </w:sdtEndPr>
    <w:sdtContent>
      <w:p w14:paraId="5DD0B818" w14:textId="77777777" w:rsidR="00183BAD" w:rsidRPr="00053C56" w:rsidRDefault="00183BAD">
        <w:pPr>
          <w:pStyle w:val="Footer"/>
          <w:jc w:val="right"/>
        </w:pPr>
        <w:r w:rsidRPr="00053C56">
          <w:fldChar w:fldCharType="begin"/>
        </w:r>
        <w:r w:rsidRPr="00053C56">
          <w:instrText xml:space="preserve"> PAGE   \* MERGEFORMAT </w:instrText>
        </w:r>
        <w:r w:rsidRPr="00053C56">
          <w:fldChar w:fldCharType="separate"/>
        </w:r>
        <w:r w:rsidRPr="00053C56">
          <w:rPr>
            <w:noProof/>
          </w:rPr>
          <w:t>2</w:t>
        </w:r>
        <w:r w:rsidRPr="00053C56">
          <w:rPr>
            <w:noProof/>
          </w:rPr>
          <w:fldChar w:fldCharType="end"/>
        </w:r>
      </w:p>
    </w:sdtContent>
  </w:sdt>
  <w:p w14:paraId="2B336156" w14:textId="77777777" w:rsidR="00183BAD" w:rsidRDefault="00183BAD" w:rsidP="00E70D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AF557" w14:textId="77777777" w:rsidR="002C1A5C" w:rsidRDefault="002C1A5C" w:rsidP="00AF0AFF">
      <w:pPr>
        <w:spacing w:after="0" w:line="240" w:lineRule="auto"/>
      </w:pPr>
      <w:r>
        <w:separator/>
      </w:r>
    </w:p>
  </w:footnote>
  <w:footnote w:type="continuationSeparator" w:id="0">
    <w:p w14:paraId="1C1FC496" w14:textId="77777777" w:rsidR="002C1A5C" w:rsidRDefault="002C1A5C" w:rsidP="00AF0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F4A4B8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BBE0C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09E0B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68819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89EDC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36D3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BB460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94AC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8D4BC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FE8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A80763"/>
    <w:multiLevelType w:val="multilevel"/>
    <w:tmpl w:val="304C208C"/>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673953"/>
    <w:multiLevelType w:val="hybridMultilevel"/>
    <w:tmpl w:val="BC92B19C"/>
    <w:lvl w:ilvl="0" w:tplc="9140D15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C1B50"/>
    <w:multiLevelType w:val="hybridMultilevel"/>
    <w:tmpl w:val="D320007C"/>
    <w:lvl w:ilvl="0" w:tplc="623ABC14">
      <w:start w:val="3"/>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69A14FA"/>
    <w:multiLevelType w:val="hybridMultilevel"/>
    <w:tmpl w:val="507E4B8C"/>
    <w:lvl w:ilvl="0" w:tplc="31BC84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E255C1"/>
    <w:multiLevelType w:val="hybridMultilevel"/>
    <w:tmpl w:val="642ED42C"/>
    <w:lvl w:ilvl="0" w:tplc="04090001">
      <w:start w:val="1"/>
      <w:numFmt w:val="bullet"/>
      <w:lvlText w:val=""/>
      <w:lvlJc w:val="left"/>
      <w:pPr>
        <w:ind w:left="2207" w:hanging="360"/>
      </w:pPr>
      <w:rPr>
        <w:rFonts w:ascii="Symbol" w:hAnsi="Symbol" w:hint="default"/>
      </w:rPr>
    </w:lvl>
    <w:lvl w:ilvl="1" w:tplc="04090003" w:tentative="1">
      <w:start w:val="1"/>
      <w:numFmt w:val="bullet"/>
      <w:lvlText w:val="o"/>
      <w:lvlJc w:val="left"/>
      <w:pPr>
        <w:ind w:left="2927" w:hanging="360"/>
      </w:pPr>
      <w:rPr>
        <w:rFonts w:ascii="Courier New" w:hAnsi="Courier New" w:cs="Courier New" w:hint="default"/>
      </w:rPr>
    </w:lvl>
    <w:lvl w:ilvl="2" w:tplc="04090005" w:tentative="1">
      <w:start w:val="1"/>
      <w:numFmt w:val="bullet"/>
      <w:lvlText w:val=""/>
      <w:lvlJc w:val="left"/>
      <w:pPr>
        <w:ind w:left="3647" w:hanging="360"/>
      </w:pPr>
      <w:rPr>
        <w:rFonts w:ascii="Wingdings" w:hAnsi="Wingdings" w:hint="default"/>
      </w:rPr>
    </w:lvl>
    <w:lvl w:ilvl="3" w:tplc="04090001" w:tentative="1">
      <w:start w:val="1"/>
      <w:numFmt w:val="bullet"/>
      <w:lvlText w:val=""/>
      <w:lvlJc w:val="left"/>
      <w:pPr>
        <w:ind w:left="4367" w:hanging="360"/>
      </w:pPr>
      <w:rPr>
        <w:rFonts w:ascii="Symbol" w:hAnsi="Symbol" w:hint="default"/>
      </w:rPr>
    </w:lvl>
    <w:lvl w:ilvl="4" w:tplc="04090003" w:tentative="1">
      <w:start w:val="1"/>
      <w:numFmt w:val="bullet"/>
      <w:lvlText w:val="o"/>
      <w:lvlJc w:val="left"/>
      <w:pPr>
        <w:ind w:left="5087" w:hanging="360"/>
      </w:pPr>
      <w:rPr>
        <w:rFonts w:ascii="Courier New" w:hAnsi="Courier New" w:cs="Courier New" w:hint="default"/>
      </w:rPr>
    </w:lvl>
    <w:lvl w:ilvl="5" w:tplc="04090005" w:tentative="1">
      <w:start w:val="1"/>
      <w:numFmt w:val="bullet"/>
      <w:lvlText w:val=""/>
      <w:lvlJc w:val="left"/>
      <w:pPr>
        <w:ind w:left="5807" w:hanging="360"/>
      </w:pPr>
      <w:rPr>
        <w:rFonts w:ascii="Wingdings" w:hAnsi="Wingdings" w:hint="default"/>
      </w:rPr>
    </w:lvl>
    <w:lvl w:ilvl="6" w:tplc="04090001" w:tentative="1">
      <w:start w:val="1"/>
      <w:numFmt w:val="bullet"/>
      <w:lvlText w:val=""/>
      <w:lvlJc w:val="left"/>
      <w:pPr>
        <w:ind w:left="6527" w:hanging="360"/>
      </w:pPr>
      <w:rPr>
        <w:rFonts w:ascii="Symbol" w:hAnsi="Symbol" w:hint="default"/>
      </w:rPr>
    </w:lvl>
    <w:lvl w:ilvl="7" w:tplc="04090003" w:tentative="1">
      <w:start w:val="1"/>
      <w:numFmt w:val="bullet"/>
      <w:lvlText w:val="o"/>
      <w:lvlJc w:val="left"/>
      <w:pPr>
        <w:ind w:left="7247" w:hanging="360"/>
      </w:pPr>
      <w:rPr>
        <w:rFonts w:ascii="Courier New" w:hAnsi="Courier New" w:cs="Courier New" w:hint="default"/>
      </w:rPr>
    </w:lvl>
    <w:lvl w:ilvl="8" w:tplc="04090005" w:tentative="1">
      <w:start w:val="1"/>
      <w:numFmt w:val="bullet"/>
      <w:lvlText w:val=""/>
      <w:lvlJc w:val="left"/>
      <w:pPr>
        <w:ind w:left="7967" w:hanging="360"/>
      </w:pPr>
      <w:rPr>
        <w:rFonts w:ascii="Wingdings" w:hAnsi="Wingdings" w:hint="default"/>
      </w:rPr>
    </w:lvl>
  </w:abstractNum>
  <w:abstractNum w:abstractNumId="15" w15:restartNumberingAfterBreak="0">
    <w:nsid w:val="75261097"/>
    <w:multiLevelType w:val="hybridMultilevel"/>
    <w:tmpl w:val="1D7A3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B22067"/>
    <w:multiLevelType w:val="hybridMultilevel"/>
    <w:tmpl w:val="A5CE7646"/>
    <w:lvl w:ilvl="0" w:tplc="623ABC1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4301308">
    <w:abstractNumId w:val="10"/>
  </w:num>
  <w:num w:numId="2" w16cid:durableId="970866686">
    <w:abstractNumId w:val="13"/>
  </w:num>
  <w:num w:numId="3" w16cid:durableId="1534267079">
    <w:abstractNumId w:val="12"/>
  </w:num>
  <w:num w:numId="4" w16cid:durableId="465246095">
    <w:abstractNumId w:val="16"/>
  </w:num>
  <w:num w:numId="5" w16cid:durableId="2124031045">
    <w:abstractNumId w:val="14"/>
  </w:num>
  <w:num w:numId="6" w16cid:durableId="397286051">
    <w:abstractNumId w:val="11"/>
  </w:num>
  <w:num w:numId="7" w16cid:durableId="68692581">
    <w:abstractNumId w:val="9"/>
  </w:num>
  <w:num w:numId="8" w16cid:durableId="729615980">
    <w:abstractNumId w:val="7"/>
  </w:num>
  <w:num w:numId="9" w16cid:durableId="155415882">
    <w:abstractNumId w:val="6"/>
  </w:num>
  <w:num w:numId="10" w16cid:durableId="1614901043">
    <w:abstractNumId w:val="5"/>
  </w:num>
  <w:num w:numId="11" w16cid:durableId="1381128695">
    <w:abstractNumId w:val="4"/>
  </w:num>
  <w:num w:numId="12" w16cid:durableId="764569909">
    <w:abstractNumId w:val="8"/>
  </w:num>
  <w:num w:numId="13" w16cid:durableId="1765419403">
    <w:abstractNumId w:val="3"/>
  </w:num>
  <w:num w:numId="14" w16cid:durableId="1804809045">
    <w:abstractNumId w:val="2"/>
  </w:num>
  <w:num w:numId="15" w16cid:durableId="250436182">
    <w:abstractNumId w:val="1"/>
  </w:num>
  <w:num w:numId="16" w16cid:durableId="1379864292">
    <w:abstractNumId w:val="0"/>
  </w:num>
  <w:num w:numId="17" w16cid:durableId="19913965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98C"/>
    <w:rsid w:val="00004A77"/>
    <w:rsid w:val="00006D91"/>
    <w:rsid w:val="000102A0"/>
    <w:rsid w:val="0001141C"/>
    <w:rsid w:val="00022193"/>
    <w:rsid w:val="00042F90"/>
    <w:rsid w:val="00045077"/>
    <w:rsid w:val="00047B86"/>
    <w:rsid w:val="00051FA4"/>
    <w:rsid w:val="00053C56"/>
    <w:rsid w:val="00057D8D"/>
    <w:rsid w:val="000614DF"/>
    <w:rsid w:val="000624E1"/>
    <w:rsid w:val="00062978"/>
    <w:rsid w:val="00076329"/>
    <w:rsid w:val="000777DE"/>
    <w:rsid w:val="00077E6F"/>
    <w:rsid w:val="00085074"/>
    <w:rsid w:val="00085905"/>
    <w:rsid w:val="00095D0F"/>
    <w:rsid w:val="00095D41"/>
    <w:rsid w:val="000A313D"/>
    <w:rsid w:val="000A55B1"/>
    <w:rsid w:val="000B0106"/>
    <w:rsid w:val="000B03CD"/>
    <w:rsid w:val="000B6DE9"/>
    <w:rsid w:val="000C0E4D"/>
    <w:rsid w:val="000C7EF0"/>
    <w:rsid w:val="000D043E"/>
    <w:rsid w:val="000D1A29"/>
    <w:rsid w:val="000D36B9"/>
    <w:rsid w:val="000E360E"/>
    <w:rsid w:val="000E5110"/>
    <w:rsid w:val="000E78D2"/>
    <w:rsid w:val="000E7F7B"/>
    <w:rsid w:val="000F0212"/>
    <w:rsid w:val="000F7094"/>
    <w:rsid w:val="00101529"/>
    <w:rsid w:val="00106A1C"/>
    <w:rsid w:val="00114085"/>
    <w:rsid w:val="00116DFC"/>
    <w:rsid w:val="001179DD"/>
    <w:rsid w:val="00122FE7"/>
    <w:rsid w:val="00130A8B"/>
    <w:rsid w:val="00143C5D"/>
    <w:rsid w:val="001617F3"/>
    <w:rsid w:val="0016204F"/>
    <w:rsid w:val="00163CB8"/>
    <w:rsid w:val="001648C7"/>
    <w:rsid w:val="00172799"/>
    <w:rsid w:val="00176322"/>
    <w:rsid w:val="001810A9"/>
    <w:rsid w:val="001814C8"/>
    <w:rsid w:val="00183BAD"/>
    <w:rsid w:val="00197563"/>
    <w:rsid w:val="001B5487"/>
    <w:rsid w:val="001C1F16"/>
    <w:rsid w:val="001D2DFD"/>
    <w:rsid w:val="001D7387"/>
    <w:rsid w:val="001E7DE2"/>
    <w:rsid w:val="001E7DFF"/>
    <w:rsid w:val="001F1631"/>
    <w:rsid w:val="001F61D0"/>
    <w:rsid w:val="00202608"/>
    <w:rsid w:val="00210498"/>
    <w:rsid w:val="002115CA"/>
    <w:rsid w:val="00211BCC"/>
    <w:rsid w:val="00213011"/>
    <w:rsid w:val="00220262"/>
    <w:rsid w:val="00226B73"/>
    <w:rsid w:val="00226CF7"/>
    <w:rsid w:val="002278A7"/>
    <w:rsid w:val="00227F81"/>
    <w:rsid w:val="00230631"/>
    <w:rsid w:val="002324BE"/>
    <w:rsid w:val="00232E60"/>
    <w:rsid w:val="0025271B"/>
    <w:rsid w:val="00255383"/>
    <w:rsid w:val="002631B6"/>
    <w:rsid w:val="00264B4F"/>
    <w:rsid w:val="002668E0"/>
    <w:rsid w:val="00275860"/>
    <w:rsid w:val="002872B1"/>
    <w:rsid w:val="0029033B"/>
    <w:rsid w:val="00292251"/>
    <w:rsid w:val="002A564C"/>
    <w:rsid w:val="002B55A9"/>
    <w:rsid w:val="002B6C15"/>
    <w:rsid w:val="002B6DF5"/>
    <w:rsid w:val="002C12AE"/>
    <w:rsid w:val="002C1A5C"/>
    <w:rsid w:val="002C7C5E"/>
    <w:rsid w:val="002D114B"/>
    <w:rsid w:val="002F1630"/>
    <w:rsid w:val="002F1A5E"/>
    <w:rsid w:val="003029D7"/>
    <w:rsid w:val="00303005"/>
    <w:rsid w:val="0030377D"/>
    <w:rsid w:val="003056C4"/>
    <w:rsid w:val="003132BE"/>
    <w:rsid w:val="00313F1E"/>
    <w:rsid w:val="00317EF6"/>
    <w:rsid w:val="00325EC5"/>
    <w:rsid w:val="00326067"/>
    <w:rsid w:val="0032659D"/>
    <w:rsid w:val="0032662E"/>
    <w:rsid w:val="00337B1A"/>
    <w:rsid w:val="003413EF"/>
    <w:rsid w:val="00365E54"/>
    <w:rsid w:val="00366E80"/>
    <w:rsid w:val="00371777"/>
    <w:rsid w:val="00374EB8"/>
    <w:rsid w:val="0037769B"/>
    <w:rsid w:val="003801E1"/>
    <w:rsid w:val="003802AD"/>
    <w:rsid w:val="00381474"/>
    <w:rsid w:val="0038153E"/>
    <w:rsid w:val="00381C64"/>
    <w:rsid w:val="0038698C"/>
    <w:rsid w:val="00392B7D"/>
    <w:rsid w:val="003A44BE"/>
    <w:rsid w:val="003A5764"/>
    <w:rsid w:val="003A5ACD"/>
    <w:rsid w:val="003B2832"/>
    <w:rsid w:val="003B7566"/>
    <w:rsid w:val="003C18C3"/>
    <w:rsid w:val="003C4EFA"/>
    <w:rsid w:val="003C5FCA"/>
    <w:rsid w:val="003E1330"/>
    <w:rsid w:val="003E3CA9"/>
    <w:rsid w:val="003F0723"/>
    <w:rsid w:val="003F3F07"/>
    <w:rsid w:val="00406E6F"/>
    <w:rsid w:val="00407149"/>
    <w:rsid w:val="004137DB"/>
    <w:rsid w:val="00421461"/>
    <w:rsid w:val="0042204A"/>
    <w:rsid w:val="0042307F"/>
    <w:rsid w:val="004304B9"/>
    <w:rsid w:val="0044257B"/>
    <w:rsid w:val="004461B9"/>
    <w:rsid w:val="00446AFD"/>
    <w:rsid w:val="00456C67"/>
    <w:rsid w:val="00457B97"/>
    <w:rsid w:val="00472F34"/>
    <w:rsid w:val="0047406E"/>
    <w:rsid w:val="0048314B"/>
    <w:rsid w:val="004855FB"/>
    <w:rsid w:val="00495C4A"/>
    <w:rsid w:val="004B0D67"/>
    <w:rsid w:val="004C2573"/>
    <w:rsid w:val="004C30AF"/>
    <w:rsid w:val="004D240F"/>
    <w:rsid w:val="004D4C9F"/>
    <w:rsid w:val="004D4D9E"/>
    <w:rsid w:val="004E1F41"/>
    <w:rsid w:val="004E37FE"/>
    <w:rsid w:val="004E444F"/>
    <w:rsid w:val="004E6527"/>
    <w:rsid w:val="004E7596"/>
    <w:rsid w:val="004F3E26"/>
    <w:rsid w:val="004F5DA7"/>
    <w:rsid w:val="00512FF2"/>
    <w:rsid w:val="005143C8"/>
    <w:rsid w:val="00514DC8"/>
    <w:rsid w:val="00530CD8"/>
    <w:rsid w:val="005352D9"/>
    <w:rsid w:val="00536BCA"/>
    <w:rsid w:val="00543712"/>
    <w:rsid w:val="00550A32"/>
    <w:rsid w:val="00551F90"/>
    <w:rsid w:val="00554A6E"/>
    <w:rsid w:val="0055722E"/>
    <w:rsid w:val="00571C36"/>
    <w:rsid w:val="00575C33"/>
    <w:rsid w:val="005951C4"/>
    <w:rsid w:val="00595321"/>
    <w:rsid w:val="005A61C5"/>
    <w:rsid w:val="005B0ED2"/>
    <w:rsid w:val="005B39DA"/>
    <w:rsid w:val="005B4824"/>
    <w:rsid w:val="005C214B"/>
    <w:rsid w:val="005C3ABB"/>
    <w:rsid w:val="005C5841"/>
    <w:rsid w:val="005D3742"/>
    <w:rsid w:val="005D42B5"/>
    <w:rsid w:val="005E07CE"/>
    <w:rsid w:val="005E0AD6"/>
    <w:rsid w:val="005F3730"/>
    <w:rsid w:val="006055EE"/>
    <w:rsid w:val="00611B00"/>
    <w:rsid w:val="006134AA"/>
    <w:rsid w:val="00621259"/>
    <w:rsid w:val="00621755"/>
    <w:rsid w:val="00622F57"/>
    <w:rsid w:val="0062357D"/>
    <w:rsid w:val="00636F1F"/>
    <w:rsid w:val="0063763C"/>
    <w:rsid w:val="00640276"/>
    <w:rsid w:val="00641111"/>
    <w:rsid w:val="0064256C"/>
    <w:rsid w:val="0065145E"/>
    <w:rsid w:val="00651D2C"/>
    <w:rsid w:val="00654CB9"/>
    <w:rsid w:val="00656C98"/>
    <w:rsid w:val="00663004"/>
    <w:rsid w:val="0066341F"/>
    <w:rsid w:val="00666BE3"/>
    <w:rsid w:val="006705B7"/>
    <w:rsid w:val="00672B42"/>
    <w:rsid w:val="00692E05"/>
    <w:rsid w:val="00696E66"/>
    <w:rsid w:val="006A1450"/>
    <w:rsid w:val="006A1A8B"/>
    <w:rsid w:val="006A774A"/>
    <w:rsid w:val="006B0A00"/>
    <w:rsid w:val="006B2AB7"/>
    <w:rsid w:val="006B3A09"/>
    <w:rsid w:val="006B70AD"/>
    <w:rsid w:val="006C00FF"/>
    <w:rsid w:val="006C01D9"/>
    <w:rsid w:val="006C54B8"/>
    <w:rsid w:val="006C7D19"/>
    <w:rsid w:val="006D712A"/>
    <w:rsid w:val="006D7495"/>
    <w:rsid w:val="006D7CF1"/>
    <w:rsid w:val="006E6CB5"/>
    <w:rsid w:val="006F04DE"/>
    <w:rsid w:val="006F069D"/>
    <w:rsid w:val="006F5AB1"/>
    <w:rsid w:val="006F6208"/>
    <w:rsid w:val="00714D77"/>
    <w:rsid w:val="007157EC"/>
    <w:rsid w:val="00724763"/>
    <w:rsid w:val="0072598F"/>
    <w:rsid w:val="007260CC"/>
    <w:rsid w:val="00731548"/>
    <w:rsid w:val="00735363"/>
    <w:rsid w:val="00740E4B"/>
    <w:rsid w:val="007472E7"/>
    <w:rsid w:val="007551A7"/>
    <w:rsid w:val="0077086D"/>
    <w:rsid w:val="00771B7A"/>
    <w:rsid w:val="007724C4"/>
    <w:rsid w:val="00780905"/>
    <w:rsid w:val="007A5BF2"/>
    <w:rsid w:val="007A7D1C"/>
    <w:rsid w:val="007B0CB1"/>
    <w:rsid w:val="007B3DF1"/>
    <w:rsid w:val="007B7129"/>
    <w:rsid w:val="007C6732"/>
    <w:rsid w:val="007C7D83"/>
    <w:rsid w:val="007D26B8"/>
    <w:rsid w:val="007D49DD"/>
    <w:rsid w:val="007E41F6"/>
    <w:rsid w:val="007E6D6C"/>
    <w:rsid w:val="007F2C07"/>
    <w:rsid w:val="00816DE7"/>
    <w:rsid w:val="00827713"/>
    <w:rsid w:val="008324D0"/>
    <w:rsid w:val="00836991"/>
    <w:rsid w:val="00837917"/>
    <w:rsid w:val="00843627"/>
    <w:rsid w:val="00843CBF"/>
    <w:rsid w:val="00852D0E"/>
    <w:rsid w:val="0085672B"/>
    <w:rsid w:val="008605E5"/>
    <w:rsid w:val="00867AF0"/>
    <w:rsid w:val="0087323A"/>
    <w:rsid w:val="008745DC"/>
    <w:rsid w:val="00876C02"/>
    <w:rsid w:val="00884D17"/>
    <w:rsid w:val="0089232C"/>
    <w:rsid w:val="00896CAB"/>
    <w:rsid w:val="008A1748"/>
    <w:rsid w:val="008B1022"/>
    <w:rsid w:val="008B4165"/>
    <w:rsid w:val="008B4C2C"/>
    <w:rsid w:val="008B7CEC"/>
    <w:rsid w:val="008D78F8"/>
    <w:rsid w:val="008E7B54"/>
    <w:rsid w:val="008F6E59"/>
    <w:rsid w:val="00901C1E"/>
    <w:rsid w:val="00912DB9"/>
    <w:rsid w:val="00925CFC"/>
    <w:rsid w:val="009302E9"/>
    <w:rsid w:val="0093280A"/>
    <w:rsid w:val="00944762"/>
    <w:rsid w:val="00952D18"/>
    <w:rsid w:val="00954763"/>
    <w:rsid w:val="00957432"/>
    <w:rsid w:val="00957452"/>
    <w:rsid w:val="0096017C"/>
    <w:rsid w:val="009630A1"/>
    <w:rsid w:val="009653EB"/>
    <w:rsid w:val="00967DF3"/>
    <w:rsid w:val="00971132"/>
    <w:rsid w:val="00972450"/>
    <w:rsid w:val="0097441A"/>
    <w:rsid w:val="00980563"/>
    <w:rsid w:val="009825DC"/>
    <w:rsid w:val="0099411E"/>
    <w:rsid w:val="009944D1"/>
    <w:rsid w:val="00996A78"/>
    <w:rsid w:val="009977AA"/>
    <w:rsid w:val="009A5AC9"/>
    <w:rsid w:val="009B6AA5"/>
    <w:rsid w:val="009B720B"/>
    <w:rsid w:val="009C5956"/>
    <w:rsid w:val="009E1C81"/>
    <w:rsid w:val="009E5B41"/>
    <w:rsid w:val="009E74E0"/>
    <w:rsid w:val="009E79C2"/>
    <w:rsid w:val="009F53B9"/>
    <w:rsid w:val="009F7085"/>
    <w:rsid w:val="00A06E75"/>
    <w:rsid w:val="00A06EC5"/>
    <w:rsid w:val="00A108A2"/>
    <w:rsid w:val="00A137E8"/>
    <w:rsid w:val="00A32784"/>
    <w:rsid w:val="00A332D0"/>
    <w:rsid w:val="00A41E23"/>
    <w:rsid w:val="00A426F2"/>
    <w:rsid w:val="00A53E2B"/>
    <w:rsid w:val="00A55333"/>
    <w:rsid w:val="00A60B82"/>
    <w:rsid w:val="00A705CB"/>
    <w:rsid w:val="00A82AED"/>
    <w:rsid w:val="00A95EA4"/>
    <w:rsid w:val="00AA06B9"/>
    <w:rsid w:val="00AA1199"/>
    <w:rsid w:val="00AA3D95"/>
    <w:rsid w:val="00AA5AAC"/>
    <w:rsid w:val="00AA67CC"/>
    <w:rsid w:val="00AB5BA8"/>
    <w:rsid w:val="00AB7AD2"/>
    <w:rsid w:val="00AC327E"/>
    <w:rsid w:val="00AC5AC1"/>
    <w:rsid w:val="00AC74D8"/>
    <w:rsid w:val="00AD7499"/>
    <w:rsid w:val="00AE0E0C"/>
    <w:rsid w:val="00AE31BE"/>
    <w:rsid w:val="00AF0AFF"/>
    <w:rsid w:val="00AF173F"/>
    <w:rsid w:val="00AF3EDB"/>
    <w:rsid w:val="00B0498A"/>
    <w:rsid w:val="00B0577F"/>
    <w:rsid w:val="00B07CD2"/>
    <w:rsid w:val="00B26382"/>
    <w:rsid w:val="00B304B9"/>
    <w:rsid w:val="00B348D5"/>
    <w:rsid w:val="00B366E8"/>
    <w:rsid w:val="00B36E8C"/>
    <w:rsid w:val="00B60769"/>
    <w:rsid w:val="00B61AB6"/>
    <w:rsid w:val="00B80FB6"/>
    <w:rsid w:val="00B817C4"/>
    <w:rsid w:val="00B848DE"/>
    <w:rsid w:val="00BB2970"/>
    <w:rsid w:val="00BC0CFB"/>
    <w:rsid w:val="00BC3267"/>
    <w:rsid w:val="00BD7EFA"/>
    <w:rsid w:val="00BE0F89"/>
    <w:rsid w:val="00BE3EC7"/>
    <w:rsid w:val="00BF3641"/>
    <w:rsid w:val="00BF3E2E"/>
    <w:rsid w:val="00C05ABF"/>
    <w:rsid w:val="00C11DF7"/>
    <w:rsid w:val="00C142CE"/>
    <w:rsid w:val="00C14F47"/>
    <w:rsid w:val="00C16E9D"/>
    <w:rsid w:val="00C217A9"/>
    <w:rsid w:val="00C21A66"/>
    <w:rsid w:val="00C232F3"/>
    <w:rsid w:val="00C23375"/>
    <w:rsid w:val="00C345C8"/>
    <w:rsid w:val="00C41834"/>
    <w:rsid w:val="00C47BE4"/>
    <w:rsid w:val="00C5017A"/>
    <w:rsid w:val="00C53454"/>
    <w:rsid w:val="00C559E1"/>
    <w:rsid w:val="00C5676B"/>
    <w:rsid w:val="00C76804"/>
    <w:rsid w:val="00C81469"/>
    <w:rsid w:val="00C9111C"/>
    <w:rsid w:val="00CA1D5C"/>
    <w:rsid w:val="00CA2848"/>
    <w:rsid w:val="00CA30D6"/>
    <w:rsid w:val="00CA7D34"/>
    <w:rsid w:val="00CB171A"/>
    <w:rsid w:val="00CB36A3"/>
    <w:rsid w:val="00CB3EA7"/>
    <w:rsid w:val="00CC45B7"/>
    <w:rsid w:val="00CC58CE"/>
    <w:rsid w:val="00CD60B7"/>
    <w:rsid w:val="00CD7C05"/>
    <w:rsid w:val="00CE4568"/>
    <w:rsid w:val="00CF1CB0"/>
    <w:rsid w:val="00CF31CD"/>
    <w:rsid w:val="00CF7F07"/>
    <w:rsid w:val="00D03824"/>
    <w:rsid w:val="00D07FFE"/>
    <w:rsid w:val="00D10F2B"/>
    <w:rsid w:val="00D24ED0"/>
    <w:rsid w:val="00D37B8A"/>
    <w:rsid w:val="00D709FE"/>
    <w:rsid w:val="00D70EAB"/>
    <w:rsid w:val="00D86FFB"/>
    <w:rsid w:val="00D90223"/>
    <w:rsid w:val="00D906A8"/>
    <w:rsid w:val="00D908BC"/>
    <w:rsid w:val="00D95181"/>
    <w:rsid w:val="00DA1F3F"/>
    <w:rsid w:val="00DA6C81"/>
    <w:rsid w:val="00DB056B"/>
    <w:rsid w:val="00DB361B"/>
    <w:rsid w:val="00DC3375"/>
    <w:rsid w:val="00DC5CBB"/>
    <w:rsid w:val="00DD3C84"/>
    <w:rsid w:val="00DE4E64"/>
    <w:rsid w:val="00DE4FBA"/>
    <w:rsid w:val="00DE6554"/>
    <w:rsid w:val="00DF3F7F"/>
    <w:rsid w:val="00DF51DC"/>
    <w:rsid w:val="00DF51F5"/>
    <w:rsid w:val="00E138C0"/>
    <w:rsid w:val="00E17E9F"/>
    <w:rsid w:val="00E22AC2"/>
    <w:rsid w:val="00E232EA"/>
    <w:rsid w:val="00E26B0B"/>
    <w:rsid w:val="00E27483"/>
    <w:rsid w:val="00E52B4E"/>
    <w:rsid w:val="00E649BB"/>
    <w:rsid w:val="00E70DF3"/>
    <w:rsid w:val="00E71A1A"/>
    <w:rsid w:val="00E721B5"/>
    <w:rsid w:val="00E8191B"/>
    <w:rsid w:val="00E84AEB"/>
    <w:rsid w:val="00E85697"/>
    <w:rsid w:val="00E92A0E"/>
    <w:rsid w:val="00E970C4"/>
    <w:rsid w:val="00EA1FE8"/>
    <w:rsid w:val="00EA1FED"/>
    <w:rsid w:val="00EB289B"/>
    <w:rsid w:val="00EC026C"/>
    <w:rsid w:val="00ED1B50"/>
    <w:rsid w:val="00EE46CD"/>
    <w:rsid w:val="00EF1230"/>
    <w:rsid w:val="00F04822"/>
    <w:rsid w:val="00F04FFF"/>
    <w:rsid w:val="00F0615C"/>
    <w:rsid w:val="00F1217F"/>
    <w:rsid w:val="00F2669F"/>
    <w:rsid w:val="00F3245F"/>
    <w:rsid w:val="00F32E4D"/>
    <w:rsid w:val="00F33960"/>
    <w:rsid w:val="00F364E2"/>
    <w:rsid w:val="00F36675"/>
    <w:rsid w:val="00F419F3"/>
    <w:rsid w:val="00F55B18"/>
    <w:rsid w:val="00F649A2"/>
    <w:rsid w:val="00F654FA"/>
    <w:rsid w:val="00F66763"/>
    <w:rsid w:val="00FB0B60"/>
    <w:rsid w:val="00FC74D4"/>
    <w:rsid w:val="00FD20B7"/>
    <w:rsid w:val="00FE233D"/>
    <w:rsid w:val="00FE3F5C"/>
    <w:rsid w:val="00FE7EC4"/>
    <w:rsid w:val="00FF4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5BAF4"/>
  <w15:chartTrackingRefBased/>
  <w15:docId w15:val="{D9CB5343-D85D-4B72-9475-1AA9B5F8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hesis Text"/>
    <w:qFormat/>
    <w:rsid w:val="00554A6E"/>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D951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951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95181"/>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s">
    <w:name w:val="Chapter Titles"/>
    <w:basedOn w:val="Normal"/>
    <w:link w:val="ChapterTitlesChar"/>
    <w:qFormat/>
    <w:rsid w:val="00D90223"/>
    <w:pPr>
      <w:spacing w:after="0"/>
    </w:pPr>
    <w:rPr>
      <w:rFonts w:eastAsia="Times New Roman" w:cs="Times New Roman"/>
      <w:b/>
      <w:sz w:val="28"/>
      <w:szCs w:val="28"/>
    </w:rPr>
  </w:style>
  <w:style w:type="character" w:customStyle="1" w:styleId="ChapterTitlesChar">
    <w:name w:val="Chapter Titles Char"/>
    <w:basedOn w:val="DefaultParagraphFont"/>
    <w:link w:val="ChapterTitles"/>
    <w:rsid w:val="00D90223"/>
    <w:rPr>
      <w:rFonts w:ascii="Times New Roman" w:eastAsia="Times New Roman" w:hAnsi="Times New Roman" w:cs="Times New Roman"/>
      <w:b/>
      <w:sz w:val="28"/>
      <w:szCs w:val="28"/>
    </w:rPr>
  </w:style>
  <w:style w:type="paragraph" w:customStyle="1" w:styleId="Section">
    <w:name w:val="Section"/>
    <w:basedOn w:val="Normal"/>
    <w:link w:val="SectionChar"/>
    <w:qFormat/>
    <w:rsid w:val="00255383"/>
    <w:pPr>
      <w:spacing w:after="0"/>
      <w:contextualSpacing/>
    </w:pPr>
    <w:rPr>
      <w:rFonts w:cs="Times New Roman"/>
      <w:b/>
      <w:bCs/>
      <w:sz w:val="26"/>
      <w:szCs w:val="24"/>
    </w:rPr>
  </w:style>
  <w:style w:type="character" w:customStyle="1" w:styleId="SectionChar">
    <w:name w:val="Section Char"/>
    <w:basedOn w:val="DefaultParagraphFont"/>
    <w:link w:val="Section"/>
    <w:rsid w:val="00255383"/>
    <w:rPr>
      <w:rFonts w:ascii="Times New Roman" w:hAnsi="Times New Roman" w:cs="Times New Roman"/>
      <w:b/>
      <w:bCs/>
      <w:sz w:val="26"/>
      <w:szCs w:val="24"/>
    </w:rPr>
  </w:style>
  <w:style w:type="paragraph" w:customStyle="1" w:styleId="Subsection">
    <w:name w:val="Subsection"/>
    <w:basedOn w:val="Normal"/>
    <w:link w:val="SubsectionChar"/>
    <w:qFormat/>
    <w:rsid w:val="00D90223"/>
    <w:pPr>
      <w:spacing w:after="0"/>
      <w:contextualSpacing/>
    </w:pPr>
    <w:rPr>
      <w:rFonts w:cs="Times New Roman"/>
      <w:b/>
      <w:color w:val="000000"/>
      <w:szCs w:val="24"/>
      <w:shd w:val="clear" w:color="auto" w:fill="FFFFFF"/>
    </w:rPr>
  </w:style>
  <w:style w:type="character" w:customStyle="1" w:styleId="SubsectionChar">
    <w:name w:val="Subsection Char"/>
    <w:basedOn w:val="DefaultParagraphFont"/>
    <w:link w:val="Subsection"/>
    <w:rsid w:val="00D90223"/>
    <w:rPr>
      <w:rFonts w:ascii="Times New Roman" w:hAnsi="Times New Roman" w:cs="Times New Roman"/>
      <w:b/>
      <w:color w:val="000000"/>
      <w:sz w:val="24"/>
      <w:szCs w:val="24"/>
    </w:rPr>
  </w:style>
  <w:style w:type="paragraph" w:styleId="Bibliography">
    <w:name w:val="Bibliography"/>
    <w:basedOn w:val="Normal"/>
    <w:next w:val="Normal"/>
    <w:uiPriority w:val="37"/>
    <w:unhideWhenUsed/>
    <w:rsid w:val="0038698C"/>
    <w:pPr>
      <w:tabs>
        <w:tab w:val="left" w:pos="504"/>
      </w:tabs>
      <w:spacing w:after="0" w:line="240" w:lineRule="auto"/>
      <w:ind w:left="504" w:hanging="504"/>
    </w:pPr>
  </w:style>
  <w:style w:type="table" w:styleId="TableGrid">
    <w:name w:val="Table Grid"/>
    <w:basedOn w:val="TableNormal"/>
    <w:uiPriority w:val="39"/>
    <w:rsid w:val="00386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92A0E"/>
    <w:pPr>
      <w:spacing w:after="0" w:line="240" w:lineRule="auto"/>
      <w:jc w:val="both"/>
    </w:pPr>
    <w:rPr>
      <w:rFonts w:ascii="Times New Roman" w:hAnsi="Times New Roman"/>
      <w:sz w:val="24"/>
    </w:rPr>
  </w:style>
  <w:style w:type="paragraph" w:styleId="Caption">
    <w:name w:val="caption"/>
    <w:basedOn w:val="Normal"/>
    <w:next w:val="Normal"/>
    <w:autoRedefine/>
    <w:uiPriority w:val="35"/>
    <w:unhideWhenUsed/>
    <w:qFormat/>
    <w:rsid w:val="00DF51F5"/>
    <w:pPr>
      <w:spacing w:after="200" w:line="240" w:lineRule="auto"/>
    </w:pPr>
    <w:rPr>
      <w:b/>
      <w:szCs w:val="18"/>
    </w:rPr>
  </w:style>
  <w:style w:type="paragraph" w:styleId="TableofFigures">
    <w:name w:val="table of figures"/>
    <w:basedOn w:val="Normal"/>
    <w:next w:val="Normal"/>
    <w:uiPriority w:val="99"/>
    <w:unhideWhenUsed/>
    <w:rsid w:val="00114085"/>
    <w:pPr>
      <w:spacing w:after="0"/>
    </w:pPr>
  </w:style>
  <w:style w:type="character" w:customStyle="1" w:styleId="Heading1Char">
    <w:name w:val="Heading 1 Char"/>
    <w:basedOn w:val="DefaultParagraphFont"/>
    <w:link w:val="Heading1"/>
    <w:uiPriority w:val="9"/>
    <w:rsid w:val="00D9518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9518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95181"/>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6705B7"/>
    <w:pPr>
      <w:tabs>
        <w:tab w:val="right" w:leader="dot" w:pos="9350"/>
      </w:tabs>
      <w:spacing w:after="100"/>
    </w:pPr>
    <w:rPr>
      <w:b/>
      <w:bCs/>
    </w:rPr>
  </w:style>
  <w:style w:type="paragraph" w:styleId="TOC2">
    <w:name w:val="toc 2"/>
    <w:basedOn w:val="Normal"/>
    <w:next w:val="Normal"/>
    <w:autoRedefine/>
    <w:uiPriority w:val="39"/>
    <w:unhideWhenUsed/>
    <w:rsid w:val="00D95181"/>
    <w:pPr>
      <w:spacing w:after="100"/>
      <w:ind w:left="240"/>
    </w:pPr>
  </w:style>
  <w:style w:type="paragraph" w:styleId="TOC3">
    <w:name w:val="toc 3"/>
    <w:basedOn w:val="Normal"/>
    <w:next w:val="Normal"/>
    <w:autoRedefine/>
    <w:uiPriority w:val="39"/>
    <w:unhideWhenUsed/>
    <w:rsid w:val="00D95181"/>
    <w:pPr>
      <w:spacing w:after="100"/>
      <w:ind w:left="480"/>
    </w:pPr>
  </w:style>
  <w:style w:type="character" w:styleId="Emphasis">
    <w:name w:val="Emphasis"/>
    <w:basedOn w:val="DefaultParagraphFont"/>
    <w:uiPriority w:val="20"/>
    <w:qFormat/>
    <w:rsid w:val="001648C7"/>
    <w:rPr>
      <w:i/>
      <w:iCs/>
    </w:rPr>
  </w:style>
  <w:style w:type="character" w:styleId="CommentReference">
    <w:name w:val="annotation reference"/>
    <w:basedOn w:val="DefaultParagraphFont"/>
    <w:uiPriority w:val="99"/>
    <w:semiHidden/>
    <w:unhideWhenUsed/>
    <w:rsid w:val="008A1748"/>
    <w:rPr>
      <w:sz w:val="16"/>
      <w:szCs w:val="16"/>
    </w:rPr>
  </w:style>
  <w:style w:type="paragraph" w:styleId="CommentText">
    <w:name w:val="annotation text"/>
    <w:basedOn w:val="Normal"/>
    <w:link w:val="CommentTextChar"/>
    <w:uiPriority w:val="99"/>
    <w:semiHidden/>
    <w:unhideWhenUsed/>
    <w:rsid w:val="008A1748"/>
    <w:pPr>
      <w:spacing w:line="240" w:lineRule="auto"/>
    </w:pPr>
    <w:rPr>
      <w:sz w:val="20"/>
      <w:szCs w:val="20"/>
    </w:rPr>
  </w:style>
  <w:style w:type="character" w:customStyle="1" w:styleId="CommentTextChar">
    <w:name w:val="Comment Text Char"/>
    <w:basedOn w:val="DefaultParagraphFont"/>
    <w:link w:val="CommentText"/>
    <w:uiPriority w:val="99"/>
    <w:semiHidden/>
    <w:rsid w:val="008A174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A1748"/>
    <w:rPr>
      <w:b/>
      <w:bCs/>
    </w:rPr>
  </w:style>
  <w:style w:type="character" w:customStyle="1" w:styleId="CommentSubjectChar">
    <w:name w:val="Comment Subject Char"/>
    <w:basedOn w:val="CommentTextChar"/>
    <w:link w:val="CommentSubject"/>
    <w:uiPriority w:val="99"/>
    <w:semiHidden/>
    <w:rsid w:val="008A1748"/>
    <w:rPr>
      <w:rFonts w:ascii="Times New Roman" w:hAnsi="Times New Roman"/>
      <w:b/>
      <w:bCs/>
      <w:sz w:val="20"/>
      <w:szCs w:val="20"/>
    </w:rPr>
  </w:style>
  <w:style w:type="paragraph" w:customStyle="1" w:styleId="StyleJustifiedFirstline05After0ptLinespacingDo">
    <w:name w:val="Style Justified First line:  0.5&quot; After:  0 pt Line spacing:  Do..."/>
    <w:basedOn w:val="Normal"/>
    <w:rsid w:val="003F3F07"/>
    <w:pPr>
      <w:spacing w:after="0"/>
      <w:ind w:firstLine="720"/>
    </w:pPr>
    <w:rPr>
      <w:rFonts w:eastAsia="Times New Roman" w:cs="Times New Roman"/>
      <w:szCs w:val="20"/>
    </w:rPr>
  </w:style>
  <w:style w:type="paragraph" w:customStyle="1" w:styleId="Text-Caption">
    <w:name w:val="Text-Caption"/>
    <w:basedOn w:val="Caption"/>
    <w:autoRedefine/>
    <w:qFormat/>
    <w:rsid w:val="00BD7EFA"/>
    <w:rPr>
      <w:rFonts w:cs="Times New Roman"/>
      <w:b w:val="0"/>
      <w:bCs/>
      <w:szCs w:val="24"/>
    </w:rPr>
  </w:style>
  <w:style w:type="paragraph" w:styleId="ListParagraph">
    <w:name w:val="List Paragraph"/>
    <w:basedOn w:val="Normal"/>
    <w:uiPriority w:val="34"/>
    <w:qFormat/>
    <w:rsid w:val="00996A78"/>
    <w:pPr>
      <w:ind w:left="720"/>
      <w:contextualSpacing/>
    </w:pPr>
  </w:style>
  <w:style w:type="character" w:styleId="PlaceholderText">
    <w:name w:val="Placeholder Text"/>
    <w:basedOn w:val="DefaultParagraphFont"/>
    <w:uiPriority w:val="99"/>
    <w:semiHidden/>
    <w:rsid w:val="006A774A"/>
    <w:rPr>
      <w:color w:val="808080"/>
    </w:rPr>
  </w:style>
  <w:style w:type="paragraph" w:styleId="BalloonText">
    <w:name w:val="Balloon Text"/>
    <w:basedOn w:val="Normal"/>
    <w:link w:val="BalloonTextChar"/>
    <w:uiPriority w:val="99"/>
    <w:semiHidden/>
    <w:unhideWhenUsed/>
    <w:rsid w:val="00F55B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B18"/>
    <w:rPr>
      <w:rFonts w:ascii="Segoe UI" w:hAnsi="Segoe UI" w:cs="Segoe UI"/>
      <w:sz w:val="18"/>
      <w:szCs w:val="18"/>
    </w:rPr>
  </w:style>
  <w:style w:type="paragraph" w:styleId="Revision">
    <w:name w:val="Revision"/>
    <w:hidden/>
    <w:uiPriority w:val="99"/>
    <w:semiHidden/>
    <w:rsid w:val="00C81469"/>
    <w:pPr>
      <w:spacing w:after="0" w:line="240" w:lineRule="auto"/>
    </w:pPr>
    <w:rPr>
      <w:rFonts w:ascii="Times New Roman" w:hAnsi="Times New Roman"/>
      <w:sz w:val="24"/>
    </w:rPr>
  </w:style>
  <w:style w:type="paragraph" w:customStyle="1" w:styleId="EndNoteBibliographyTitle">
    <w:name w:val="EndNote Bibliography Title"/>
    <w:basedOn w:val="Normal"/>
    <w:link w:val="EndNoteBibliographyTitleChar"/>
    <w:rsid w:val="000F7094"/>
    <w:pPr>
      <w:spacing w:after="0" w:line="259" w:lineRule="auto"/>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0F7094"/>
    <w:rPr>
      <w:rFonts w:ascii="Calibri" w:hAnsi="Calibri" w:cs="Calibri"/>
      <w:noProof/>
    </w:rPr>
  </w:style>
  <w:style w:type="paragraph" w:customStyle="1" w:styleId="EndNoteBibliography">
    <w:name w:val="EndNote Bibliography"/>
    <w:basedOn w:val="Normal"/>
    <w:link w:val="EndNoteBibliographyChar"/>
    <w:rsid w:val="000F7094"/>
    <w:pPr>
      <w:spacing w:line="240" w:lineRule="auto"/>
      <w:jc w:val="left"/>
    </w:pPr>
    <w:rPr>
      <w:rFonts w:ascii="Calibri" w:hAnsi="Calibri" w:cs="Calibri"/>
      <w:noProof/>
      <w:sz w:val="22"/>
    </w:rPr>
  </w:style>
  <w:style w:type="character" w:customStyle="1" w:styleId="EndNoteBibliographyChar">
    <w:name w:val="EndNote Bibliography Char"/>
    <w:basedOn w:val="DefaultParagraphFont"/>
    <w:link w:val="EndNoteBibliography"/>
    <w:rsid w:val="000F7094"/>
    <w:rPr>
      <w:rFonts w:ascii="Calibri" w:hAnsi="Calibri" w:cs="Calibri"/>
      <w:noProof/>
    </w:rPr>
  </w:style>
  <w:style w:type="paragraph" w:styleId="NormalWeb">
    <w:name w:val="Normal (Web)"/>
    <w:basedOn w:val="Normal"/>
    <w:uiPriority w:val="99"/>
    <w:unhideWhenUsed/>
    <w:rsid w:val="000F7094"/>
    <w:pPr>
      <w:spacing w:before="100" w:beforeAutospacing="1" w:after="100" w:afterAutospacing="1" w:line="240" w:lineRule="auto"/>
      <w:jc w:val="left"/>
    </w:pPr>
    <w:rPr>
      <w:rFonts w:eastAsia="Times New Roman" w:cs="Times New Roman"/>
      <w:szCs w:val="24"/>
    </w:rPr>
  </w:style>
  <w:style w:type="paragraph" w:customStyle="1" w:styleId="Default">
    <w:name w:val="Default"/>
    <w:rsid w:val="000F709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F7094"/>
    <w:rPr>
      <w:color w:val="0563C1" w:themeColor="hyperlink"/>
      <w:u w:val="single"/>
    </w:rPr>
  </w:style>
  <w:style w:type="character" w:styleId="UnresolvedMention">
    <w:name w:val="Unresolved Mention"/>
    <w:basedOn w:val="DefaultParagraphFont"/>
    <w:uiPriority w:val="99"/>
    <w:semiHidden/>
    <w:unhideWhenUsed/>
    <w:rsid w:val="000F7094"/>
    <w:rPr>
      <w:color w:val="605E5C"/>
      <w:shd w:val="clear" w:color="auto" w:fill="E1DFDD"/>
    </w:rPr>
  </w:style>
  <w:style w:type="paragraph" w:styleId="Header">
    <w:name w:val="header"/>
    <w:basedOn w:val="Normal"/>
    <w:link w:val="HeaderChar"/>
    <w:uiPriority w:val="99"/>
    <w:unhideWhenUsed/>
    <w:rsid w:val="000F7094"/>
    <w:pPr>
      <w:tabs>
        <w:tab w:val="center" w:pos="4680"/>
        <w:tab w:val="right" w:pos="9360"/>
      </w:tabs>
      <w:spacing w:after="0" w:line="240" w:lineRule="auto"/>
      <w:jc w:val="left"/>
    </w:pPr>
    <w:rPr>
      <w:rFonts w:asciiTheme="minorHAnsi" w:hAnsiTheme="minorHAnsi"/>
      <w:sz w:val="22"/>
    </w:rPr>
  </w:style>
  <w:style w:type="character" w:customStyle="1" w:styleId="HeaderChar">
    <w:name w:val="Header Char"/>
    <w:basedOn w:val="DefaultParagraphFont"/>
    <w:link w:val="Header"/>
    <w:uiPriority w:val="99"/>
    <w:rsid w:val="000F7094"/>
  </w:style>
  <w:style w:type="paragraph" w:styleId="Footer">
    <w:name w:val="footer"/>
    <w:basedOn w:val="Normal"/>
    <w:link w:val="FooterChar"/>
    <w:uiPriority w:val="99"/>
    <w:unhideWhenUsed/>
    <w:rsid w:val="000F7094"/>
    <w:pPr>
      <w:tabs>
        <w:tab w:val="center" w:pos="4680"/>
        <w:tab w:val="right" w:pos="9360"/>
      </w:tabs>
      <w:spacing w:after="0" w:line="240" w:lineRule="auto"/>
      <w:jc w:val="left"/>
    </w:pPr>
    <w:rPr>
      <w:rFonts w:asciiTheme="minorHAnsi" w:hAnsiTheme="minorHAnsi"/>
      <w:sz w:val="22"/>
    </w:rPr>
  </w:style>
  <w:style w:type="character" w:customStyle="1" w:styleId="FooterChar">
    <w:name w:val="Footer Char"/>
    <w:basedOn w:val="DefaultParagraphFont"/>
    <w:link w:val="Footer"/>
    <w:uiPriority w:val="99"/>
    <w:rsid w:val="000F7094"/>
  </w:style>
  <w:style w:type="paragraph" w:styleId="TOC4">
    <w:name w:val="toc 4"/>
    <w:basedOn w:val="Normal"/>
    <w:next w:val="Normal"/>
    <w:autoRedefine/>
    <w:uiPriority w:val="39"/>
    <w:unhideWhenUsed/>
    <w:rsid w:val="000F7094"/>
    <w:pPr>
      <w:spacing w:after="100" w:line="259" w:lineRule="auto"/>
      <w:ind w:left="660"/>
      <w:jc w:val="left"/>
    </w:pPr>
    <w:rPr>
      <w:rFonts w:asciiTheme="minorHAnsi" w:hAnsiTheme="minorHAnsi"/>
      <w:sz w:val="22"/>
    </w:rPr>
  </w:style>
  <w:style w:type="paragraph" w:styleId="Subtitle">
    <w:name w:val="Subtitle"/>
    <w:basedOn w:val="Normal"/>
    <w:next w:val="Normal"/>
    <w:link w:val="SubtitleChar"/>
    <w:uiPriority w:val="11"/>
    <w:qFormat/>
    <w:rsid w:val="000F7094"/>
    <w:pPr>
      <w:numPr>
        <w:ilvl w:val="1"/>
      </w:numPr>
      <w:spacing w:line="259" w:lineRule="auto"/>
      <w:jc w:val="left"/>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F7094"/>
    <w:rPr>
      <w:rFonts w:eastAsiaTheme="minorEastAsia"/>
      <w:color w:val="5A5A5A" w:themeColor="text1" w:themeTint="A5"/>
      <w:spacing w:val="15"/>
    </w:rPr>
  </w:style>
  <w:style w:type="character" w:customStyle="1" w:styleId="Figure">
    <w:name w:val="Figure"/>
    <w:basedOn w:val="DefaultParagraphFont"/>
    <w:uiPriority w:val="1"/>
    <w:qFormat/>
    <w:rsid w:val="000F7094"/>
    <w:rPr>
      <w:rFonts w:ascii="Times New Roman" w:hAnsi="Times New Roman" w:cs="Times New Roman"/>
      <w:b/>
      <w:sz w:val="24"/>
      <w:szCs w:val="24"/>
    </w:rPr>
  </w:style>
  <w:style w:type="paragraph" w:customStyle="1" w:styleId="StyleJustifiedFirstline025After0ptLinespacingD">
    <w:name w:val="Style Justified First line:  0.25&quot; After:  0 pt Line spacing:  D..."/>
    <w:basedOn w:val="Normal"/>
    <w:rsid w:val="000F7094"/>
    <w:pPr>
      <w:spacing w:after="0"/>
      <w:ind w:firstLine="360"/>
    </w:pPr>
    <w:rPr>
      <w:rFonts w:eastAsia="Times New Roman" w:cs="Times New Roman"/>
      <w:b/>
      <w:szCs w:val="20"/>
    </w:rPr>
  </w:style>
  <w:style w:type="paragraph" w:customStyle="1" w:styleId="StyleJustifiedFirstline025After0ptLinespacingD1">
    <w:name w:val="Style Justified First line:  0.25&quot; After:  0 pt Line spacing:  D...1"/>
    <w:basedOn w:val="Normal"/>
    <w:autoRedefine/>
    <w:rsid w:val="000F7094"/>
    <w:pPr>
      <w:spacing w:after="0"/>
      <w:ind w:firstLine="360"/>
    </w:pPr>
    <w:rPr>
      <w:rFonts w:eastAsia="Times New Roman" w:cs="Times New Roman"/>
      <w:szCs w:val="20"/>
    </w:rPr>
  </w:style>
  <w:style w:type="paragraph" w:customStyle="1" w:styleId="StyleJustifiedAfter0ptLinespacingDouble">
    <w:name w:val="Style Justified After:  0 pt Line spacing:  Double"/>
    <w:basedOn w:val="Normal"/>
    <w:autoRedefine/>
    <w:qFormat/>
    <w:rsid w:val="000F7094"/>
    <w:pPr>
      <w:spacing w:after="0"/>
      <w:ind w:firstLine="720"/>
    </w:pPr>
    <w:rPr>
      <w:rFonts w:eastAsia="Times New Roman" w:cs="Times New Roman"/>
      <w:szCs w:val="20"/>
    </w:rPr>
  </w:style>
  <w:style w:type="paragraph" w:customStyle="1" w:styleId="StyleJustifiedFirstline05">
    <w:name w:val="Style Justified First line:  0.5&quot;"/>
    <w:basedOn w:val="Normal"/>
    <w:autoRedefine/>
    <w:rsid w:val="000F7094"/>
    <w:pPr>
      <w:ind w:firstLine="720"/>
    </w:pPr>
    <w:rPr>
      <w:rFonts w:eastAsia="Times New Roman" w:cs="Times New Roman"/>
      <w:szCs w:val="20"/>
    </w:rPr>
  </w:style>
  <w:style w:type="paragraph" w:styleId="TOCHeading">
    <w:name w:val="TOC Heading"/>
    <w:basedOn w:val="Heading1"/>
    <w:next w:val="Normal"/>
    <w:uiPriority w:val="39"/>
    <w:unhideWhenUsed/>
    <w:qFormat/>
    <w:rsid w:val="000F7094"/>
    <w:pPr>
      <w:spacing w:line="259" w:lineRule="auto"/>
      <w:jc w:val="left"/>
      <w:outlineLvl w:val="9"/>
    </w:pPr>
  </w:style>
  <w:style w:type="paragraph" w:styleId="TOC5">
    <w:name w:val="toc 5"/>
    <w:basedOn w:val="Normal"/>
    <w:next w:val="Normal"/>
    <w:autoRedefine/>
    <w:uiPriority w:val="39"/>
    <w:unhideWhenUsed/>
    <w:rsid w:val="000F7094"/>
    <w:pPr>
      <w:spacing w:after="100" w:line="259" w:lineRule="auto"/>
      <w:ind w:left="880"/>
      <w:jc w:val="left"/>
    </w:pPr>
    <w:rPr>
      <w:rFonts w:asciiTheme="minorHAnsi" w:eastAsiaTheme="minorEastAsia" w:hAnsiTheme="minorHAnsi"/>
      <w:sz w:val="22"/>
    </w:rPr>
  </w:style>
  <w:style w:type="paragraph" w:styleId="TOC6">
    <w:name w:val="toc 6"/>
    <w:basedOn w:val="Normal"/>
    <w:next w:val="Normal"/>
    <w:autoRedefine/>
    <w:uiPriority w:val="39"/>
    <w:unhideWhenUsed/>
    <w:rsid w:val="000F7094"/>
    <w:pPr>
      <w:spacing w:after="100" w:line="259" w:lineRule="auto"/>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0F7094"/>
    <w:pPr>
      <w:spacing w:after="100" w:line="259"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0F7094"/>
    <w:pPr>
      <w:spacing w:after="100" w:line="259"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0F7094"/>
    <w:pPr>
      <w:spacing w:after="100" w:line="259" w:lineRule="auto"/>
      <w:ind w:left="1760"/>
      <w:jc w:val="left"/>
    </w:pPr>
    <w:rPr>
      <w:rFonts w:asciiTheme="minorHAnsi" w:eastAsiaTheme="minorEastAsia" w:hAnsiTheme="minorHAnsi"/>
      <w:sz w:val="22"/>
    </w:rPr>
  </w:style>
  <w:style w:type="numbering" w:customStyle="1" w:styleId="NoList1">
    <w:name w:val="No List1"/>
    <w:next w:val="NoList"/>
    <w:uiPriority w:val="99"/>
    <w:semiHidden/>
    <w:unhideWhenUsed/>
    <w:rsid w:val="00654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1.bin"/><Relationship Id="rId299" Type="http://schemas.openxmlformats.org/officeDocument/2006/relationships/oleObject" Target="embeddings/oleObject128.bin"/><Relationship Id="rId21" Type="http://schemas.openxmlformats.org/officeDocument/2006/relationships/hyperlink" Target="file:///C:\Users\jeano\OneDrive\Documents\OU\Duerfeldt%20Research\THESIS\JGardner%20Dissertation%20v7.docx" TargetMode="External"/><Relationship Id="rId63" Type="http://schemas.openxmlformats.org/officeDocument/2006/relationships/hyperlink" Target="file:///C:\Users\jeano\OneDrive\Documents\OU\Duerfeldt%20Research\THESIS\JGardner%20Dissertation%20v7.docx" TargetMode="External"/><Relationship Id="rId159" Type="http://schemas.openxmlformats.org/officeDocument/2006/relationships/image" Target="media/image47.emf"/><Relationship Id="rId324" Type="http://schemas.openxmlformats.org/officeDocument/2006/relationships/oleObject" Target="embeddings/oleObject137.bin"/><Relationship Id="rId366" Type="http://schemas.openxmlformats.org/officeDocument/2006/relationships/image" Target="media/image132.emf"/><Relationship Id="rId170" Type="http://schemas.openxmlformats.org/officeDocument/2006/relationships/image" Target="media/image52.emf"/><Relationship Id="rId226" Type="http://schemas.openxmlformats.org/officeDocument/2006/relationships/image" Target="media/image76.emf"/><Relationship Id="rId433" Type="http://schemas.openxmlformats.org/officeDocument/2006/relationships/image" Target="media/image182.png"/><Relationship Id="rId268" Type="http://schemas.openxmlformats.org/officeDocument/2006/relationships/oleObject" Target="embeddings/oleObject108.bin"/><Relationship Id="rId32" Type="http://schemas.openxmlformats.org/officeDocument/2006/relationships/hyperlink" Target="file:///C:\Users\jeano\OneDrive\Documents\OU\Duerfeldt%20Research\THESIS\JGardner%20Dissertation%20v7.docx" TargetMode="External"/><Relationship Id="rId74" Type="http://schemas.openxmlformats.org/officeDocument/2006/relationships/oleObject" Target="embeddings/oleObject2.bin"/><Relationship Id="rId128" Type="http://schemas.openxmlformats.org/officeDocument/2006/relationships/oleObject" Target="embeddings/oleObject25.bin"/><Relationship Id="rId335" Type="http://schemas.openxmlformats.org/officeDocument/2006/relationships/oleObject" Target="embeddings/oleObject145.bin"/><Relationship Id="rId377" Type="http://schemas.openxmlformats.org/officeDocument/2006/relationships/image" Target="media/image141.png"/><Relationship Id="rId5" Type="http://schemas.openxmlformats.org/officeDocument/2006/relationships/webSettings" Target="webSettings.xml"/><Relationship Id="rId181" Type="http://schemas.openxmlformats.org/officeDocument/2006/relationships/oleObject" Target="embeddings/oleObject57.bin"/><Relationship Id="rId237" Type="http://schemas.openxmlformats.org/officeDocument/2006/relationships/image" Target="media/image80.png"/><Relationship Id="rId402" Type="http://schemas.openxmlformats.org/officeDocument/2006/relationships/image" Target="media/image164.png"/><Relationship Id="rId279" Type="http://schemas.openxmlformats.org/officeDocument/2006/relationships/oleObject" Target="embeddings/oleObject115.bin"/><Relationship Id="rId444" Type="http://schemas.openxmlformats.org/officeDocument/2006/relationships/image" Target="media/image193.png"/><Relationship Id="rId43" Type="http://schemas.openxmlformats.org/officeDocument/2006/relationships/hyperlink" Target="file:///C:\Users\jeano\OneDrive\Documents\OU\Duerfeldt%20Research\THESIS\JGardner%20Dissertation%20v7.docx" TargetMode="External"/><Relationship Id="rId139" Type="http://schemas.openxmlformats.org/officeDocument/2006/relationships/oleObject" Target="embeddings/oleObject33.bin"/><Relationship Id="rId290" Type="http://schemas.openxmlformats.org/officeDocument/2006/relationships/image" Target="media/image99.emf"/><Relationship Id="rId304" Type="http://schemas.openxmlformats.org/officeDocument/2006/relationships/image" Target="media/image105.png"/><Relationship Id="rId346" Type="http://schemas.openxmlformats.org/officeDocument/2006/relationships/oleObject" Target="embeddings/oleObject152.bin"/><Relationship Id="rId388" Type="http://schemas.openxmlformats.org/officeDocument/2006/relationships/image" Target="media/image152.jpg"/><Relationship Id="rId85" Type="http://schemas.openxmlformats.org/officeDocument/2006/relationships/image" Target="media/image9.emf"/><Relationship Id="rId150" Type="http://schemas.openxmlformats.org/officeDocument/2006/relationships/oleObject" Target="embeddings/oleObject39.bin"/><Relationship Id="rId192" Type="http://schemas.openxmlformats.org/officeDocument/2006/relationships/oleObject" Target="embeddings/oleObject63.bin"/><Relationship Id="rId206" Type="http://schemas.openxmlformats.org/officeDocument/2006/relationships/oleObject" Target="embeddings/oleObject71.bin"/><Relationship Id="rId413" Type="http://schemas.openxmlformats.org/officeDocument/2006/relationships/oleObject" Target="embeddings/oleObject168.bin"/><Relationship Id="rId248" Type="http://schemas.openxmlformats.org/officeDocument/2006/relationships/oleObject" Target="embeddings/oleObject95.bin"/><Relationship Id="rId12" Type="http://schemas.openxmlformats.org/officeDocument/2006/relationships/hyperlink" Target="file:///C:\Users\jeano\OneDrive\Documents\OU\Duerfeldt%20Research\THESIS\JGardner%20Dissertation%20v7.docx" TargetMode="External"/><Relationship Id="rId108" Type="http://schemas.openxmlformats.org/officeDocument/2006/relationships/oleObject" Target="embeddings/oleObject18.bin"/><Relationship Id="rId315" Type="http://schemas.openxmlformats.org/officeDocument/2006/relationships/image" Target="media/image112.png"/><Relationship Id="rId357" Type="http://schemas.openxmlformats.org/officeDocument/2006/relationships/image" Target="media/image129.emf"/><Relationship Id="rId54" Type="http://schemas.openxmlformats.org/officeDocument/2006/relationships/hyperlink" Target="file:///C:\Users\jeano\OneDrive\Documents\OU\Duerfeldt%20Research\THESIS\JGardner%20Dissertation%20v7.docx" TargetMode="External"/><Relationship Id="rId96" Type="http://schemas.openxmlformats.org/officeDocument/2006/relationships/oleObject" Target="embeddings/oleObject13.bin"/><Relationship Id="rId161" Type="http://schemas.openxmlformats.org/officeDocument/2006/relationships/image" Target="media/image48.emf"/><Relationship Id="rId217" Type="http://schemas.openxmlformats.org/officeDocument/2006/relationships/image" Target="media/image72.emf"/><Relationship Id="rId399" Type="http://schemas.openxmlformats.org/officeDocument/2006/relationships/image" Target="media/image163.png"/><Relationship Id="rId259" Type="http://schemas.openxmlformats.org/officeDocument/2006/relationships/image" Target="media/image88.emf"/><Relationship Id="rId424" Type="http://schemas.openxmlformats.org/officeDocument/2006/relationships/image" Target="media/image177.emf"/><Relationship Id="rId23" Type="http://schemas.openxmlformats.org/officeDocument/2006/relationships/hyperlink" Target="file:///C:\Users\jeano\OneDrive\Documents\OU\Duerfeldt%20Research\THESIS\JGardner%20Dissertation%20v7.docx" TargetMode="External"/><Relationship Id="rId119" Type="http://schemas.openxmlformats.org/officeDocument/2006/relationships/image" Target="media/image29.png"/><Relationship Id="rId270" Type="http://schemas.openxmlformats.org/officeDocument/2006/relationships/image" Target="media/image92.emf"/><Relationship Id="rId326" Type="http://schemas.openxmlformats.org/officeDocument/2006/relationships/oleObject" Target="embeddings/oleObject139.bin"/><Relationship Id="rId65" Type="http://schemas.openxmlformats.org/officeDocument/2006/relationships/hyperlink" Target="file:///C:\Users\jeano\OneDrive\Documents\OU\Duerfeldt%20Research\THESIS\JGardner%20Dissertation%20v7.docx" TargetMode="External"/><Relationship Id="rId130" Type="http://schemas.openxmlformats.org/officeDocument/2006/relationships/oleObject" Target="embeddings/oleObject27.bin"/><Relationship Id="rId368" Type="http://schemas.openxmlformats.org/officeDocument/2006/relationships/oleObject" Target="embeddings/oleObject167.bin"/><Relationship Id="rId172" Type="http://schemas.openxmlformats.org/officeDocument/2006/relationships/oleObject" Target="embeddings/oleObject52.bin"/><Relationship Id="rId228" Type="http://schemas.openxmlformats.org/officeDocument/2006/relationships/oleObject" Target="embeddings/oleObject84.bin"/><Relationship Id="rId435" Type="http://schemas.openxmlformats.org/officeDocument/2006/relationships/image" Target="media/image184.png"/><Relationship Id="rId281" Type="http://schemas.openxmlformats.org/officeDocument/2006/relationships/oleObject" Target="embeddings/oleObject117.bin"/><Relationship Id="rId337" Type="http://schemas.openxmlformats.org/officeDocument/2006/relationships/oleObject" Target="embeddings/oleObject146.bin"/><Relationship Id="rId34" Type="http://schemas.openxmlformats.org/officeDocument/2006/relationships/hyperlink" Target="file:///C:\Users\jeano\OneDrive\Documents\OU\Duerfeldt%20Research\THESIS\JGardner%20Dissertation%20v7.docx" TargetMode="External"/><Relationship Id="rId76" Type="http://schemas.openxmlformats.org/officeDocument/2006/relationships/oleObject" Target="embeddings/oleObject3.bin"/><Relationship Id="rId141" Type="http://schemas.openxmlformats.org/officeDocument/2006/relationships/oleObject" Target="embeddings/oleObject34.bin"/><Relationship Id="rId379" Type="http://schemas.openxmlformats.org/officeDocument/2006/relationships/image" Target="media/image143.jpg"/><Relationship Id="rId7" Type="http://schemas.openxmlformats.org/officeDocument/2006/relationships/endnotes" Target="endnotes.xml"/><Relationship Id="rId183" Type="http://schemas.openxmlformats.org/officeDocument/2006/relationships/oleObject" Target="embeddings/oleObject58.bin"/><Relationship Id="rId239" Type="http://schemas.openxmlformats.org/officeDocument/2006/relationships/oleObject" Target="embeddings/oleObject89.bin"/><Relationship Id="rId390" Type="http://schemas.openxmlformats.org/officeDocument/2006/relationships/image" Target="media/image154.jpg"/><Relationship Id="rId404" Type="http://schemas.openxmlformats.org/officeDocument/2006/relationships/hyperlink" Target="https://commons.wikimedia.org/w/index.php?curid=104914011" TargetMode="External"/><Relationship Id="rId446" Type="http://schemas.openxmlformats.org/officeDocument/2006/relationships/image" Target="media/image195.png"/><Relationship Id="rId250" Type="http://schemas.openxmlformats.org/officeDocument/2006/relationships/image" Target="media/image85.emf"/><Relationship Id="rId292" Type="http://schemas.openxmlformats.org/officeDocument/2006/relationships/oleObject" Target="embeddings/oleObject124.bin"/><Relationship Id="rId306" Type="http://schemas.openxmlformats.org/officeDocument/2006/relationships/oleObject" Target="embeddings/oleObject131.bin"/><Relationship Id="rId45" Type="http://schemas.openxmlformats.org/officeDocument/2006/relationships/hyperlink" Target="file:///C:\Users\jeano\OneDrive\Documents\OU\Duerfeldt%20Research\THESIS\JGardner%20Dissertation%20v7.docx" TargetMode="External"/><Relationship Id="rId87" Type="http://schemas.openxmlformats.org/officeDocument/2006/relationships/oleObject" Target="embeddings/oleObject10.bin"/><Relationship Id="rId110" Type="http://schemas.openxmlformats.org/officeDocument/2006/relationships/image" Target="media/image24.png"/><Relationship Id="rId348" Type="http://schemas.openxmlformats.org/officeDocument/2006/relationships/image" Target="media/image126.emf"/><Relationship Id="rId152" Type="http://schemas.openxmlformats.org/officeDocument/2006/relationships/image" Target="media/image44.emf"/><Relationship Id="rId194" Type="http://schemas.openxmlformats.org/officeDocument/2006/relationships/image" Target="media/image62.emf"/><Relationship Id="rId208" Type="http://schemas.openxmlformats.org/officeDocument/2006/relationships/image" Target="media/image68.emf"/><Relationship Id="rId415" Type="http://schemas.openxmlformats.org/officeDocument/2006/relationships/image" Target="media/image173.emf"/><Relationship Id="rId261" Type="http://schemas.openxmlformats.org/officeDocument/2006/relationships/oleObject" Target="embeddings/oleObject104.bin"/><Relationship Id="rId14" Type="http://schemas.openxmlformats.org/officeDocument/2006/relationships/hyperlink" Target="file:///C:\Users\jeano\OneDrive\Documents\OU\Duerfeldt%20Research\THESIS\JGardner%20Dissertation%20v7.docx" TargetMode="External"/><Relationship Id="rId56" Type="http://schemas.openxmlformats.org/officeDocument/2006/relationships/hyperlink" Target="file:///C:\Users\jeano\OneDrive\Documents\OU\Duerfeldt%20Research\THESIS\JGardner%20Dissertation%20v7.docx" TargetMode="External"/><Relationship Id="rId317" Type="http://schemas.openxmlformats.org/officeDocument/2006/relationships/image" Target="media/image114.emf"/><Relationship Id="rId359" Type="http://schemas.openxmlformats.org/officeDocument/2006/relationships/oleObject" Target="embeddings/oleObject161.bin"/><Relationship Id="rId98" Type="http://schemas.openxmlformats.org/officeDocument/2006/relationships/image" Target="media/image16.png"/><Relationship Id="rId121" Type="http://schemas.openxmlformats.org/officeDocument/2006/relationships/image" Target="media/image31.png"/><Relationship Id="rId163" Type="http://schemas.openxmlformats.org/officeDocument/2006/relationships/image" Target="media/image49.emf"/><Relationship Id="rId219" Type="http://schemas.openxmlformats.org/officeDocument/2006/relationships/image" Target="media/image73.emf"/><Relationship Id="rId370" Type="http://schemas.openxmlformats.org/officeDocument/2006/relationships/image" Target="media/image134.jpg"/><Relationship Id="rId426" Type="http://schemas.openxmlformats.org/officeDocument/2006/relationships/oleObject" Target="embeddings/oleObject175.bin"/><Relationship Id="rId230" Type="http://schemas.openxmlformats.org/officeDocument/2006/relationships/oleObject" Target="embeddings/oleObject85.bin"/><Relationship Id="rId25" Type="http://schemas.openxmlformats.org/officeDocument/2006/relationships/hyperlink" Target="file:///C:\Users\jeano\OneDrive\Documents\OU\Duerfeldt%20Research\THESIS\JGardner%20Dissertation%20v7.docx" TargetMode="External"/><Relationship Id="rId67" Type="http://schemas.openxmlformats.org/officeDocument/2006/relationships/hyperlink" Target="file:///C:\Users\jeano\OneDrive\Documents\OU\Duerfeldt%20Research\THESIS\JGardner%20Dissertation%20v7.docx" TargetMode="External"/><Relationship Id="rId272" Type="http://schemas.openxmlformats.org/officeDocument/2006/relationships/image" Target="media/image93.emf"/><Relationship Id="rId328" Type="http://schemas.openxmlformats.org/officeDocument/2006/relationships/oleObject" Target="embeddings/oleObject140.bin"/><Relationship Id="rId132" Type="http://schemas.openxmlformats.org/officeDocument/2006/relationships/image" Target="media/image36.emf"/><Relationship Id="rId174" Type="http://schemas.openxmlformats.org/officeDocument/2006/relationships/oleObject" Target="embeddings/oleObject53.bin"/><Relationship Id="rId381" Type="http://schemas.openxmlformats.org/officeDocument/2006/relationships/image" Target="media/image145.jpg"/><Relationship Id="rId241" Type="http://schemas.openxmlformats.org/officeDocument/2006/relationships/image" Target="media/image82.emf"/><Relationship Id="rId437" Type="http://schemas.openxmlformats.org/officeDocument/2006/relationships/image" Target="media/image186.png"/><Relationship Id="rId36" Type="http://schemas.openxmlformats.org/officeDocument/2006/relationships/hyperlink" Target="file:///C:\Users\jeano\OneDrive\Documents\OU\Duerfeldt%20Research\THESIS\JGardner%20Dissertation%20v7.docx" TargetMode="External"/><Relationship Id="rId283" Type="http://schemas.openxmlformats.org/officeDocument/2006/relationships/oleObject" Target="embeddings/oleObject118.bin"/><Relationship Id="rId339" Type="http://schemas.openxmlformats.org/officeDocument/2006/relationships/image" Target="media/image123.emf"/><Relationship Id="rId78" Type="http://schemas.openxmlformats.org/officeDocument/2006/relationships/image" Target="media/image6.png"/><Relationship Id="rId101" Type="http://schemas.openxmlformats.org/officeDocument/2006/relationships/image" Target="media/image19.png"/><Relationship Id="rId143" Type="http://schemas.openxmlformats.org/officeDocument/2006/relationships/oleObject" Target="embeddings/oleObject35.bin"/><Relationship Id="rId185" Type="http://schemas.openxmlformats.org/officeDocument/2006/relationships/oleObject" Target="embeddings/oleObject59.bin"/><Relationship Id="rId350" Type="http://schemas.openxmlformats.org/officeDocument/2006/relationships/oleObject" Target="embeddings/oleObject155.bin"/><Relationship Id="rId406" Type="http://schemas.openxmlformats.org/officeDocument/2006/relationships/image" Target="media/image166.png"/><Relationship Id="rId9" Type="http://schemas.openxmlformats.org/officeDocument/2006/relationships/footer" Target="footer2.xml"/><Relationship Id="rId210" Type="http://schemas.openxmlformats.org/officeDocument/2006/relationships/image" Target="media/image69.emf"/><Relationship Id="rId392" Type="http://schemas.openxmlformats.org/officeDocument/2006/relationships/image" Target="media/image156.jpg"/><Relationship Id="rId448" Type="http://schemas.openxmlformats.org/officeDocument/2006/relationships/fontTable" Target="fontTable.xml"/><Relationship Id="rId252" Type="http://schemas.openxmlformats.org/officeDocument/2006/relationships/oleObject" Target="embeddings/oleObject98.bin"/><Relationship Id="rId294" Type="http://schemas.openxmlformats.org/officeDocument/2006/relationships/oleObject" Target="embeddings/oleObject125.bin"/><Relationship Id="rId308" Type="http://schemas.openxmlformats.org/officeDocument/2006/relationships/image" Target="media/image107.emf"/><Relationship Id="rId47" Type="http://schemas.openxmlformats.org/officeDocument/2006/relationships/hyperlink" Target="file:///C:\Users\jeano\OneDrive\Documents\OU\Duerfeldt%20Research\THESIS\JGardner%20Dissertation%20v7.docx" TargetMode="External"/><Relationship Id="rId89" Type="http://schemas.openxmlformats.org/officeDocument/2006/relationships/oleObject" Target="embeddings/oleObject11.bin"/><Relationship Id="rId112" Type="http://schemas.openxmlformats.org/officeDocument/2006/relationships/image" Target="media/image26.emf"/><Relationship Id="rId154" Type="http://schemas.openxmlformats.org/officeDocument/2006/relationships/image" Target="media/image45.emf"/><Relationship Id="rId361" Type="http://schemas.openxmlformats.org/officeDocument/2006/relationships/oleObject" Target="embeddings/oleObject162.bin"/><Relationship Id="rId196" Type="http://schemas.openxmlformats.org/officeDocument/2006/relationships/image" Target="media/image63.emf"/><Relationship Id="rId417" Type="http://schemas.openxmlformats.org/officeDocument/2006/relationships/oleObject" Target="embeddings/oleObject171.bin"/><Relationship Id="rId16" Type="http://schemas.openxmlformats.org/officeDocument/2006/relationships/hyperlink" Target="file:///C:\Users\jeano\OneDrive\Documents\OU\Duerfeldt%20Research\THESIS\JGardner%20Dissertation%20v7.docx" TargetMode="External"/><Relationship Id="rId221" Type="http://schemas.openxmlformats.org/officeDocument/2006/relationships/oleObject" Target="embeddings/oleObject80.bin"/><Relationship Id="rId263" Type="http://schemas.openxmlformats.org/officeDocument/2006/relationships/oleObject" Target="embeddings/oleObject105.bin"/><Relationship Id="rId319" Type="http://schemas.openxmlformats.org/officeDocument/2006/relationships/image" Target="media/image115.png"/><Relationship Id="rId58" Type="http://schemas.openxmlformats.org/officeDocument/2006/relationships/hyperlink" Target="file:///C:\Users\jeano\OneDrive\Documents\OU\Duerfeldt%20Research\THESIS\JGardner%20Dissertation%20v7.docx" TargetMode="External"/><Relationship Id="rId123" Type="http://schemas.openxmlformats.org/officeDocument/2006/relationships/image" Target="media/image33.png"/><Relationship Id="rId330" Type="http://schemas.openxmlformats.org/officeDocument/2006/relationships/image" Target="media/image120.emf"/><Relationship Id="rId165" Type="http://schemas.openxmlformats.org/officeDocument/2006/relationships/oleObject" Target="embeddings/oleObject48.bin"/><Relationship Id="rId372" Type="http://schemas.openxmlformats.org/officeDocument/2006/relationships/image" Target="media/image136.jpeg"/><Relationship Id="rId428" Type="http://schemas.openxmlformats.org/officeDocument/2006/relationships/oleObject" Target="embeddings/oleObject177.bin"/><Relationship Id="rId232" Type="http://schemas.openxmlformats.org/officeDocument/2006/relationships/image" Target="media/image78.emf"/><Relationship Id="rId274" Type="http://schemas.openxmlformats.org/officeDocument/2006/relationships/oleObject" Target="embeddings/oleObject112.bin"/><Relationship Id="rId27" Type="http://schemas.openxmlformats.org/officeDocument/2006/relationships/hyperlink" Target="file:///C:\Users\jeano\OneDrive\Documents\OU\Duerfeldt%20Research\THESIS\JGardner%20Dissertation%20v7.docx" TargetMode="External"/><Relationship Id="rId69" Type="http://schemas.openxmlformats.org/officeDocument/2006/relationships/chart" Target="charts/chart1.xml"/><Relationship Id="rId134" Type="http://schemas.openxmlformats.org/officeDocument/2006/relationships/oleObject" Target="embeddings/oleObject30.bin"/><Relationship Id="rId80" Type="http://schemas.openxmlformats.org/officeDocument/2006/relationships/oleObject" Target="embeddings/oleObject5.bin"/><Relationship Id="rId176" Type="http://schemas.openxmlformats.org/officeDocument/2006/relationships/oleObject" Target="embeddings/oleObject54.bin"/><Relationship Id="rId341" Type="http://schemas.openxmlformats.org/officeDocument/2006/relationships/oleObject" Target="embeddings/oleObject149.bin"/><Relationship Id="rId383" Type="http://schemas.openxmlformats.org/officeDocument/2006/relationships/image" Target="media/image147.jpg"/><Relationship Id="rId439" Type="http://schemas.openxmlformats.org/officeDocument/2006/relationships/image" Target="media/image188.png"/><Relationship Id="rId201" Type="http://schemas.openxmlformats.org/officeDocument/2006/relationships/image" Target="media/image65.emf"/><Relationship Id="rId243" Type="http://schemas.openxmlformats.org/officeDocument/2006/relationships/oleObject" Target="embeddings/oleObject92.bin"/><Relationship Id="rId285" Type="http://schemas.openxmlformats.org/officeDocument/2006/relationships/image" Target="media/image97.emf"/><Relationship Id="rId38" Type="http://schemas.openxmlformats.org/officeDocument/2006/relationships/hyperlink" Target="file:///C:\Users\jeano\OneDrive\Documents\OU\Duerfeldt%20Research\THESIS\JGardner%20Dissertation%20v7.docx" TargetMode="External"/><Relationship Id="rId103" Type="http://schemas.openxmlformats.org/officeDocument/2006/relationships/image" Target="media/image21.emf"/><Relationship Id="rId310" Type="http://schemas.openxmlformats.org/officeDocument/2006/relationships/oleObject" Target="embeddings/oleObject134.bin"/><Relationship Id="rId91" Type="http://schemas.openxmlformats.org/officeDocument/2006/relationships/image" Target="media/image11.png"/><Relationship Id="rId145" Type="http://schemas.openxmlformats.org/officeDocument/2006/relationships/image" Target="media/image41.emf"/><Relationship Id="rId187" Type="http://schemas.openxmlformats.org/officeDocument/2006/relationships/image" Target="media/image59.emf"/><Relationship Id="rId352" Type="http://schemas.openxmlformats.org/officeDocument/2006/relationships/oleObject" Target="embeddings/oleObject156.bin"/><Relationship Id="rId394" Type="http://schemas.openxmlformats.org/officeDocument/2006/relationships/image" Target="media/image158.jpg"/><Relationship Id="rId408" Type="http://schemas.openxmlformats.org/officeDocument/2006/relationships/image" Target="media/image168.png"/><Relationship Id="rId212" Type="http://schemas.openxmlformats.org/officeDocument/2006/relationships/image" Target="media/image70.emf"/><Relationship Id="rId254" Type="http://schemas.openxmlformats.org/officeDocument/2006/relationships/oleObject" Target="embeddings/oleObject99.bin"/><Relationship Id="rId49" Type="http://schemas.openxmlformats.org/officeDocument/2006/relationships/hyperlink" Target="file:///C:\Users\jeano\OneDrive\Documents\OU\Duerfeldt%20Research\THESIS\JGardner%20Dissertation%20v7.docx" TargetMode="External"/><Relationship Id="rId114" Type="http://schemas.openxmlformats.org/officeDocument/2006/relationships/oleObject" Target="embeddings/oleObject20.bin"/><Relationship Id="rId296" Type="http://schemas.openxmlformats.org/officeDocument/2006/relationships/oleObject" Target="embeddings/oleObject126.bin"/><Relationship Id="rId60" Type="http://schemas.openxmlformats.org/officeDocument/2006/relationships/hyperlink" Target="file:///C:\Users\jeano\OneDrive\Documents\OU\Duerfeldt%20Research\THESIS\JGardner%20Dissertation%20v7.docx" TargetMode="External"/><Relationship Id="rId156" Type="http://schemas.openxmlformats.org/officeDocument/2006/relationships/image" Target="media/image46.emf"/><Relationship Id="rId198" Type="http://schemas.openxmlformats.org/officeDocument/2006/relationships/image" Target="media/image64.emf"/><Relationship Id="rId321" Type="http://schemas.openxmlformats.org/officeDocument/2006/relationships/image" Target="media/image117.emf"/><Relationship Id="rId363" Type="http://schemas.openxmlformats.org/officeDocument/2006/relationships/image" Target="media/image131.emf"/><Relationship Id="rId419" Type="http://schemas.openxmlformats.org/officeDocument/2006/relationships/oleObject" Target="embeddings/oleObject172.bin"/><Relationship Id="rId223" Type="http://schemas.openxmlformats.org/officeDocument/2006/relationships/oleObject" Target="embeddings/oleObject81.bin"/><Relationship Id="rId430" Type="http://schemas.openxmlformats.org/officeDocument/2006/relationships/image" Target="media/image179.png"/><Relationship Id="rId18" Type="http://schemas.openxmlformats.org/officeDocument/2006/relationships/hyperlink" Target="file:///C:\Users\jeano\OneDrive\Documents\OU\Duerfeldt%20Research\THESIS\JGardner%20Dissertation%20v7.docx" TargetMode="External"/><Relationship Id="rId265" Type="http://schemas.openxmlformats.org/officeDocument/2006/relationships/oleObject" Target="embeddings/oleObject106.bin"/><Relationship Id="rId50" Type="http://schemas.openxmlformats.org/officeDocument/2006/relationships/hyperlink" Target="file:///C:\Users\jeano\OneDrive\Documents\OU\Duerfeldt%20Research\THESIS\JGardner%20Dissertation%20v7.docx" TargetMode="External"/><Relationship Id="rId104" Type="http://schemas.openxmlformats.org/officeDocument/2006/relationships/oleObject" Target="embeddings/oleObject15.bin"/><Relationship Id="rId125" Type="http://schemas.openxmlformats.org/officeDocument/2006/relationships/oleObject" Target="embeddings/oleObject23.bin"/><Relationship Id="rId146" Type="http://schemas.openxmlformats.org/officeDocument/2006/relationships/oleObject" Target="embeddings/oleObject37.bin"/><Relationship Id="rId167" Type="http://schemas.openxmlformats.org/officeDocument/2006/relationships/oleObject" Target="embeddings/oleObject49.bin"/><Relationship Id="rId188" Type="http://schemas.openxmlformats.org/officeDocument/2006/relationships/oleObject" Target="embeddings/oleObject61.bin"/><Relationship Id="rId311" Type="http://schemas.openxmlformats.org/officeDocument/2006/relationships/image" Target="media/image108.png"/><Relationship Id="rId332" Type="http://schemas.openxmlformats.org/officeDocument/2006/relationships/oleObject" Target="embeddings/oleObject143.bin"/><Relationship Id="rId353" Type="http://schemas.openxmlformats.org/officeDocument/2006/relationships/oleObject" Target="embeddings/oleObject157.bin"/><Relationship Id="rId374" Type="http://schemas.openxmlformats.org/officeDocument/2006/relationships/image" Target="media/image138.jpg"/><Relationship Id="rId395" Type="http://schemas.openxmlformats.org/officeDocument/2006/relationships/image" Target="media/image159.jpg"/><Relationship Id="rId409" Type="http://schemas.openxmlformats.org/officeDocument/2006/relationships/image" Target="media/image169.png"/><Relationship Id="rId71" Type="http://schemas.openxmlformats.org/officeDocument/2006/relationships/image" Target="media/image3.png"/><Relationship Id="rId92" Type="http://schemas.openxmlformats.org/officeDocument/2006/relationships/image" Target="media/image12.png"/><Relationship Id="rId213" Type="http://schemas.openxmlformats.org/officeDocument/2006/relationships/oleObject" Target="embeddings/oleObject75.bin"/><Relationship Id="rId234" Type="http://schemas.openxmlformats.org/officeDocument/2006/relationships/image" Target="media/image79.png"/><Relationship Id="rId420" Type="http://schemas.openxmlformats.org/officeDocument/2006/relationships/oleObject" Target="embeddings/oleObject173.bin"/><Relationship Id="rId2" Type="http://schemas.openxmlformats.org/officeDocument/2006/relationships/numbering" Target="numbering.xml"/><Relationship Id="rId29" Type="http://schemas.openxmlformats.org/officeDocument/2006/relationships/hyperlink" Target="file:///C:\Users\jeano\OneDrive\Documents\OU\Duerfeldt%20Research\THESIS\JGardner%20Dissertation%20v7.docx" TargetMode="External"/><Relationship Id="rId255" Type="http://schemas.openxmlformats.org/officeDocument/2006/relationships/oleObject" Target="embeddings/oleObject100.bin"/><Relationship Id="rId276" Type="http://schemas.openxmlformats.org/officeDocument/2006/relationships/image" Target="media/image94.emf"/><Relationship Id="rId297" Type="http://schemas.openxmlformats.org/officeDocument/2006/relationships/oleObject" Target="embeddings/oleObject127.bin"/><Relationship Id="rId441" Type="http://schemas.openxmlformats.org/officeDocument/2006/relationships/image" Target="media/image190.png"/><Relationship Id="rId40" Type="http://schemas.openxmlformats.org/officeDocument/2006/relationships/hyperlink" Target="file:///C:\Users\jeano\OneDrive\Documents\OU\Duerfeldt%20Research\THESIS\JGardner%20Dissertation%20v7.docx" TargetMode="External"/><Relationship Id="rId115" Type="http://schemas.openxmlformats.org/officeDocument/2006/relationships/image" Target="media/image27.png"/><Relationship Id="rId136" Type="http://schemas.openxmlformats.org/officeDocument/2006/relationships/oleObject" Target="embeddings/oleObject31.bin"/><Relationship Id="rId157" Type="http://schemas.openxmlformats.org/officeDocument/2006/relationships/oleObject" Target="embeddings/oleObject43.bin"/><Relationship Id="rId178" Type="http://schemas.openxmlformats.org/officeDocument/2006/relationships/oleObject" Target="embeddings/oleObject55.bin"/><Relationship Id="rId301" Type="http://schemas.openxmlformats.org/officeDocument/2006/relationships/image" Target="media/image104.emf"/><Relationship Id="rId322" Type="http://schemas.openxmlformats.org/officeDocument/2006/relationships/oleObject" Target="embeddings/oleObject136.bin"/><Relationship Id="rId343" Type="http://schemas.openxmlformats.org/officeDocument/2006/relationships/oleObject" Target="embeddings/oleObject150.bin"/><Relationship Id="rId364" Type="http://schemas.openxmlformats.org/officeDocument/2006/relationships/oleObject" Target="embeddings/oleObject164.bin"/><Relationship Id="rId61" Type="http://schemas.openxmlformats.org/officeDocument/2006/relationships/hyperlink" Target="file:///C:\Users\jeano\OneDrive\Documents\OU\Duerfeldt%20Research\THESIS\JGardner%20Dissertation%20v7.docx" TargetMode="External"/><Relationship Id="rId82" Type="http://schemas.openxmlformats.org/officeDocument/2006/relationships/oleObject" Target="embeddings/oleObject6.bin"/><Relationship Id="rId199" Type="http://schemas.openxmlformats.org/officeDocument/2006/relationships/oleObject" Target="embeddings/oleObject67.bin"/><Relationship Id="rId203" Type="http://schemas.openxmlformats.org/officeDocument/2006/relationships/image" Target="media/image66.emf"/><Relationship Id="rId385" Type="http://schemas.openxmlformats.org/officeDocument/2006/relationships/image" Target="media/image149.jpg"/><Relationship Id="rId19" Type="http://schemas.openxmlformats.org/officeDocument/2006/relationships/hyperlink" Target="file:///C:\Users\jeano\OneDrive\Documents\OU\Duerfeldt%20Research\THESIS\JGardner%20Dissertation%20v7.docx" TargetMode="External"/><Relationship Id="rId224" Type="http://schemas.openxmlformats.org/officeDocument/2006/relationships/image" Target="media/image75.emf"/><Relationship Id="rId245" Type="http://schemas.openxmlformats.org/officeDocument/2006/relationships/oleObject" Target="embeddings/oleObject93.bin"/><Relationship Id="rId266" Type="http://schemas.openxmlformats.org/officeDocument/2006/relationships/oleObject" Target="embeddings/oleObject107.bin"/><Relationship Id="rId287" Type="http://schemas.openxmlformats.org/officeDocument/2006/relationships/image" Target="media/image98.emf"/><Relationship Id="rId410" Type="http://schemas.openxmlformats.org/officeDocument/2006/relationships/image" Target="media/image170.png"/><Relationship Id="rId431" Type="http://schemas.openxmlformats.org/officeDocument/2006/relationships/image" Target="media/image180.png"/><Relationship Id="rId30" Type="http://schemas.openxmlformats.org/officeDocument/2006/relationships/hyperlink" Target="file:///C:\Users\jeano\OneDrive\Documents\OU\Duerfeldt%20Research\THESIS\JGardner%20Dissertation%20v7.docx" TargetMode="External"/><Relationship Id="rId105" Type="http://schemas.openxmlformats.org/officeDocument/2006/relationships/oleObject" Target="embeddings/oleObject16.bin"/><Relationship Id="rId126" Type="http://schemas.openxmlformats.org/officeDocument/2006/relationships/oleObject" Target="embeddings/oleObject24.bin"/><Relationship Id="rId147" Type="http://schemas.openxmlformats.org/officeDocument/2006/relationships/image" Target="media/image42.emf"/><Relationship Id="rId168" Type="http://schemas.openxmlformats.org/officeDocument/2006/relationships/image" Target="media/image51.emf"/><Relationship Id="rId312" Type="http://schemas.openxmlformats.org/officeDocument/2006/relationships/image" Target="media/image109.png"/><Relationship Id="rId333" Type="http://schemas.openxmlformats.org/officeDocument/2006/relationships/image" Target="media/image121.emf"/><Relationship Id="rId354" Type="http://schemas.openxmlformats.org/officeDocument/2006/relationships/image" Target="media/image128.emf"/><Relationship Id="rId51" Type="http://schemas.openxmlformats.org/officeDocument/2006/relationships/hyperlink" Target="file:///C:\Users\jeano\OneDrive\Documents\OU\Duerfeldt%20Research\THESIS\JGardner%20Dissertation%20v7.docx" TargetMode="External"/><Relationship Id="rId72" Type="http://schemas.openxmlformats.org/officeDocument/2006/relationships/image" Target="media/image4.emf"/><Relationship Id="rId93" Type="http://schemas.openxmlformats.org/officeDocument/2006/relationships/image" Target="media/image13.png"/><Relationship Id="rId189" Type="http://schemas.openxmlformats.org/officeDocument/2006/relationships/image" Target="media/image60.emf"/><Relationship Id="rId375" Type="http://schemas.openxmlformats.org/officeDocument/2006/relationships/image" Target="media/image139.jpg"/><Relationship Id="rId396" Type="http://schemas.openxmlformats.org/officeDocument/2006/relationships/image" Target="media/image160.jpg"/><Relationship Id="rId3" Type="http://schemas.openxmlformats.org/officeDocument/2006/relationships/styles" Target="styles.xml"/><Relationship Id="rId214" Type="http://schemas.openxmlformats.org/officeDocument/2006/relationships/oleObject" Target="embeddings/oleObject76.bin"/><Relationship Id="rId235" Type="http://schemas.openxmlformats.org/officeDocument/2006/relationships/oleObject" Target="embeddings/oleObject87.bin"/><Relationship Id="rId256" Type="http://schemas.openxmlformats.org/officeDocument/2006/relationships/image" Target="media/image87.emf"/><Relationship Id="rId277" Type="http://schemas.openxmlformats.org/officeDocument/2006/relationships/oleObject" Target="embeddings/oleObject114.bin"/><Relationship Id="rId298" Type="http://schemas.openxmlformats.org/officeDocument/2006/relationships/image" Target="media/image102.emf"/><Relationship Id="rId400" Type="http://schemas.openxmlformats.org/officeDocument/2006/relationships/hyperlink" Target="https://coronavirus.jhu.edu/pandemic-data-initiative" TargetMode="External"/><Relationship Id="rId421" Type="http://schemas.openxmlformats.org/officeDocument/2006/relationships/image" Target="media/image175.png"/><Relationship Id="rId442" Type="http://schemas.openxmlformats.org/officeDocument/2006/relationships/image" Target="media/image191.png"/><Relationship Id="rId116" Type="http://schemas.openxmlformats.org/officeDocument/2006/relationships/image" Target="media/image28.emf"/><Relationship Id="rId137" Type="http://schemas.openxmlformats.org/officeDocument/2006/relationships/oleObject" Target="embeddings/oleObject32.bin"/><Relationship Id="rId158" Type="http://schemas.openxmlformats.org/officeDocument/2006/relationships/oleObject" Target="embeddings/oleObject44.bin"/><Relationship Id="rId302" Type="http://schemas.openxmlformats.org/officeDocument/2006/relationships/oleObject" Target="embeddings/oleObject129.bin"/><Relationship Id="rId323" Type="http://schemas.openxmlformats.org/officeDocument/2006/relationships/image" Target="media/image118.emf"/><Relationship Id="rId344" Type="http://schemas.openxmlformats.org/officeDocument/2006/relationships/oleObject" Target="embeddings/oleObject151.bin"/><Relationship Id="rId20" Type="http://schemas.openxmlformats.org/officeDocument/2006/relationships/hyperlink" Target="file:///C:\Users\jeano\OneDrive\Documents\OU\Duerfeldt%20Research\THESIS\JGardner%20Dissertation%20v7.docx" TargetMode="External"/><Relationship Id="rId41" Type="http://schemas.openxmlformats.org/officeDocument/2006/relationships/hyperlink" Target="file:///C:\Users\jeano\OneDrive\Documents\OU\Duerfeldt%20Research\THESIS\JGardner%20Dissertation%20v7.docx" TargetMode="External"/><Relationship Id="rId62" Type="http://schemas.openxmlformats.org/officeDocument/2006/relationships/hyperlink" Target="file:///C:\Users\jeano\OneDrive\Documents\OU\Duerfeldt%20Research\THESIS\JGardner%20Dissertation%20v7.docx" TargetMode="External"/><Relationship Id="rId83" Type="http://schemas.openxmlformats.org/officeDocument/2006/relationships/oleObject" Target="embeddings/oleObject7.bin"/><Relationship Id="rId179" Type="http://schemas.openxmlformats.org/officeDocument/2006/relationships/oleObject" Target="embeddings/oleObject56.bin"/><Relationship Id="rId365" Type="http://schemas.openxmlformats.org/officeDocument/2006/relationships/oleObject" Target="embeddings/oleObject165.bin"/><Relationship Id="rId386" Type="http://schemas.openxmlformats.org/officeDocument/2006/relationships/image" Target="media/image150.jpg"/><Relationship Id="rId190" Type="http://schemas.openxmlformats.org/officeDocument/2006/relationships/oleObject" Target="embeddings/oleObject62.bin"/><Relationship Id="rId204" Type="http://schemas.openxmlformats.org/officeDocument/2006/relationships/oleObject" Target="embeddings/oleObject70.bin"/><Relationship Id="rId225" Type="http://schemas.openxmlformats.org/officeDocument/2006/relationships/oleObject" Target="embeddings/oleObject82.bin"/><Relationship Id="rId246" Type="http://schemas.openxmlformats.org/officeDocument/2006/relationships/oleObject" Target="embeddings/oleObject94.bin"/><Relationship Id="rId267" Type="http://schemas.openxmlformats.org/officeDocument/2006/relationships/image" Target="media/image91.emf"/><Relationship Id="rId288" Type="http://schemas.openxmlformats.org/officeDocument/2006/relationships/oleObject" Target="embeddings/oleObject121.bin"/><Relationship Id="rId411" Type="http://schemas.openxmlformats.org/officeDocument/2006/relationships/image" Target="media/image171.png"/><Relationship Id="rId432" Type="http://schemas.openxmlformats.org/officeDocument/2006/relationships/image" Target="media/image181.png"/><Relationship Id="rId106" Type="http://schemas.openxmlformats.org/officeDocument/2006/relationships/image" Target="media/image22.emf"/><Relationship Id="rId127" Type="http://schemas.openxmlformats.org/officeDocument/2006/relationships/image" Target="media/image35.emf"/><Relationship Id="rId313" Type="http://schemas.openxmlformats.org/officeDocument/2006/relationships/image" Target="media/image110.png"/><Relationship Id="rId10" Type="http://schemas.openxmlformats.org/officeDocument/2006/relationships/hyperlink" Target="file:///C:\Users\jeano\OneDrive\Documents\OU\Duerfeldt%20Research\THESIS\JGardner%20Dissertation%20v7.docx" TargetMode="External"/><Relationship Id="rId31" Type="http://schemas.openxmlformats.org/officeDocument/2006/relationships/hyperlink" Target="file:///C:\Users\jeano\OneDrive\Documents\OU\Duerfeldt%20Research\THESIS\JGardner%20Dissertation%20v7.docx" TargetMode="External"/><Relationship Id="rId52" Type="http://schemas.openxmlformats.org/officeDocument/2006/relationships/hyperlink" Target="file:///C:\Users\jeano\OneDrive\Documents\OU\Duerfeldt%20Research\THESIS\JGardner%20Dissertation%20v7.docx" TargetMode="External"/><Relationship Id="rId73" Type="http://schemas.openxmlformats.org/officeDocument/2006/relationships/oleObject" Target="embeddings/oleObject1.bin"/><Relationship Id="rId94" Type="http://schemas.openxmlformats.org/officeDocument/2006/relationships/image" Target="media/image14.png"/><Relationship Id="rId148" Type="http://schemas.openxmlformats.org/officeDocument/2006/relationships/oleObject" Target="embeddings/oleObject38.bin"/><Relationship Id="rId169" Type="http://schemas.openxmlformats.org/officeDocument/2006/relationships/oleObject" Target="embeddings/oleObject50.bin"/><Relationship Id="rId334" Type="http://schemas.openxmlformats.org/officeDocument/2006/relationships/oleObject" Target="embeddings/oleObject144.bin"/><Relationship Id="rId355" Type="http://schemas.openxmlformats.org/officeDocument/2006/relationships/oleObject" Target="embeddings/oleObject158.bin"/><Relationship Id="rId376" Type="http://schemas.openxmlformats.org/officeDocument/2006/relationships/image" Target="media/image140.jpg"/><Relationship Id="rId397" Type="http://schemas.openxmlformats.org/officeDocument/2006/relationships/image" Target="media/image161.jpg"/><Relationship Id="rId4" Type="http://schemas.openxmlformats.org/officeDocument/2006/relationships/settings" Target="settings.xml"/><Relationship Id="rId180" Type="http://schemas.openxmlformats.org/officeDocument/2006/relationships/image" Target="media/image56.emf"/><Relationship Id="rId215" Type="http://schemas.openxmlformats.org/officeDocument/2006/relationships/image" Target="media/image71.emf"/><Relationship Id="rId236" Type="http://schemas.openxmlformats.org/officeDocument/2006/relationships/oleObject" Target="embeddings/oleObject88.bin"/><Relationship Id="rId257" Type="http://schemas.openxmlformats.org/officeDocument/2006/relationships/oleObject" Target="embeddings/oleObject101.bin"/><Relationship Id="rId278" Type="http://schemas.openxmlformats.org/officeDocument/2006/relationships/image" Target="media/image95.emf"/><Relationship Id="rId401" Type="http://schemas.openxmlformats.org/officeDocument/2006/relationships/hyperlink" Target="https://coronavirus.jhu.edu/pandemic-data-initiative" TargetMode="External"/><Relationship Id="rId422" Type="http://schemas.microsoft.com/office/2014/relationships/chartEx" Target="charts/chartEx1.xml"/><Relationship Id="rId443" Type="http://schemas.openxmlformats.org/officeDocument/2006/relationships/image" Target="media/image192.png"/><Relationship Id="rId303" Type="http://schemas.openxmlformats.org/officeDocument/2006/relationships/oleObject" Target="embeddings/oleObject130.bin"/><Relationship Id="rId42" Type="http://schemas.openxmlformats.org/officeDocument/2006/relationships/hyperlink" Target="file:///C:\Users\jeano\OneDrive\Documents\OU\Duerfeldt%20Research\THESIS\JGardner%20Dissertation%20v7.docx" TargetMode="External"/><Relationship Id="rId84" Type="http://schemas.openxmlformats.org/officeDocument/2006/relationships/oleObject" Target="embeddings/oleObject8.bin"/><Relationship Id="rId138" Type="http://schemas.openxmlformats.org/officeDocument/2006/relationships/image" Target="media/image38.emf"/><Relationship Id="rId345" Type="http://schemas.openxmlformats.org/officeDocument/2006/relationships/image" Target="media/image125.emf"/><Relationship Id="rId387" Type="http://schemas.openxmlformats.org/officeDocument/2006/relationships/image" Target="media/image151.jpg"/><Relationship Id="rId191" Type="http://schemas.openxmlformats.org/officeDocument/2006/relationships/image" Target="media/image61.emf"/><Relationship Id="rId205" Type="http://schemas.openxmlformats.org/officeDocument/2006/relationships/image" Target="media/image67.emf"/><Relationship Id="rId247" Type="http://schemas.openxmlformats.org/officeDocument/2006/relationships/image" Target="media/image84.emf"/><Relationship Id="rId412" Type="http://schemas.openxmlformats.org/officeDocument/2006/relationships/image" Target="media/image172.emf"/><Relationship Id="rId107" Type="http://schemas.openxmlformats.org/officeDocument/2006/relationships/oleObject" Target="embeddings/oleObject17.bin"/><Relationship Id="rId289" Type="http://schemas.openxmlformats.org/officeDocument/2006/relationships/oleObject" Target="embeddings/oleObject122.bin"/><Relationship Id="rId11" Type="http://schemas.openxmlformats.org/officeDocument/2006/relationships/hyperlink" Target="file:///C:\Users\jeano\OneDrive\Documents\OU\Duerfeldt%20Research\THESIS\JGardner%20Dissertation%20v7.docx" TargetMode="External"/><Relationship Id="rId53" Type="http://schemas.openxmlformats.org/officeDocument/2006/relationships/hyperlink" Target="file:///C:\Users\jeano\OneDrive\Documents\OU\Duerfeldt%20Research\THESIS\JGardner%20Dissertation%20v7.docx" TargetMode="External"/><Relationship Id="rId149" Type="http://schemas.openxmlformats.org/officeDocument/2006/relationships/image" Target="media/image43.emf"/><Relationship Id="rId314" Type="http://schemas.openxmlformats.org/officeDocument/2006/relationships/image" Target="media/image111.png"/><Relationship Id="rId356" Type="http://schemas.openxmlformats.org/officeDocument/2006/relationships/oleObject" Target="embeddings/oleObject159.bin"/><Relationship Id="rId398" Type="http://schemas.openxmlformats.org/officeDocument/2006/relationships/image" Target="media/image162.jpg"/><Relationship Id="rId95" Type="http://schemas.openxmlformats.org/officeDocument/2006/relationships/image" Target="media/image15.emf"/><Relationship Id="rId160" Type="http://schemas.openxmlformats.org/officeDocument/2006/relationships/oleObject" Target="embeddings/oleObject45.bin"/><Relationship Id="rId216" Type="http://schemas.openxmlformats.org/officeDocument/2006/relationships/oleObject" Target="embeddings/oleObject77.bin"/><Relationship Id="rId423" Type="http://schemas.openxmlformats.org/officeDocument/2006/relationships/image" Target="media/image176.png"/><Relationship Id="rId258" Type="http://schemas.openxmlformats.org/officeDocument/2006/relationships/oleObject" Target="embeddings/oleObject102.bin"/><Relationship Id="rId22" Type="http://schemas.openxmlformats.org/officeDocument/2006/relationships/hyperlink" Target="file:///C:\Users\jeano\OneDrive\Documents\OU\Duerfeldt%20Research\THESIS\JGardner%20Dissertation%20v7.docx" TargetMode="External"/><Relationship Id="rId64" Type="http://schemas.openxmlformats.org/officeDocument/2006/relationships/hyperlink" Target="file:///C:\Users\jeano\OneDrive\Documents\OU\Duerfeldt%20Research\THESIS\JGardner%20Dissertation%20v7.docx" TargetMode="External"/><Relationship Id="rId118" Type="http://schemas.openxmlformats.org/officeDocument/2006/relationships/oleObject" Target="embeddings/oleObject22.bin"/><Relationship Id="rId325" Type="http://schemas.openxmlformats.org/officeDocument/2006/relationships/oleObject" Target="embeddings/oleObject138.bin"/><Relationship Id="rId367" Type="http://schemas.openxmlformats.org/officeDocument/2006/relationships/oleObject" Target="embeddings/oleObject166.bin"/><Relationship Id="rId171" Type="http://schemas.openxmlformats.org/officeDocument/2006/relationships/oleObject" Target="embeddings/oleObject51.bin"/><Relationship Id="rId227" Type="http://schemas.openxmlformats.org/officeDocument/2006/relationships/oleObject" Target="embeddings/oleObject83.bin"/><Relationship Id="rId269" Type="http://schemas.openxmlformats.org/officeDocument/2006/relationships/oleObject" Target="embeddings/oleObject109.bin"/><Relationship Id="rId434" Type="http://schemas.openxmlformats.org/officeDocument/2006/relationships/image" Target="media/image183.png"/><Relationship Id="rId33" Type="http://schemas.openxmlformats.org/officeDocument/2006/relationships/hyperlink" Target="file:///C:\Users\jeano\OneDrive\Documents\OU\Duerfeldt%20Research\THESIS\JGardner%20Dissertation%20v7.docx" TargetMode="External"/><Relationship Id="rId129" Type="http://schemas.openxmlformats.org/officeDocument/2006/relationships/oleObject" Target="embeddings/oleObject26.bin"/><Relationship Id="rId280" Type="http://schemas.openxmlformats.org/officeDocument/2006/relationships/oleObject" Target="embeddings/oleObject116.bin"/><Relationship Id="rId336" Type="http://schemas.openxmlformats.org/officeDocument/2006/relationships/image" Target="media/image122.emf"/><Relationship Id="rId75" Type="http://schemas.openxmlformats.org/officeDocument/2006/relationships/image" Target="media/image5.emf"/><Relationship Id="rId140" Type="http://schemas.openxmlformats.org/officeDocument/2006/relationships/image" Target="media/image39.emf"/><Relationship Id="rId182" Type="http://schemas.openxmlformats.org/officeDocument/2006/relationships/image" Target="media/image57.emf"/><Relationship Id="rId378" Type="http://schemas.openxmlformats.org/officeDocument/2006/relationships/image" Target="media/image142.jpg"/><Relationship Id="rId403" Type="http://schemas.openxmlformats.org/officeDocument/2006/relationships/hyperlink" Target="https://commons.wikimedia.org/w/index.php?curid=104914011" TargetMode="External"/><Relationship Id="rId6" Type="http://schemas.openxmlformats.org/officeDocument/2006/relationships/footnotes" Target="footnotes.xml"/><Relationship Id="rId238" Type="http://schemas.openxmlformats.org/officeDocument/2006/relationships/image" Target="media/image81.emf"/><Relationship Id="rId445" Type="http://schemas.openxmlformats.org/officeDocument/2006/relationships/image" Target="media/image194.png"/><Relationship Id="rId291" Type="http://schemas.openxmlformats.org/officeDocument/2006/relationships/oleObject" Target="embeddings/oleObject123.bin"/><Relationship Id="rId305" Type="http://schemas.openxmlformats.org/officeDocument/2006/relationships/image" Target="media/image106.emf"/><Relationship Id="rId347" Type="http://schemas.openxmlformats.org/officeDocument/2006/relationships/oleObject" Target="embeddings/oleObject153.bin"/><Relationship Id="rId44" Type="http://schemas.openxmlformats.org/officeDocument/2006/relationships/hyperlink" Target="file:///C:\Users\jeano\OneDrive\Documents\OU\Duerfeldt%20Research\THESIS\JGardner%20Dissertation%20v7.docx" TargetMode="External"/><Relationship Id="rId86" Type="http://schemas.openxmlformats.org/officeDocument/2006/relationships/oleObject" Target="embeddings/oleObject9.bin"/><Relationship Id="rId151" Type="http://schemas.openxmlformats.org/officeDocument/2006/relationships/oleObject" Target="embeddings/oleObject40.bin"/><Relationship Id="rId389" Type="http://schemas.openxmlformats.org/officeDocument/2006/relationships/image" Target="media/image153.jpg"/><Relationship Id="rId193" Type="http://schemas.openxmlformats.org/officeDocument/2006/relationships/oleObject" Target="embeddings/oleObject64.bin"/><Relationship Id="rId207" Type="http://schemas.openxmlformats.org/officeDocument/2006/relationships/oleObject" Target="embeddings/oleObject72.bin"/><Relationship Id="rId249" Type="http://schemas.openxmlformats.org/officeDocument/2006/relationships/oleObject" Target="embeddings/oleObject96.bin"/><Relationship Id="rId414" Type="http://schemas.openxmlformats.org/officeDocument/2006/relationships/oleObject" Target="embeddings/oleObject169.bin"/><Relationship Id="rId13" Type="http://schemas.openxmlformats.org/officeDocument/2006/relationships/hyperlink" Target="file:///C:\Users\jeano\OneDrive\Documents\OU\Duerfeldt%20Research\THESIS\JGardner%20Dissertation%20v7.docx" TargetMode="External"/><Relationship Id="rId109" Type="http://schemas.openxmlformats.org/officeDocument/2006/relationships/image" Target="media/image23.png"/><Relationship Id="rId260" Type="http://schemas.openxmlformats.org/officeDocument/2006/relationships/oleObject" Target="embeddings/oleObject103.bin"/><Relationship Id="rId316" Type="http://schemas.openxmlformats.org/officeDocument/2006/relationships/image" Target="media/image113.png"/><Relationship Id="rId55" Type="http://schemas.openxmlformats.org/officeDocument/2006/relationships/hyperlink" Target="file:///C:\Users\jeano\OneDrive\Documents\OU\Duerfeldt%20Research\THESIS\JGardner%20Dissertation%20v7.docx" TargetMode="External"/><Relationship Id="rId97" Type="http://schemas.openxmlformats.org/officeDocument/2006/relationships/oleObject" Target="embeddings/oleObject14.bin"/><Relationship Id="rId120" Type="http://schemas.openxmlformats.org/officeDocument/2006/relationships/image" Target="media/image30.png"/><Relationship Id="rId358" Type="http://schemas.openxmlformats.org/officeDocument/2006/relationships/oleObject" Target="embeddings/oleObject160.bin"/><Relationship Id="rId162" Type="http://schemas.openxmlformats.org/officeDocument/2006/relationships/oleObject" Target="embeddings/oleObject46.bin"/><Relationship Id="rId218" Type="http://schemas.openxmlformats.org/officeDocument/2006/relationships/oleObject" Target="embeddings/oleObject78.bin"/><Relationship Id="rId425" Type="http://schemas.openxmlformats.org/officeDocument/2006/relationships/oleObject" Target="embeddings/oleObject174.bin"/><Relationship Id="rId271" Type="http://schemas.openxmlformats.org/officeDocument/2006/relationships/oleObject" Target="embeddings/oleObject110.bin"/><Relationship Id="rId24" Type="http://schemas.openxmlformats.org/officeDocument/2006/relationships/hyperlink" Target="file:///C:\Users\jeano\OneDrive\Documents\OU\Duerfeldt%20Research\THESIS\JGardner%20Dissertation%20v7.docx" TargetMode="External"/><Relationship Id="rId66" Type="http://schemas.openxmlformats.org/officeDocument/2006/relationships/hyperlink" Target="file:///C:\Users\jeano\OneDrive\Documents\OU\Duerfeldt%20Research\THESIS\JGardner%20Dissertation%20v7.docx" TargetMode="External"/><Relationship Id="rId131" Type="http://schemas.openxmlformats.org/officeDocument/2006/relationships/oleObject" Target="embeddings/oleObject28.bin"/><Relationship Id="rId327" Type="http://schemas.openxmlformats.org/officeDocument/2006/relationships/image" Target="media/image119.emf"/><Relationship Id="rId369" Type="http://schemas.openxmlformats.org/officeDocument/2006/relationships/image" Target="media/image133.jpg"/><Relationship Id="rId173" Type="http://schemas.openxmlformats.org/officeDocument/2006/relationships/image" Target="media/image53.emf"/><Relationship Id="rId229" Type="http://schemas.openxmlformats.org/officeDocument/2006/relationships/image" Target="media/image77.emf"/><Relationship Id="rId380" Type="http://schemas.openxmlformats.org/officeDocument/2006/relationships/image" Target="media/image144.jpg"/><Relationship Id="rId436" Type="http://schemas.openxmlformats.org/officeDocument/2006/relationships/image" Target="media/image185.png"/><Relationship Id="rId240" Type="http://schemas.openxmlformats.org/officeDocument/2006/relationships/oleObject" Target="embeddings/oleObject90.bin"/><Relationship Id="rId35" Type="http://schemas.openxmlformats.org/officeDocument/2006/relationships/hyperlink" Target="file:///C:\Users\jeano\OneDrive\Documents\OU\Duerfeldt%20Research\THESIS\JGardner%20Dissertation%20v7.docx" TargetMode="External"/><Relationship Id="rId77" Type="http://schemas.openxmlformats.org/officeDocument/2006/relationships/oleObject" Target="embeddings/oleObject4.bin"/><Relationship Id="rId100" Type="http://schemas.openxmlformats.org/officeDocument/2006/relationships/image" Target="media/image18.png"/><Relationship Id="rId282" Type="http://schemas.openxmlformats.org/officeDocument/2006/relationships/image" Target="media/image96.emf"/><Relationship Id="rId338" Type="http://schemas.openxmlformats.org/officeDocument/2006/relationships/oleObject" Target="embeddings/oleObject147.bin"/><Relationship Id="rId8" Type="http://schemas.openxmlformats.org/officeDocument/2006/relationships/footer" Target="footer1.xml"/><Relationship Id="rId142" Type="http://schemas.openxmlformats.org/officeDocument/2006/relationships/image" Target="media/image40.emf"/><Relationship Id="rId184" Type="http://schemas.openxmlformats.org/officeDocument/2006/relationships/image" Target="media/image58.emf"/><Relationship Id="rId391" Type="http://schemas.openxmlformats.org/officeDocument/2006/relationships/image" Target="media/image155.jpg"/><Relationship Id="rId405" Type="http://schemas.openxmlformats.org/officeDocument/2006/relationships/image" Target="media/image165.png"/><Relationship Id="rId447" Type="http://schemas.openxmlformats.org/officeDocument/2006/relationships/footer" Target="footer4.xml"/><Relationship Id="rId251" Type="http://schemas.openxmlformats.org/officeDocument/2006/relationships/oleObject" Target="embeddings/oleObject97.bin"/><Relationship Id="rId46" Type="http://schemas.openxmlformats.org/officeDocument/2006/relationships/hyperlink" Target="file:///C:\Users\jeano\OneDrive\Documents\OU\Duerfeldt%20Research\THESIS\JGardner%20Dissertation%20v7.docx" TargetMode="External"/><Relationship Id="rId293" Type="http://schemas.openxmlformats.org/officeDocument/2006/relationships/image" Target="media/image100.emf"/><Relationship Id="rId307" Type="http://schemas.openxmlformats.org/officeDocument/2006/relationships/oleObject" Target="embeddings/oleObject132.bin"/><Relationship Id="rId349" Type="http://schemas.openxmlformats.org/officeDocument/2006/relationships/oleObject" Target="embeddings/oleObject154.bin"/><Relationship Id="rId88" Type="http://schemas.openxmlformats.org/officeDocument/2006/relationships/image" Target="media/image10.emf"/><Relationship Id="rId111" Type="http://schemas.openxmlformats.org/officeDocument/2006/relationships/image" Target="media/image25.png"/><Relationship Id="rId153" Type="http://schemas.openxmlformats.org/officeDocument/2006/relationships/oleObject" Target="embeddings/oleObject41.bin"/><Relationship Id="rId195" Type="http://schemas.openxmlformats.org/officeDocument/2006/relationships/oleObject" Target="embeddings/oleObject65.bin"/><Relationship Id="rId209" Type="http://schemas.openxmlformats.org/officeDocument/2006/relationships/oleObject" Target="embeddings/oleObject73.bin"/><Relationship Id="rId360" Type="http://schemas.openxmlformats.org/officeDocument/2006/relationships/image" Target="media/image130.emf"/><Relationship Id="rId416" Type="http://schemas.openxmlformats.org/officeDocument/2006/relationships/oleObject" Target="embeddings/oleObject170.bin"/><Relationship Id="rId220" Type="http://schemas.openxmlformats.org/officeDocument/2006/relationships/oleObject" Target="embeddings/oleObject79.bin"/><Relationship Id="rId15" Type="http://schemas.openxmlformats.org/officeDocument/2006/relationships/hyperlink" Target="file:///C:\Users\jeano\OneDrive\Documents\OU\Duerfeldt%20Research\THESIS\JGardner%20Dissertation%20v7.docx" TargetMode="External"/><Relationship Id="rId57" Type="http://schemas.openxmlformats.org/officeDocument/2006/relationships/hyperlink" Target="file:///C:\Users\jeano\OneDrive\Documents\OU\Duerfeldt%20Research\THESIS\JGardner%20Dissertation%20v7.docx" TargetMode="External"/><Relationship Id="rId262" Type="http://schemas.openxmlformats.org/officeDocument/2006/relationships/image" Target="media/image89.emf"/><Relationship Id="rId318" Type="http://schemas.openxmlformats.org/officeDocument/2006/relationships/oleObject" Target="embeddings/oleObject135.bin"/><Relationship Id="rId99" Type="http://schemas.openxmlformats.org/officeDocument/2006/relationships/image" Target="media/image17.png"/><Relationship Id="rId122" Type="http://schemas.openxmlformats.org/officeDocument/2006/relationships/image" Target="media/image32.jpg"/><Relationship Id="rId164" Type="http://schemas.openxmlformats.org/officeDocument/2006/relationships/oleObject" Target="embeddings/oleObject47.bin"/><Relationship Id="rId371" Type="http://schemas.openxmlformats.org/officeDocument/2006/relationships/image" Target="media/image135.jpg"/><Relationship Id="rId427" Type="http://schemas.openxmlformats.org/officeDocument/2006/relationships/oleObject" Target="embeddings/oleObject176.bin"/><Relationship Id="rId26" Type="http://schemas.openxmlformats.org/officeDocument/2006/relationships/hyperlink" Target="file:///C:\Users\jeano\OneDrive\Documents\OU\Duerfeldt%20Research\THESIS\JGardner%20Dissertation%20v7.docx" TargetMode="External"/><Relationship Id="rId231" Type="http://schemas.openxmlformats.org/officeDocument/2006/relationships/footer" Target="footer3.xml"/><Relationship Id="rId273" Type="http://schemas.openxmlformats.org/officeDocument/2006/relationships/oleObject" Target="embeddings/oleObject111.bin"/><Relationship Id="rId329" Type="http://schemas.openxmlformats.org/officeDocument/2006/relationships/oleObject" Target="embeddings/oleObject141.bin"/><Relationship Id="rId68" Type="http://schemas.openxmlformats.org/officeDocument/2006/relationships/image" Target="media/image1.png"/><Relationship Id="rId133" Type="http://schemas.openxmlformats.org/officeDocument/2006/relationships/oleObject" Target="embeddings/oleObject29.bin"/><Relationship Id="rId175" Type="http://schemas.openxmlformats.org/officeDocument/2006/relationships/image" Target="media/image54.emf"/><Relationship Id="rId340" Type="http://schemas.openxmlformats.org/officeDocument/2006/relationships/oleObject" Target="embeddings/oleObject148.bin"/><Relationship Id="rId200" Type="http://schemas.openxmlformats.org/officeDocument/2006/relationships/oleObject" Target="embeddings/oleObject68.bin"/><Relationship Id="rId382" Type="http://schemas.openxmlformats.org/officeDocument/2006/relationships/image" Target="media/image146.jpg"/><Relationship Id="rId438" Type="http://schemas.openxmlformats.org/officeDocument/2006/relationships/image" Target="media/image187.png"/><Relationship Id="rId242" Type="http://schemas.openxmlformats.org/officeDocument/2006/relationships/oleObject" Target="embeddings/oleObject91.bin"/><Relationship Id="rId284" Type="http://schemas.openxmlformats.org/officeDocument/2006/relationships/oleObject" Target="embeddings/oleObject119.bin"/><Relationship Id="rId37" Type="http://schemas.openxmlformats.org/officeDocument/2006/relationships/hyperlink" Target="file:///C:\Users\jeano\OneDrive\Documents\OU\Duerfeldt%20Research\THESIS\JGardner%20Dissertation%20v7.docx" TargetMode="External"/><Relationship Id="rId79" Type="http://schemas.openxmlformats.org/officeDocument/2006/relationships/image" Target="media/image7.emf"/><Relationship Id="rId102" Type="http://schemas.openxmlformats.org/officeDocument/2006/relationships/image" Target="media/image20.png"/><Relationship Id="rId144" Type="http://schemas.openxmlformats.org/officeDocument/2006/relationships/oleObject" Target="embeddings/oleObject36.bin"/><Relationship Id="rId90" Type="http://schemas.openxmlformats.org/officeDocument/2006/relationships/oleObject" Target="embeddings/oleObject12.bin"/><Relationship Id="rId186" Type="http://schemas.openxmlformats.org/officeDocument/2006/relationships/oleObject" Target="embeddings/oleObject60.bin"/><Relationship Id="rId351" Type="http://schemas.openxmlformats.org/officeDocument/2006/relationships/image" Target="media/image127.emf"/><Relationship Id="rId393" Type="http://schemas.openxmlformats.org/officeDocument/2006/relationships/image" Target="media/image157.jpg"/><Relationship Id="rId407" Type="http://schemas.openxmlformats.org/officeDocument/2006/relationships/image" Target="media/image167.png"/><Relationship Id="rId449" Type="http://schemas.openxmlformats.org/officeDocument/2006/relationships/theme" Target="theme/theme1.xml"/><Relationship Id="rId211" Type="http://schemas.openxmlformats.org/officeDocument/2006/relationships/oleObject" Target="embeddings/oleObject74.bin"/><Relationship Id="rId253" Type="http://schemas.openxmlformats.org/officeDocument/2006/relationships/image" Target="media/image86.emf"/><Relationship Id="rId295" Type="http://schemas.openxmlformats.org/officeDocument/2006/relationships/image" Target="media/image101.emf"/><Relationship Id="rId309" Type="http://schemas.openxmlformats.org/officeDocument/2006/relationships/oleObject" Target="embeddings/oleObject133.bin"/><Relationship Id="rId48" Type="http://schemas.openxmlformats.org/officeDocument/2006/relationships/hyperlink" Target="file:///C:\Users\jeano\OneDrive\Documents\OU\Duerfeldt%20Research\THESIS\JGardner%20Dissertation%20v7.docx" TargetMode="External"/><Relationship Id="rId113" Type="http://schemas.openxmlformats.org/officeDocument/2006/relationships/oleObject" Target="embeddings/oleObject19.bin"/><Relationship Id="rId320" Type="http://schemas.openxmlformats.org/officeDocument/2006/relationships/image" Target="media/image116.png"/><Relationship Id="rId155" Type="http://schemas.openxmlformats.org/officeDocument/2006/relationships/oleObject" Target="embeddings/oleObject42.bin"/><Relationship Id="rId197" Type="http://schemas.openxmlformats.org/officeDocument/2006/relationships/oleObject" Target="embeddings/oleObject66.bin"/><Relationship Id="rId362" Type="http://schemas.openxmlformats.org/officeDocument/2006/relationships/oleObject" Target="embeddings/oleObject163.bin"/><Relationship Id="rId418" Type="http://schemas.openxmlformats.org/officeDocument/2006/relationships/image" Target="media/image174.emf"/><Relationship Id="rId222" Type="http://schemas.openxmlformats.org/officeDocument/2006/relationships/image" Target="media/image74.emf"/><Relationship Id="rId264" Type="http://schemas.openxmlformats.org/officeDocument/2006/relationships/image" Target="media/image90.emf"/><Relationship Id="rId17" Type="http://schemas.openxmlformats.org/officeDocument/2006/relationships/hyperlink" Target="file:///C:\Users\jeano\OneDrive\Documents\OU\Duerfeldt%20Research\THESIS\JGardner%20Dissertation%20v7.docx" TargetMode="External"/><Relationship Id="rId59" Type="http://schemas.openxmlformats.org/officeDocument/2006/relationships/hyperlink" Target="file:///C:\Users\jeano\OneDrive\Documents\OU\Duerfeldt%20Research\THESIS\JGardner%20Dissertation%20v7.docx" TargetMode="External"/><Relationship Id="rId124" Type="http://schemas.openxmlformats.org/officeDocument/2006/relationships/image" Target="media/image34.emf"/><Relationship Id="rId70" Type="http://schemas.openxmlformats.org/officeDocument/2006/relationships/image" Target="media/image2.jpeg"/><Relationship Id="rId166" Type="http://schemas.openxmlformats.org/officeDocument/2006/relationships/image" Target="media/image50.emf"/><Relationship Id="rId331" Type="http://schemas.openxmlformats.org/officeDocument/2006/relationships/oleObject" Target="embeddings/oleObject142.bin"/><Relationship Id="rId373" Type="http://schemas.openxmlformats.org/officeDocument/2006/relationships/image" Target="media/image137.jpg"/><Relationship Id="rId429" Type="http://schemas.openxmlformats.org/officeDocument/2006/relationships/image" Target="media/image178.png"/><Relationship Id="rId1" Type="http://schemas.openxmlformats.org/officeDocument/2006/relationships/customXml" Target="../customXml/item1.xml"/><Relationship Id="rId233" Type="http://schemas.openxmlformats.org/officeDocument/2006/relationships/oleObject" Target="embeddings/oleObject86.bin"/><Relationship Id="rId440" Type="http://schemas.openxmlformats.org/officeDocument/2006/relationships/image" Target="media/image189.png"/><Relationship Id="rId28" Type="http://schemas.openxmlformats.org/officeDocument/2006/relationships/hyperlink" Target="file:///C:\Users\jeano\OneDrive\Documents\OU\Duerfeldt%20Research\THESIS\JGardner%20Dissertation%20v7.docx" TargetMode="External"/><Relationship Id="rId275" Type="http://schemas.openxmlformats.org/officeDocument/2006/relationships/oleObject" Target="embeddings/oleObject113.bin"/><Relationship Id="rId300" Type="http://schemas.openxmlformats.org/officeDocument/2006/relationships/image" Target="media/image103.png"/><Relationship Id="rId81" Type="http://schemas.openxmlformats.org/officeDocument/2006/relationships/image" Target="media/image8.emf"/><Relationship Id="rId135" Type="http://schemas.openxmlformats.org/officeDocument/2006/relationships/image" Target="media/image37.emf"/><Relationship Id="rId177" Type="http://schemas.openxmlformats.org/officeDocument/2006/relationships/image" Target="media/image55.emf"/><Relationship Id="rId342" Type="http://schemas.openxmlformats.org/officeDocument/2006/relationships/image" Target="media/image124.emf"/><Relationship Id="rId384" Type="http://schemas.openxmlformats.org/officeDocument/2006/relationships/image" Target="media/image148.jpg"/><Relationship Id="rId202" Type="http://schemas.openxmlformats.org/officeDocument/2006/relationships/oleObject" Target="embeddings/oleObject69.bin"/><Relationship Id="rId244" Type="http://schemas.openxmlformats.org/officeDocument/2006/relationships/image" Target="media/image83.emf"/><Relationship Id="rId39" Type="http://schemas.openxmlformats.org/officeDocument/2006/relationships/hyperlink" Target="file:///C:\Users\jeano\OneDrive\Documents\OU\Duerfeldt%20Research\THESIS\JGardner%20Dissertation%20v7.docx" TargetMode="External"/><Relationship Id="rId286" Type="http://schemas.openxmlformats.org/officeDocument/2006/relationships/oleObject" Target="embeddings/oleObject120.bin"/></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Ex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jeano\OneDrive\Documents\OU\Duerfeldt%20Research\COVID%20Proposal\Protease%20Assay\Data\12.02.2021%20JG%20Mpro%20Processing.xlsx" TargetMode="External"/><Relationship Id="rId4"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2010-2019</c:v>
                </c:pt>
                <c:pt idx="1">
                  <c:v>2000-2009</c:v>
                </c:pt>
                <c:pt idx="2">
                  <c:v>1990-1999</c:v>
                </c:pt>
                <c:pt idx="3">
                  <c:v>1980-1989</c:v>
                </c:pt>
              </c:strCache>
            </c:strRef>
          </c:cat>
          <c:val>
            <c:numRef>
              <c:f>Sheet1!$B$2:$B$5</c:f>
              <c:numCache>
                <c:formatCode>General</c:formatCode>
                <c:ptCount val="4"/>
                <c:pt idx="0">
                  <c:v>6</c:v>
                </c:pt>
                <c:pt idx="1">
                  <c:v>7</c:v>
                </c:pt>
                <c:pt idx="2">
                  <c:v>22</c:v>
                </c:pt>
                <c:pt idx="3">
                  <c:v>30</c:v>
                </c:pt>
              </c:numCache>
            </c:numRef>
          </c:val>
          <c:extLst>
            <c:ext xmlns:c16="http://schemas.microsoft.com/office/drawing/2014/chart" uri="{C3380CC4-5D6E-409C-BE32-E72D297353CC}">
              <c16:uniqueId val="{00000000-0ED1-4353-9559-84FBC771B920}"/>
            </c:ext>
          </c:extLst>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2010-2019</c:v>
                </c:pt>
                <c:pt idx="1">
                  <c:v>2000-2009</c:v>
                </c:pt>
                <c:pt idx="2">
                  <c:v>1990-1999</c:v>
                </c:pt>
                <c:pt idx="3">
                  <c:v>1980-1989</c:v>
                </c:pt>
              </c:strCache>
            </c:strRef>
          </c:cat>
          <c:val>
            <c:numRef>
              <c:f>Sheet1!$C$2:$C$5</c:f>
              <c:numCache>
                <c:formatCode>General</c:formatCode>
                <c:ptCount val="4"/>
              </c:numCache>
            </c:numRef>
          </c:val>
          <c:extLst>
            <c:ext xmlns:c16="http://schemas.microsoft.com/office/drawing/2014/chart" uri="{C3380CC4-5D6E-409C-BE32-E72D297353CC}">
              <c16:uniqueId val="{00000001-0ED1-4353-9559-84FBC771B920}"/>
            </c:ext>
          </c:extLst>
        </c:ser>
        <c:ser>
          <c:idx val="2"/>
          <c:order val="2"/>
          <c:tx>
            <c:strRef>
              <c:f>Sheet1!$D$1</c:f>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2010-2019</c:v>
                </c:pt>
                <c:pt idx="1">
                  <c:v>2000-2009</c:v>
                </c:pt>
                <c:pt idx="2">
                  <c:v>1990-1999</c:v>
                </c:pt>
                <c:pt idx="3">
                  <c:v>1980-1989</c:v>
                </c:pt>
              </c:strCache>
            </c:strRef>
          </c:cat>
          <c:val>
            <c:numRef>
              <c:f>Sheet1!$D$2:$D$5</c:f>
              <c:numCache>
                <c:formatCode>General</c:formatCode>
                <c:ptCount val="4"/>
              </c:numCache>
            </c:numRef>
          </c:val>
          <c:extLst>
            <c:ext xmlns:c16="http://schemas.microsoft.com/office/drawing/2014/chart" uri="{C3380CC4-5D6E-409C-BE32-E72D297353CC}">
              <c16:uniqueId val="{00000002-0ED1-4353-9559-84FBC771B920}"/>
            </c:ext>
          </c:extLst>
        </c:ser>
        <c:dLbls>
          <c:dLblPos val="outEnd"/>
          <c:showLegendKey val="0"/>
          <c:showVal val="1"/>
          <c:showCatName val="0"/>
          <c:showSerName val="0"/>
          <c:showPercent val="0"/>
          <c:showBubbleSize val="0"/>
        </c:dLbls>
        <c:gapWidth val="182"/>
        <c:axId val="1932971679"/>
        <c:axId val="1273339151"/>
      </c:barChart>
      <c:catAx>
        <c:axId val="19329716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73339151"/>
        <c:crosses val="autoZero"/>
        <c:auto val="1"/>
        <c:lblAlgn val="ctr"/>
        <c:lblOffset val="100"/>
        <c:noMultiLvlLbl val="0"/>
      </c:catAx>
      <c:valAx>
        <c:axId val="12733391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9329716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Graph!$B$38:$BY$38</cx:f>
        <cx:lvl ptCount="76">
          <cx:pt idx="0">ML188</cx:pt>
          <cx:pt idx="1">ML188</cx:pt>
          <cx:pt idx="2">ML188</cx:pt>
          <cx:pt idx="3">ML188</cx:pt>
          <cx:pt idx="4">JG50</cx:pt>
          <cx:pt idx="5">JG50</cx:pt>
          <cx:pt idx="6">JG50</cx:pt>
          <cx:pt idx="7">JG50</cx:pt>
          <cx:pt idx="8">JG51</cx:pt>
          <cx:pt idx="9">JG51</cx:pt>
          <cx:pt idx="10">JG51</cx:pt>
          <cx:pt idx="11">JG51</cx:pt>
          <cx:pt idx="12">JG52</cx:pt>
          <cx:pt idx="13">JG52</cx:pt>
          <cx:pt idx="14">JG52</cx:pt>
          <cx:pt idx="15">JG52</cx:pt>
          <cx:pt idx="16">JG53</cx:pt>
          <cx:pt idx="17">JG53</cx:pt>
          <cx:pt idx="18">JG53</cx:pt>
          <cx:pt idx="19">JG53</cx:pt>
          <cx:pt idx="20">JG54</cx:pt>
          <cx:pt idx="21">JG54</cx:pt>
          <cx:pt idx="22">JG54</cx:pt>
          <cx:pt idx="23">JG54</cx:pt>
          <cx:pt idx="24">JG55</cx:pt>
          <cx:pt idx="25">JG55</cx:pt>
          <cx:pt idx="26">JG55</cx:pt>
          <cx:pt idx="27">JG55</cx:pt>
          <cx:pt idx="28">JG56</cx:pt>
          <cx:pt idx="29">JG56</cx:pt>
          <cx:pt idx="30">JG56</cx:pt>
          <cx:pt idx="31">JG56</cx:pt>
          <cx:pt idx="32">JG57</cx:pt>
          <cx:pt idx="33">JG57</cx:pt>
          <cx:pt idx="34">JG57</cx:pt>
          <cx:pt idx="35">JG57</cx:pt>
          <cx:pt idx="36">JG58</cx:pt>
          <cx:pt idx="37">JG58</cx:pt>
          <cx:pt idx="38">JG58</cx:pt>
          <cx:pt idx="39">JG58</cx:pt>
          <cx:pt idx="40">JG59</cx:pt>
          <cx:pt idx="41">JG59</cx:pt>
          <cx:pt idx="42">JG59</cx:pt>
          <cx:pt idx="43">JG59</cx:pt>
          <cx:pt idx="44">JG5.08</cx:pt>
          <cx:pt idx="45">JG5.08</cx:pt>
          <cx:pt idx="46">JG5.08</cx:pt>
          <cx:pt idx="47">JG5.08</cx:pt>
          <cx:pt idx="48">JG5.09</cx:pt>
          <cx:pt idx="49">JG5.09</cx:pt>
          <cx:pt idx="50">JG5.09</cx:pt>
          <cx:pt idx="51">JG5.09</cx:pt>
          <cx:pt idx="52">JG5.11</cx:pt>
          <cx:pt idx="53">JG5.11</cx:pt>
          <cx:pt idx="54">JG5.11</cx:pt>
          <cx:pt idx="55">JG5.11</cx:pt>
          <cx:pt idx="56">JG5.13</cx:pt>
          <cx:pt idx="57">JG5.13</cx:pt>
          <cx:pt idx="58">JG5.13</cx:pt>
          <cx:pt idx="59">JG5.13</cx:pt>
          <cx:pt idx="60">JG5.14</cx:pt>
          <cx:pt idx="61">JG5.14</cx:pt>
          <cx:pt idx="62">JG5.14</cx:pt>
          <cx:pt idx="63">JG5.14</cx:pt>
          <cx:pt idx="64">JG5.16</cx:pt>
          <cx:pt idx="65">JG5.16</cx:pt>
          <cx:pt idx="66">JG5.16</cx:pt>
          <cx:pt idx="67">JG5.16</cx:pt>
          <cx:pt idx="68">JG5.17</cx:pt>
          <cx:pt idx="69">JG5.17</cx:pt>
          <cx:pt idx="70">JG5.17</cx:pt>
          <cx:pt idx="71">JG5.17</cx:pt>
          <cx:pt idx="72">Noopept</cx:pt>
          <cx:pt idx="73">Noopept</cx:pt>
          <cx:pt idx="74">Noopept</cx:pt>
          <cx:pt idx="75">Noopept</cx:pt>
        </cx:lvl>
      </cx:strDim>
      <cx:numDim type="val">
        <cx:f>Graph!$B$39:$BY$39</cx:f>
        <cx:lvl ptCount="76" formatCode="General">
          <cx:pt idx="0">48.839687426000481</cx:pt>
          <cx:pt idx="1">44.884890989480105</cx:pt>
          <cx:pt idx="2">46.340731853629272</cx:pt>
          <cx:pt idx="3">42.416718394372019</cx:pt>
          <cx:pt idx="4">55.063353305176307</cx:pt>
          <cx:pt idx="5">36.612854096862627</cx:pt>
          <cx:pt idx="6">45.335069855552923</cx:pt>
          <cx:pt idx="7">39.686861810755616</cx:pt>
          <cx:pt idx="8">66.997348001178665</cx:pt>
          <cx:pt idx="9">20.712762717027111</cx:pt>
          <cx:pt idx="10">43.014444707553864</cx:pt>
          <cx:pt idx="11">12.79782164737917</cx:pt>
          <cx:pt idx="12">55.358019840880068</cx:pt>
          <cx:pt idx="13">17.118489186719465</cx:pt>
          <cx:pt idx="14">26.793748520009476</cx:pt>
          <cx:pt idx="15">34.068357221609702</cx:pt>
          <cx:pt idx="16">79.068853747176121</cx:pt>
          <cx:pt idx="17">16.326530612244895</cx:pt>
          <cx:pt idx="18">27.444944352356149</cx:pt>
          <cx:pt idx="19">6.535057862491489</cx:pt>
          <cx:pt idx="20">59.630684608584616</cx:pt>
          <cx:pt idx="21">28.297289064879681</cx:pt>
          <cx:pt idx="22">52.782382192753971</cx:pt>
          <cx:pt idx="23">13.002042205582033</cx:pt>
          <cx:pt idx="24">62.675572144190149</cx:pt>
          <cx:pt idx="25">61.681388973499843</cx:pt>
          <cx:pt idx="26">42.256689557186832</cx:pt>
          <cx:pt idx="27">64.601769911504419</cx:pt>
          <cx:pt idx="28">77.782143207936343</cx:pt>
          <cx:pt idx="29">24.946695095948822</cx:pt>
          <cx:pt idx="30">30.973241771252667</cx:pt>
          <cx:pt idx="31">6.8754254594962543</cx:pt>
          <cx:pt idx="32">89.676849032511541</cx:pt>
          <cx:pt idx="33">32.409381663113003</cx:pt>
          <cx:pt idx="34">16.043097324177126</cx:pt>
          <cx:pt idx="35">37.100068073519395</cx:pt>
          <cx:pt idx="36">89.028582653963255</cx:pt>
          <cx:pt idx="37">71.61133109960403</cx:pt>
          <cx:pt idx="38">38.219275396637464</cx:pt>
          <cx:pt idx="39">64.465622872702525</cx:pt>
          <cx:pt idx="40">35.615185241652689</cx:pt>
          <cx:pt idx="41">42.442253140618668</cx:pt>
          <cx:pt idx="42">45.879706369879237</cx:pt>
          <cx:pt idx="43">66.780122532334914</cx:pt>
          <cx:pt idx="44">37.522495500899822</cx:pt>
          <cx:pt idx="45">31.29063812647448</cx:pt>
          <cx:pt idx="46">30.751638969355088</cx:pt>
          <cx:pt idx="47">30.435268480750967</cx:pt>
          <cx:pt idx="48">54.064187162567492</cx:pt>
          <cx:pt idx="49">51.872950112204386</cx:pt>
          <cx:pt idx="50">17.82283884738527</cx:pt>
          <cx:pt idx="51">50.634184500195566</cx:pt>
          <cx:pt idx="52">36.4877024595081</cx:pt>
          <cx:pt idx="53">35.974451924736748</cx:pt>
          <cx:pt idx="54">11.67860954413783</cx:pt>
          <cx:pt idx="55">31.619824551600828</cx:pt>
          <cx:pt idx="56">31.613677264547093</cx:pt>
          <cx:pt idx="57">27.619540825133782</cx:pt>
          <cx:pt idx="58">23.845098338161307</cx:pt>
          <cx:pt idx="59">30.457618595295301</cx:pt>
          <cx:pt idx="60">45.275944811037796</cx:pt>
          <cx:pt idx="61">41.665228148915354</cx:pt>
          <cx:pt idx="62">40.6794542752938</cx:pt>
          <cx:pt idx="63">44.152651282337821</cx:pt>
          <cx:pt idx="64">32.138572285542885</cx:pt>
          <cx:pt idx="65">28.758846884170552</cx:pt>
          <cx:pt idx="66">22.96366337971093</cx:pt>
          <cx:pt idx="67">28.602559088115331</cx:pt>
          <cx:pt idx="68">40.371925614877021</cx:pt>
          <cx:pt idx="69">35.025030208872778</cx:pt>
          <cx:pt idx="70">34.283398622180194</cx:pt>
          <cx:pt idx="71">35.883108900933117</cx:pt>
          <cx:pt idx="72">48.710257948410316</cx:pt>
          <cx:pt idx="73">42.948385983083028</cx:pt>
          <cx:pt idx="74">31.750641631770904</cx:pt>
          <cx:pt idx="75">44.398502542325524</cx:pt>
        </cx:lvl>
      </cx:numDim>
    </cx:data>
  </cx:chartData>
  <cx:chart>
    <cx:plotArea>
      <cx:plotAreaRegion>
        <cx:series layoutId="boxWhisker" uniqueId="{1540B397-DEAA-4D4B-80B2-6B989AE5BE29}">
          <cx:tx>
            <cx:txData>
              <cx:f>Graph!$A$39</cx:f>
              <cx:v>% Inhibition</cx:v>
            </cx:txData>
          </cx:tx>
          <cx:dataId val="0"/>
          <cx:layoutPr>
            <cx:visibility meanLine="0" meanMarker="1" nonoutliers="0" outliers="1"/>
            <cx:statistics quartileMethod="inclusive"/>
          </cx:layoutPr>
        </cx:series>
      </cx:plotAreaRegion>
      <cx:axis id="0">
        <cx:catScaling gapWidth="1"/>
        <cx:title>
          <cx:tx>
            <cx:txData>
              <cx:v>Compound</cx:v>
            </cx:txData>
          </cx:tx>
          <cx:txPr>
            <a:bodyPr spcFirstLastPara="1" vertOverflow="ellipsis" horzOverflow="overflow" wrap="square" lIns="0" tIns="0" rIns="0" bIns="0" anchor="ctr" anchorCtr="1"/>
            <a:lstStyle/>
            <a:p>
              <a:pPr algn="ctr" rtl="0">
                <a:defRPr/>
              </a:pPr>
              <a:r>
                <a:rPr lang="en-US" sz="900" b="0" i="0" u="none" strike="noStrike" baseline="0">
                  <a:solidFill>
                    <a:sysClr val="windowText" lastClr="000000">
                      <a:lumMod val="65000"/>
                      <a:lumOff val="35000"/>
                    </a:sysClr>
                  </a:solidFill>
                  <a:latin typeface="Calibri" panose="020F0502020204030204"/>
                </a:rPr>
                <a:t>Compound</a:t>
              </a:r>
            </a:p>
          </cx:txPr>
        </cx:title>
        <cx:tickLabels/>
      </cx:axis>
      <cx:axis id="1">
        <cx:valScaling/>
        <cx:title>
          <cx:tx>
            <cx:txData>
              <cx:v>Percent Inhibition</cx:v>
            </cx:txData>
          </cx:tx>
          <cx:txPr>
            <a:bodyPr spcFirstLastPara="1" vertOverflow="ellipsis" horzOverflow="overflow" wrap="square" lIns="0" tIns="0" rIns="0" bIns="0" anchor="ctr" anchorCtr="1"/>
            <a:lstStyle/>
            <a:p>
              <a:pPr algn="ctr" rtl="0">
                <a:defRPr/>
              </a:pPr>
              <a:r>
                <a:rPr lang="en-US" sz="900" b="0" i="0" u="none" strike="noStrike" baseline="0">
                  <a:solidFill>
                    <a:sysClr val="windowText" lastClr="000000">
                      <a:lumMod val="65000"/>
                      <a:lumOff val="35000"/>
                    </a:sysClr>
                  </a:solidFill>
                  <a:latin typeface="Calibri" panose="020F0502020204030204"/>
                </a:rPr>
                <a:t>Percent Inhibition</a:t>
              </a:r>
            </a:p>
          </cx:txPr>
        </cx:title>
        <cx:majorGridlines/>
        <cx:tickLabels/>
      </cx:axis>
    </cx:plotArea>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F2E06-9E4C-4FD4-AEDB-86A17A848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276</Pages>
  <Words>184509</Words>
  <Characters>1051707</Characters>
  <Application>Microsoft Office Word</Application>
  <DocSecurity>0</DocSecurity>
  <Lines>8764</Lines>
  <Paragraphs>2467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Hayes</dc:creator>
  <cp:keywords/>
  <dc:description/>
  <cp:lastModifiedBy>Jessica Hayes</cp:lastModifiedBy>
  <cp:revision>6</cp:revision>
  <cp:lastPrinted>2022-05-06T20:34:00Z</cp:lastPrinted>
  <dcterms:created xsi:type="dcterms:W3CDTF">2022-05-05T22:43:00Z</dcterms:created>
  <dcterms:modified xsi:type="dcterms:W3CDTF">2022-05-06T20:41:00Z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id="NVu7rem2"/&gt;&lt;style id="http://www.zotero.org/styles/american-chemical-society" hasBibliography="1" bibliographyStyleHasBeenSet="1"/&gt;&lt;prefs&gt;&lt;pref name="fieldType" value="Field"/&gt;&lt;/prefs&gt;&lt;/data&gt;</vt:lpwstr>
  </property>
</Properties>
</file>