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FE4FE" w14:textId="7BD385B2" w:rsidR="004F0F24" w:rsidRDefault="004F0F24" w:rsidP="00B800AC">
      <w:pPr>
        <w:pStyle w:val="Subtitle"/>
      </w:pPr>
      <w:r>
        <w:rPr>
          <w:noProof/>
        </w:rPr>
        <mc:AlternateContent>
          <mc:Choice Requires="wps">
            <w:drawing>
              <wp:anchor distT="0" distB="0" distL="114300" distR="114300" simplePos="0" relativeHeight="251664384" behindDoc="0" locked="0" layoutInCell="1" allowOverlap="1" wp14:anchorId="61498605" wp14:editId="2C62CA54">
                <wp:simplePos x="0" y="0"/>
                <wp:positionH relativeFrom="column">
                  <wp:posOffset>-172198</wp:posOffset>
                </wp:positionH>
                <wp:positionV relativeFrom="paragraph">
                  <wp:posOffset>-68371</wp:posOffset>
                </wp:positionV>
                <wp:extent cx="4429593" cy="4317167"/>
                <wp:effectExtent l="0" t="0" r="15875" b="13970"/>
                <wp:wrapNone/>
                <wp:docPr id="9" name="Text Box 9"/>
                <wp:cNvGraphicFramePr/>
                <a:graphic xmlns:a="http://schemas.openxmlformats.org/drawingml/2006/main">
                  <a:graphicData uri="http://schemas.microsoft.com/office/word/2010/wordprocessingShape">
                    <wps:wsp>
                      <wps:cNvSpPr txBox="1"/>
                      <wps:spPr>
                        <a:xfrm>
                          <a:off x="0" y="0"/>
                          <a:ext cx="4429593" cy="4317167"/>
                        </a:xfrm>
                        <a:prstGeom prst="rect">
                          <a:avLst/>
                        </a:prstGeom>
                        <a:solidFill>
                          <a:srgbClr val="20344B"/>
                        </a:solidFill>
                        <a:ln w="6350">
                          <a:solidFill>
                            <a:prstClr val="black"/>
                          </a:solidFill>
                        </a:ln>
                      </wps:spPr>
                      <wps:txbx>
                        <w:txbxContent>
                          <w:p w14:paraId="6BE1F329" w14:textId="77777777" w:rsidR="00B24445" w:rsidRDefault="00B24445">
                            <w:pPr>
                              <w:rPr>
                                <w:rFonts w:ascii="League Spartan ExtraBold" w:hAnsi="League Spartan ExtraBold"/>
                                <w:b/>
                                <w:bCs/>
                                <w:spacing w:val="80"/>
                                <w:sz w:val="68"/>
                                <w:szCs w:val="68"/>
                                <w:lang w:val="en-US"/>
                              </w:rPr>
                            </w:pPr>
                          </w:p>
                          <w:p w14:paraId="1DB5E191" w14:textId="77777777" w:rsidR="00B24445" w:rsidRPr="00631941" w:rsidRDefault="00B24445">
                            <w:pPr>
                              <w:rPr>
                                <w:rFonts w:ascii="League Spartan" w:hAnsi="League Spartan"/>
                                <w:b/>
                                <w:bCs/>
                                <w:spacing w:val="100"/>
                                <w:sz w:val="68"/>
                                <w:szCs w:val="68"/>
                                <w:lang w:val="en-US"/>
                              </w:rPr>
                            </w:pPr>
                            <w:r>
                              <w:rPr>
                                <w:rFonts w:ascii="League Spartan ExtraBold" w:hAnsi="League Spartan ExtraBold"/>
                                <w:b/>
                                <w:bCs/>
                                <w:spacing w:val="80"/>
                                <w:sz w:val="68"/>
                                <w:szCs w:val="68"/>
                                <w:lang w:val="en-US"/>
                              </w:rPr>
                              <w:t xml:space="preserve"> </w:t>
                            </w:r>
                            <w:r w:rsidRPr="00631941">
                              <w:rPr>
                                <w:rFonts w:ascii="League Spartan" w:hAnsi="League Spartan"/>
                                <w:b/>
                                <w:bCs/>
                                <w:spacing w:val="100"/>
                                <w:sz w:val="68"/>
                                <w:szCs w:val="68"/>
                                <w:lang w:val="en-US"/>
                              </w:rPr>
                              <w:t xml:space="preserve">FINDING THE </w:t>
                            </w:r>
                          </w:p>
                          <w:p w14:paraId="3F6D0649" w14:textId="5A6AB9E6" w:rsidR="00B24445" w:rsidRPr="00631941" w:rsidRDefault="00B24445">
                            <w:pPr>
                              <w:rPr>
                                <w:rFonts w:ascii="League Spartan" w:hAnsi="League Spartan"/>
                                <w:b/>
                                <w:bCs/>
                                <w:spacing w:val="100"/>
                                <w:sz w:val="68"/>
                                <w:szCs w:val="68"/>
                                <w:lang w:val="en-US"/>
                              </w:rPr>
                            </w:pPr>
                            <w:r w:rsidRPr="00631941">
                              <w:rPr>
                                <w:rFonts w:ascii="League Spartan" w:hAnsi="League Spartan"/>
                                <w:b/>
                                <w:bCs/>
                                <w:spacing w:val="100"/>
                                <w:sz w:val="68"/>
                                <w:szCs w:val="68"/>
                                <w:lang w:val="en-US"/>
                              </w:rPr>
                              <w:t xml:space="preserve"> BALANCE</w:t>
                            </w:r>
                          </w:p>
                          <w:p w14:paraId="57197271" w14:textId="4EDE7212" w:rsidR="00B24445" w:rsidRDefault="00B24445">
                            <w:pPr>
                              <w:rPr>
                                <w:rFonts w:ascii="League Spartan ExtraBold" w:hAnsi="League Spartan ExtraBold"/>
                                <w:b/>
                                <w:bCs/>
                                <w:spacing w:val="80"/>
                                <w:sz w:val="68"/>
                                <w:szCs w:val="68"/>
                                <w:lang w:val="en-US"/>
                              </w:rPr>
                            </w:pPr>
                            <w:r>
                              <w:rPr>
                                <w:rFonts w:ascii="League Spartan ExtraBold" w:hAnsi="League Spartan ExtraBold"/>
                                <w:b/>
                                <w:bCs/>
                                <w:spacing w:val="80"/>
                                <w:sz w:val="68"/>
                                <w:szCs w:val="68"/>
                                <w:lang w:val="en-US"/>
                              </w:rPr>
                              <w:tab/>
                            </w:r>
                          </w:p>
                          <w:p w14:paraId="46CB0B95" w14:textId="53E10CCF" w:rsidR="00B24445" w:rsidRPr="0047330E" w:rsidRDefault="00B24445" w:rsidP="002E7922">
                            <w:pPr>
                              <w:ind w:left="720"/>
                              <w:rPr>
                                <w:rFonts w:ascii="Lato" w:hAnsi="Lato"/>
                                <w:spacing w:val="80"/>
                                <w:sz w:val="50"/>
                                <w:szCs w:val="50"/>
                                <w:lang w:val="en-US"/>
                              </w:rPr>
                            </w:pPr>
                            <w:r w:rsidRPr="0047330E">
                              <w:rPr>
                                <w:rFonts w:ascii="Lato" w:hAnsi="Lato"/>
                                <w:spacing w:val="80"/>
                                <w:sz w:val="50"/>
                                <w:szCs w:val="50"/>
                                <w:lang w:val="en-US"/>
                              </w:rPr>
                              <w:t>CREATING AN OPEN, SUSTAINABLE FUTURE FOR 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498605" id="_x0000_t202" coordsize="21600,21600" o:spt="202" path="m,l,21600r21600,l21600,xe">
                <v:stroke joinstyle="miter"/>
                <v:path gradientshapeok="t" o:connecttype="rect"/>
              </v:shapetype>
              <v:shape id="Text Box 9" o:spid="_x0000_s1026" type="#_x0000_t202" style="position:absolute;margin-left:-13.55pt;margin-top:-5.4pt;width:348.8pt;height:339.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" fillcolor="#20344b" strokeweight=".5pt">
                <v:textbox>
                  <w:txbxContent>
                    <w:p w14:paraId="6BE1F329" w14:textId="77777777" w:rsidR="00B24445" w:rsidRDefault="00B24445">
                      <w:pPr>
                        <w:rPr>
                          <w:rFonts w:ascii="League Spartan ExtraBold" w:hAnsi="League Spartan ExtraBold"/>
                          <w:b/>
                          <w:bCs/>
                          <w:spacing w:val="80"/>
                          <w:sz w:val="68"/>
                          <w:szCs w:val="68"/>
                          <w:lang w:val="en-US"/>
                        </w:rPr>
                      </w:pPr>
                    </w:p>
                    <w:p w14:paraId="1DB5E191" w14:textId="77777777" w:rsidR="00B24445" w:rsidRPr="00631941" w:rsidRDefault="00B24445">
                      <w:pPr>
                        <w:rPr>
                          <w:rFonts w:ascii="League Spartan" w:hAnsi="League Spartan"/>
                          <w:b/>
                          <w:bCs/>
                          <w:spacing w:val="100"/>
                          <w:sz w:val="68"/>
                          <w:szCs w:val="68"/>
                          <w:lang w:val="en-US"/>
                        </w:rPr>
                      </w:pPr>
                      <w:r>
                        <w:rPr>
                          <w:rFonts w:ascii="League Spartan ExtraBold" w:hAnsi="League Spartan ExtraBold"/>
                          <w:b/>
                          <w:bCs/>
                          <w:spacing w:val="80"/>
                          <w:sz w:val="68"/>
                          <w:szCs w:val="68"/>
                          <w:lang w:val="en-US"/>
                        </w:rPr>
                        <w:t xml:space="preserve"> </w:t>
                      </w:r>
                      <w:r w:rsidRPr="00631941">
                        <w:rPr>
                          <w:rFonts w:ascii="League Spartan" w:hAnsi="League Spartan"/>
                          <w:b/>
                          <w:bCs/>
                          <w:spacing w:val="100"/>
                          <w:sz w:val="68"/>
                          <w:szCs w:val="68"/>
                          <w:lang w:val="en-US"/>
                        </w:rPr>
                        <w:t xml:space="preserve">FINDING THE </w:t>
                      </w:r>
                    </w:p>
                    <w:p w14:paraId="3F6D0649" w14:textId="5A6AB9E6" w:rsidR="00B24445" w:rsidRPr="00631941" w:rsidRDefault="00B24445">
                      <w:pPr>
                        <w:rPr>
                          <w:rFonts w:ascii="League Spartan" w:hAnsi="League Spartan"/>
                          <w:b/>
                          <w:bCs/>
                          <w:spacing w:val="100"/>
                          <w:sz w:val="68"/>
                          <w:szCs w:val="68"/>
                          <w:lang w:val="en-US"/>
                        </w:rPr>
                      </w:pPr>
                      <w:r w:rsidRPr="00631941">
                        <w:rPr>
                          <w:rFonts w:ascii="League Spartan" w:hAnsi="League Spartan"/>
                          <w:b/>
                          <w:bCs/>
                          <w:spacing w:val="100"/>
                          <w:sz w:val="68"/>
                          <w:szCs w:val="68"/>
                          <w:lang w:val="en-US"/>
                        </w:rPr>
                        <w:t xml:space="preserve"> BALANCE</w:t>
                      </w:r>
                    </w:p>
                    <w:p w14:paraId="57197271" w14:textId="4EDE7212" w:rsidR="00B24445" w:rsidRDefault="00B24445">
                      <w:pPr>
                        <w:rPr>
                          <w:rFonts w:ascii="League Spartan ExtraBold" w:hAnsi="League Spartan ExtraBold"/>
                          <w:b/>
                          <w:bCs/>
                          <w:spacing w:val="80"/>
                          <w:sz w:val="68"/>
                          <w:szCs w:val="68"/>
                          <w:lang w:val="en-US"/>
                        </w:rPr>
                      </w:pPr>
                      <w:r>
                        <w:rPr>
                          <w:rFonts w:ascii="League Spartan ExtraBold" w:hAnsi="League Spartan ExtraBold"/>
                          <w:b/>
                          <w:bCs/>
                          <w:spacing w:val="80"/>
                          <w:sz w:val="68"/>
                          <w:szCs w:val="68"/>
                          <w:lang w:val="en-US"/>
                        </w:rPr>
                        <w:tab/>
                      </w:r>
                    </w:p>
                    <w:p w14:paraId="46CB0B95" w14:textId="53E10CCF" w:rsidR="00B24445" w:rsidRPr="0047330E" w:rsidRDefault="00B24445" w:rsidP="002E7922">
                      <w:pPr>
                        <w:ind w:left="720"/>
                        <w:rPr>
                          <w:rFonts w:ascii="Lato" w:hAnsi="Lato"/>
                          <w:spacing w:val="80"/>
                          <w:sz w:val="50"/>
                          <w:szCs w:val="50"/>
                          <w:lang w:val="en-US"/>
                        </w:rPr>
                      </w:pPr>
                      <w:r w:rsidRPr="0047330E">
                        <w:rPr>
                          <w:rFonts w:ascii="Lato" w:hAnsi="Lato"/>
                          <w:spacing w:val="80"/>
                          <w:sz w:val="50"/>
                          <w:szCs w:val="50"/>
                          <w:lang w:val="en-US"/>
                        </w:rPr>
                        <w:t>CREATING AN OPEN, SUSTAINABLE FUTURE FOR OU</w:t>
                      </w:r>
                    </w:p>
                  </w:txbxContent>
                </v:textbox>
              </v:shape>
            </w:pict>
          </mc:Fallback>
        </mc:AlternateContent>
      </w:r>
    </w:p>
    <w:p w14:paraId="1FA16B3D" w14:textId="7EF065A5" w:rsidR="004F0F24" w:rsidRDefault="004F0F24" w:rsidP="00B800AC">
      <w:pPr>
        <w:pStyle w:val="Subtitle"/>
      </w:pPr>
    </w:p>
    <w:p w14:paraId="09411FCB" w14:textId="628E2BC0" w:rsidR="004F0F24" w:rsidRDefault="004F0F24" w:rsidP="00B800AC">
      <w:pPr>
        <w:pStyle w:val="Subtitle"/>
      </w:pPr>
    </w:p>
    <w:p w14:paraId="5852A268" w14:textId="33BB7160" w:rsidR="004F0F24" w:rsidRDefault="004F0F24" w:rsidP="00B800AC">
      <w:pPr>
        <w:pStyle w:val="Subtitle"/>
      </w:pPr>
    </w:p>
    <w:p w14:paraId="654E8BDB" w14:textId="2B9C0815" w:rsidR="004F0F24" w:rsidRDefault="004F0F24" w:rsidP="00B800AC">
      <w:pPr>
        <w:pStyle w:val="Subtitle"/>
      </w:pPr>
    </w:p>
    <w:p w14:paraId="7F5C5158" w14:textId="4254015B" w:rsidR="004F0F24" w:rsidRDefault="004F0F24" w:rsidP="00B800AC">
      <w:pPr>
        <w:pStyle w:val="Subtitle"/>
      </w:pPr>
    </w:p>
    <w:p w14:paraId="6A535182" w14:textId="203FFECC" w:rsidR="004F0F24" w:rsidRDefault="004F0F24" w:rsidP="00B800AC">
      <w:pPr>
        <w:pStyle w:val="Subtitle"/>
      </w:pPr>
    </w:p>
    <w:p w14:paraId="33DF8718" w14:textId="4074142E" w:rsidR="004F0F24" w:rsidRDefault="004F0F24" w:rsidP="00B800AC">
      <w:pPr>
        <w:pStyle w:val="Subtitle"/>
      </w:pPr>
    </w:p>
    <w:p w14:paraId="58456A60" w14:textId="77777777" w:rsidR="004F0F24" w:rsidRDefault="004F0F24" w:rsidP="00B800AC">
      <w:pPr>
        <w:pStyle w:val="Subtitle"/>
      </w:pPr>
    </w:p>
    <w:p w14:paraId="22DCA279" w14:textId="77777777" w:rsidR="004F0F24" w:rsidRDefault="004F0F24" w:rsidP="00B800AC">
      <w:pPr>
        <w:pStyle w:val="Subtitle"/>
      </w:pPr>
    </w:p>
    <w:p w14:paraId="2D2DDFAF" w14:textId="77777777" w:rsidR="004F0F24" w:rsidRDefault="004F0F24" w:rsidP="00B800AC">
      <w:pPr>
        <w:pStyle w:val="Subtitle"/>
      </w:pPr>
    </w:p>
    <w:p w14:paraId="78F09E68" w14:textId="77777777" w:rsidR="004F0F24" w:rsidRDefault="004F0F24" w:rsidP="00B800AC">
      <w:pPr>
        <w:pStyle w:val="Subtitle"/>
      </w:pPr>
    </w:p>
    <w:p w14:paraId="2CB25667" w14:textId="77777777" w:rsidR="004F0F24" w:rsidRDefault="004F0F24" w:rsidP="00B800AC">
      <w:pPr>
        <w:pStyle w:val="Subtitle"/>
      </w:pPr>
    </w:p>
    <w:p w14:paraId="0E2A9507" w14:textId="77777777" w:rsidR="004F0F24" w:rsidRDefault="004F0F24" w:rsidP="00B800AC">
      <w:pPr>
        <w:pStyle w:val="Subtitle"/>
      </w:pPr>
    </w:p>
    <w:p w14:paraId="36D38DC5" w14:textId="77777777" w:rsidR="004F0F24" w:rsidRDefault="004F0F24" w:rsidP="00F97280">
      <w:pPr>
        <w:pStyle w:val="Subtitle"/>
        <w:jc w:val="right"/>
      </w:pPr>
    </w:p>
    <w:p w14:paraId="35FDD044" w14:textId="77777777" w:rsidR="00F97280" w:rsidRPr="0002578B" w:rsidRDefault="002D7E75" w:rsidP="0002578B">
      <w:pPr>
        <w:pStyle w:val="Subtitle"/>
        <w:spacing w:after="20" w:line="240" w:lineRule="auto"/>
        <w:jc w:val="right"/>
        <w:rPr>
          <w:rFonts w:ascii="Lato" w:hAnsi="Lato"/>
          <w:b/>
          <w:bCs/>
          <w:spacing w:val="40"/>
          <w:sz w:val="34"/>
          <w:szCs w:val="34"/>
        </w:rPr>
      </w:pPr>
      <w:r w:rsidRPr="0002578B">
        <w:rPr>
          <w:rFonts w:ascii="Lato" w:hAnsi="Lato"/>
          <w:b/>
          <w:bCs/>
          <w:spacing w:val="40"/>
          <w:sz w:val="34"/>
          <w:szCs w:val="34"/>
        </w:rPr>
        <w:t xml:space="preserve">A REPORT FROM </w:t>
      </w:r>
    </w:p>
    <w:p w14:paraId="668A02AE" w14:textId="77777777" w:rsidR="0002578B" w:rsidRPr="0002578B" w:rsidRDefault="002D7E75" w:rsidP="0002578B">
      <w:pPr>
        <w:pStyle w:val="Subtitle"/>
        <w:spacing w:after="20" w:line="240" w:lineRule="auto"/>
        <w:jc w:val="right"/>
        <w:rPr>
          <w:rFonts w:ascii="Lato" w:hAnsi="Lato"/>
          <w:b/>
          <w:bCs/>
          <w:spacing w:val="40"/>
          <w:sz w:val="34"/>
          <w:szCs w:val="34"/>
        </w:rPr>
      </w:pPr>
      <w:r w:rsidRPr="0002578B">
        <w:rPr>
          <w:rFonts w:ascii="Lato" w:hAnsi="Lato"/>
          <w:b/>
          <w:bCs/>
          <w:spacing w:val="40"/>
          <w:sz w:val="34"/>
          <w:szCs w:val="34"/>
        </w:rPr>
        <w:t>THE UNIVERSITY LIBRARIES COMMITTEE</w:t>
      </w:r>
      <w:r w:rsidR="0002578B" w:rsidRPr="0002578B">
        <w:rPr>
          <w:rFonts w:ascii="Lato" w:hAnsi="Lato"/>
          <w:b/>
          <w:bCs/>
          <w:spacing w:val="40"/>
          <w:sz w:val="34"/>
          <w:szCs w:val="34"/>
        </w:rPr>
        <w:t xml:space="preserve"> </w:t>
      </w:r>
    </w:p>
    <w:p w14:paraId="2BF04941" w14:textId="1A4FB373" w:rsidR="009073DD" w:rsidRPr="006912D7" w:rsidRDefault="002D7E75" w:rsidP="006912D7">
      <w:pPr>
        <w:pStyle w:val="Subtitle"/>
        <w:spacing w:after="20" w:line="240" w:lineRule="auto"/>
        <w:jc w:val="right"/>
        <w:rPr>
          <w:rFonts w:ascii="Lato" w:hAnsi="Lato"/>
          <w:b/>
          <w:bCs/>
          <w:spacing w:val="40"/>
          <w:sz w:val="34"/>
          <w:szCs w:val="34"/>
        </w:rPr>
      </w:pPr>
      <w:r w:rsidRPr="0002578B">
        <w:rPr>
          <w:rFonts w:ascii="Lato" w:hAnsi="Lato"/>
          <w:b/>
          <w:bCs/>
          <w:spacing w:val="40"/>
          <w:sz w:val="34"/>
          <w:szCs w:val="34"/>
        </w:rPr>
        <w:t>SCHOLARLY COMMUNICATION TASKFORCE</w:t>
      </w:r>
      <w:bookmarkStart w:id="0" w:name="_blxlbgsbmhyy" w:colFirst="0" w:colLast="0"/>
      <w:bookmarkEnd w:id="0"/>
    </w:p>
    <w:p w14:paraId="25EFE67C" w14:textId="3F6361A3" w:rsidR="009073DD" w:rsidRDefault="00C53C9F">
      <w:r>
        <w:rPr>
          <w:noProof/>
        </w:rPr>
        <w:lastRenderedPageBreak/>
        <mc:AlternateContent>
          <mc:Choice Requires="wps">
            <w:drawing>
              <wp:anchor distT="45720" distB="45720" distL="114300" distR="114300" simplePos="0" relativeHeight="251666432" behindDoc="0" locked="0" layoutInCell="1" allowOverlap="1" wp14:anchorId="62A57956" wp14:editId="25CB9E46">
                <wp:simplePos x="0" y="0"/>
                <wp:positionH relativeFrom="column">
                  <wp:posOffset>-17780</wp:posOffset>
                </wp:positionH>
                <wp:positionV relativeFrom="paragraph">
                  <wp:posOffset>0</wp:posOffset>
                </wp:positionV>
                <wp:extent cx="2052955" cy="1184275"/>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1184275"/>
                        </a:xfrm>
                        <a:prstGeom prst="rect">
                          <a:avLst/>
                        </a:prstGeom>
                        <a:solidFill>
                          <a:srgbClr val="20344B"/>
                        </a:solidFill>
                        <a:ln w="9525">
                          <a:noFill/>
                          <a:miter lim="800000"/>
                          <a:headEnd/>
                          <a:tailEnd/>
                        </a:ln>
                      </wps:spPr>
                      <wps:txbx>
                        <w:txbxContent>
                          <w:p w14:paraId="661EF5B5" w14:textId="07C237F7" w:rsidR="00B24445" w:rsidRPr="00216D47" w:rsidRDefault="00B24445" w:rsidP="001E597B">
                            <w:pPr>
                              <w:jc w:val="center"/>
                              <w:rPr>
                                <w:rFonts w:ascii="Lato" w:hAnsi="Lato" w:cs="Lato"/>
                                <w:color w:val="FFFFFF" w:themeColor="background1"/>
                                <w:spacing w:val="30"/>
                                <w:sz w:val="32"/>
                                <w:szCs w:val="32"/>
                              </w:rPr>
                            </w:pPr>
                            <w:r w:rsidRPr="00216D47">
                              <w:rPr>
                                <w:rFonts w:ascii="Lato" w:hAnsi="Lato" w:cs="Lato"/>
                                <w:color w:val="FFFFFF" w:themeColor="background1"/>
                                <w:spacing w:val="30"/>
                                <w:sz w:val="32"/>
                                <w:szCs w:val="32"/>
                              </w:rPr>
                              <w:t>TABLE OF</w:t>
                            </w:r>
                          </w:p>
                          <w:p w14:paraId="56A2E3FE" w14:textId="0EC56AEB" w:rsidR="00B24445" w:rsidRPr="001C4DDB" w:rsidRDefault="00B24445" w:rsidP="00D75A6C">
                            <w:pPr>
                              <w:jc w:val="center"/>
                              <w:rPr>
                                <w:rFonts w:ascii="League Spartan" w:hAnsi="League Spartan" w:cs="Lato"/>
                                <w:b/>
                                <w:bCs/>
                                <w:color w:val="FFFFFF" w:themeColor="background1"/>
                                <w:spacing w:val="30"/>
                                <w:sz w:val="44"/>
                                <w:szCs w:val="44"/>
                              </w:rPr>
                            </w:pPr>
                            <w:r w:rsidRPr="001C4DDB">
                              <w:rPr>
                                <w:rFonts w:ascii="League Spartan" w:hAnsi="League Spartan" w:cs="Lato"/>
                                <w:b/>
                                <w:bCs/>
                                <w:color w:val="FFFFFF" w:themeColor="background1"/>
                                <w:spacing w:val="30"/>
                                <w:sz w:val="44"/>
                                <w:szCs w:val="44"/>
                              </w:rPr>
                              <w:t>CONTENTS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A57956" id="Text Box 2" o:spid="_x0000_s1027" type="#_x0000_t202" style="position:absolute;margin-left:-1.4pt;margin-top:0;width:161.65pt;height:93.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" fillcolor="#20344b" stroked="f">
                <v:textbox>
                  <w:txbxContent>
                    <w:p w14:paraId="661EF5B5" w14:textId="07C237F7" w:rsidR="00B24445" w:rsidRPr="00216D47" w:rsidRDefault="00B24445" w:rsidP="001E597B">
                      <w:pPr>
                        <w:jc w:val="center"/>
                        <w:rPr>
                          <w:rFonts w:ascii="Lato" w:hAnsi="Lato" w:cs="Lato"/>
                          <w:color w:val="FFFFFF" w:themeColor="background1"/>
                          <w:spacing w:val="30"/>
                          <w:sz w:val="32"/>
                          <w:szCs w:val="32"/>
                        </w:rPr>
                      </w:pPr>
                      <w:r w:rsidRPr="00216D47">
                        <w:rPr>
                          <w:rFonts w:ascii="Lato" w:hAnsi="Lato" w:cs="Lato"/>
                          <w:color w:val="FFFFFF" w:themeColor="background1"/>
                          <w:spacing w:val="30"/>
                          <w:sz w:val="32"/>
                          <w:szCs w:val="32"/>
                        </w:rPr>
                        <w:t>TABLE OF</w:t>
                      </w:r>
                    </w:p>
                    <w:p w14:paraId="56A2E3FE" w14:textId="0EC56AEB" w:rsidR="00B24445" w:rsidRPr="001C4DDB" w:rsidRDefault="00B24445" w:rsidP="00D75A6C">
                      <w:pPr>
                        <w:jc w:val="center"/>
                        <w:rPr>
                          <w:rFonts w:ascii="League Spartan" w:hAnsi="League Spartan" w:cs="Lato"/>
                          <w:b/>
                          <w:bCs/>
                          <w:color w:val="FFFFFF" w:themeColor="background1"/>
                          <w:spacing w:val="30"/>
                          <w:sz w:val="44"/>
                          <w:szCs w:val="44"/>
                        </w:rPr>
                      </w:pPr>
                      <w:r w:rsidRPr="001C4DDB">
                        <w:rPr>
                          <w:rFonts w:ascii="League Spartan" w:hAnsi="League Spartan" w:cs="Lato"/>
                          <w:b/>
                          <w:bCs/>
                          <w:color w:val="FFFFFF" w:themeColor="background1"/>
                          <w:spacing w:val="30"/>
                          <w:sz w:val="44"/>
                          <w:szCs w:val="44"/>
                        </w:rPr>
                        <w:t>CONTENTS</w:t>
                      </w:r>
                    </w:p>
                  </w:txbxContent>
                </v:textbox>
                <w10:wrap type="square"/>
              </v:shape>
            </w:pict>
          </mc:Fallback>
        </mc:AlternateContent>
      </w:r>
    </w:p>
    <w:p w14:paraId="1BFCA912" w14:textId="77777777" w:rsidR="009073DD" w:rsidRDefault="009073DD"/>
    <w:p w14:paraId="1AF5BD3E" w14:textId="6069AA25" w:rsidR="009073DD" w:rsidRDefault="009073DD"/>
    <w:p w14:paraId="50B1373D" w14:textId="39A10B48" w:rsidR="009073DD" w:rsidRDefault="009073DD"/>
    <w:p w14:paraId="723AA71D" w14:textId="4F29FB32" w:rsidR="009073DD" w:rsidRDefault="009073DD"/>
    <w:p w14:paraId="18968A27" w14:textId="3B955DF5" w:rsidR="009073DD" w:rsidRDefault="009073DD"/>
    <w:p w14:paraId="6C4248AF" w14:textId="77777777" w:rsidR="00C53C9F" w:rsidRDefault="00C53C9F"/>
    <w:sdt>
      <w:sdtPr>
        <w:id w:val="-337926434"/>
        <w:docPartObj>
          <w:docPartGallery w:val="Table of Contents"/>
          <w:docPartUnique/>
        </w:docPartObj>
      </w:sdtPr>
      <w:sdtEndPr>
        <w:rPr>
          <w:color w:val="20344B"/>
        </w:rPr>
      </w:sdtEndPr>
      <w:sdtContent>
        <w:p w14:paraId="05AEF957" w14:textId="5C05F462" w:rsidR="00F614BC" w:rsidRPr="0047330E" w:rsidRDefault="00854443">
          <w:pPr>
            <w:tabs>
              <w:tab w:val="right" w:pos="9360"/>
            </w:tabs>
            <w:spacing w:before="200" w:line="240" w:lineRule="auto"/>
            <w:rPr>
              <w:b/>
              <w:color w:val="20344B"/>
            </w:rPr>
          </w:pPr>
          <w:r w:rsidRPr="0047330E">
            <w:rPr>
              <w:color w:val="20344B"/>
            </w:rPr>
            <w:fldChar w:fldCharType="begin"/>
          </w:r>
          <w:r w:rsidRPr="0047330E">
            <w:rPr>
              <w:color w:val="20344B"/>
            </w:rPr>
            <w:instrText xml:space="preserve"> TOC \h \u \z </w:instrText>
          </w:r>
          <w:r w:rsidRPr="0047330E">
            <w:rPr>
              <w:color w:val="20344B"/>
            </w:rPr>
            <w:fldChar w:fldCharType="separate"/>
          </w:r>
          <w:hyperlink w:anchor="_cslejk23uoqx">
            <w:r w:rsidR="00665ED6" w:rsidRPr="00E83CFF">
              <w:rPr>
                <w:rFonts w:ascii="League Spartan" w:hAnsi="League Spartan"/>
                <w:b/>
                <w:bCs/>
                <w:color w:val="20344B"/>
                <w:spacing w:val="30"/>
                <w:sz w:val="36"/>
                <w:szCs w:val="36"/>
              </w:rPr>
              <w:t>EXECUTIVE SUMMARY</w:t>
            </w:r>
          </w:hyperlink>
          <w:r w:rsidRPr="007B4CC9">
            <w:rPr>
              <w:rFonts w:ascii="Lato" w:hAnsi="Lato"/>
              <w:b/>
              <w:color w:val="20344B"/>
            </w:rPr>
            <w:tab/>
          </w:r>
          <w:r w:rsidRPr="007B4CC9">
            <w:rPr>
              <w:rFonts w:ascii="Lato" w:hAnsi="Lato"/>
              <w:color w:val="20344B"/>
            </w:rPr>
            <w:fldChar w:fldCharType="begin"/>
          </w:r>
          <w:r w:rsidRPr="007B4CC9">
            <w:rPr>
              <w:rFonts w:ascii="Lato" w:hAnsi="Lato"/>
              <w:color w:val="20344B"/>
            </w:rPr>
            <w:instrText xml:space="preserve"> PAGEREF _cslejk23uoqx \h </w:instrText>
          </w:r>
          <w:r w:rsidRPr="007B4CC9">
            <w:rPr>
              <w:rFonts w:ascii="Lato" w:hAnsi="Lato"/>
              <w:color w:val="20344B"/>
            </w:rPr>
          </w:r>
          <w:r w:rsidRPr="007B4CC9">
            <w:rPr>
              <w:rFonts w:ascii="Lato" w:hAnsi="Lato"/>
              <w:color w:val="20344B"/>
            </w:rPr>
            <w:fldChar w:fldCharType="separate"/>
          </w:r>
          <w:r w:rsidRPr="007B4CC9">
            <w:rPr>
              <w:rFonts w:ascii="Lato" w:hAnsi="Lato"/>
              <w:b/>
              <w:color w:val="20344B"/>
            </w:rPr>
            <w:t>3</w:t>
          </w:r>
          <w:r w:rsidRPr="007B4CC9">
            <w:rPr>
              <w:rFonts w:ascii="Lato" w:hAnsi="Lato"/>
              <w:color w:val="20344B"/>
            </w:rPr>
            <w:fldChar w:fldCharType="end"/>
          </w:r>
        </w:p>
        <w:p w14:paraId="24A0336F" w14:textId="77777777" w:rsidR="00F614BC" w:rsidRPr="00ED0D8E" w:rsidRDefault="00B24445">
          <w:pPr>
            <w:tabs>
              <w:tab w:val="right" w:pos="9360"/>
            </w:tabs>
            <w:spacing w:before="60" w:line="240" w:lineRule="auto"/>
            <w:ind w:left="360"/>
            <w:rPr>
              <w:rFonts w:ascii="Lato" w:hAnsi="Lato"/>
              <w:color w:val="20344B"/>
            </w:rPr>
          </w:pPr>
          <w:hyperlink w:anchor="_slskzsvgktx0">
            <w:r w:rsidR="00854443" w:rsidRPr="00ED0D8E">
              <w:rPr>
                <w:rFonts w:ascii="Lato" w:hAnsi="Lato"/>
                <w:color w:val="20344B"/>
              </w:rPr>
              <w:t>Challenges</w:t>
            </w:r>
          </w:hyperlink>
          <w:r w:rsidR="00854443" w:rsidRPr="00ED0D8E">
            <w:rPr>
              <w:rFonts w:ascii="Lato" w:hAnsi="Lato"/>
              <w:color w:val="20344B"/>
            </w:rPr>
            <w:tab/>
          </w:r>
          <w:r w:rsidR="00854443" w:rsidRPr="00ED0D8E">
            <w:rPr>
              <w:rFonts w:ascii="Lato" w:hAnsi="Lato"/>
              <w:color w:val="20344B"/>
            </w:rPr>
            <w:fldChar w:fldCharType="begin"/>
          </w:r>
          <w:r w:rsidR="00854443" w:rsidRPr="00ED0D8E">
            <w:rPr>
              <w:rFonts w:ascii="Lato" w:hAnsi="Lato"/>
              <w:color w:val="20344B"/>
            </w:rPr>
            <w:instrText xml:space="preserve"> PAGEREF _slskzsvgktx0 \h </w:instrText>
          </w:r>
          <w:r w:rsidR="00854443" w:rsidRPr="00ED0D8E">
            <w:rPr>
              <w:rFonts w:ascii="Lato" w:hAnsi="Lato"/>
              <w:color w:val="20344B"/>
            </w:rPr>
          </w:r>
          <w:r w:rsidR="00854443" w:rsidRPr="00ED0D8E">
            <w:rPr>
              <w:rFonts w:ascii="Lato" w:hAnsi="Lato"/>
              <w:color w:val="20344B"/>
            </w:rPr>
            <w:fldChar w:fldCharType="separate"/>
          </w:r>
          <w:r w:rsidR="00854443" w:rsidRPr="00ED0D8E">
            <w:rPr>
              <w:rFonts w:ascii="Lato" w:hAnsi="Lato"/>
              <w:color w:val="20344B"/>
            </w:rPr>
            <w:t>3</w:t>
          </w:r>
          <w:r w:rsidR="00854443" w:rsidRPr="00ED0D8E">
            <w:rPr>
              <w:rFonts w:ascii="Lato" w:hAnsi="Lato"/>
              <w:color w:val="20344B"/>
            </w:rPr>
            <w:fldChar w:fldCharType="end"/>
          </w:r>
        </w:p>
        <w:p w14:paraId="30E1DEF9" w14:textId="77777777" w:rsidR="00F614BC" w:rsidRPr="00ED0D8E" w:rsidRDefault="00B24445">
          <w:pPr>
            <w:tabs>
              <w:tab w:val="right" w:pos="9360"/>
            </w:tabs>
            <w:spacing w:before="60" w:line="240" w:lineRule="auto"/>
            <w:ind w:left="360"/>
            <w:rPr>
              <w:rFonts w:ascii="Lato" w:hAnsi="Lato"/>
              <w:color w:val="20344B"/>
            </w:rPr>
          </w:pPr>
          <w:hyperlink w:anchor="_6owigfeylp38">
            <w:r w:rsidR="00854443" w:rsidRPr="00ED0D8E">
              <w:rPr>
                <w:rFonts w:ascii="Lato" w:hAnsi="Lato"/>
                <w:color w:val="20344B"/>
              </w:rPr>
              <w:t>Recommendations</w:t>
            </w:r>
          </w:hyperlink>
          <w:r w:rsidR="00854443" w:rsidRPr="00ED0D8E">
            <w:rPr>
              <w:rFonts w:ascii="Lato" w:hAnsi="Lato"/>
              <w:color w:val="20344B"/>
            </w:rPr>
            <w:tab/>
          </w:r>
          <w:r w:rsidR="00854443" w:rsidRPr="00ED0D8E">
            <w:rPr>
              <w:rFonts w:ascii="Lato" w:hAnsi="Lato"/>
              <w:color w:val="20344B"/>
            </w:rPr>
            <w:fldChar w:fldCharType="begin"/>
          </w:r>
          <w:r w:rsidR="00854443" w:rsidRPr="00ED0D8E">
            <w:rPr>
              <w:rFonts w:ascii="Lato" w:hAnsi="Lato"/>
              <w:color w:val="20344B"/>
            </w:rPr>
            <w:instrText xml:space="preserve"> PAGEREF _6owigfeylp38 \h </w:instrText>
          </w:r>
          <w:r w:rsidR="00854443" w:rsidRPr="00ED0D8E">
            <w:rPr>
              <w:rFonts w:ascii="Lato" w:hAnsi="Lato"/>
              <w:color w:val="20344B"/>
            </w:rPr>
          </w:r>
          <w:r w:rsidR="00854443" w:rsidRPr="00ED0D8E">
            <w:rPr>
              <w:rFonts w:ascii="Lato" w:hAnsi="Lato"/>
              <w:color w:val="20344B"/>
            </w:rPr>
            <w:fldChar w:fldCharType="separate"/>
          </w:r>
          <w:r w:rsidR="00854443" w:rsidRPr="00ED0D8E">
            <w:rPr>
              <w:rFonts w:ascii="Lato" w:hAnsi="Lato"/>
              <w:color w:val="20344B"/>
            </w:rPr>
            <w:t>4</w:t>
          </w:r>
          <w:r w:rsidR="00854443" w:rsidRPr="00ED0D8E">
            <w:rPr>
              <w:rFonts w:ascii="Lato" w:hAnsi="Lato"/>
              <w:color w:val="20344B"/>
            </w:rPr>
            <w:fldChar w:fldCharType="end"/>
          </w:r>
        </w:p>
        <w:p w14:paraId="6433D264" w14:textId="1DFA3938" w:rsidR="00F614BC" w:rsidRPr="00ED0D8E" w:rsidRDefault="00B24445">
          <w:pPr>
            <w:tabs>
              <w:tab w:val="right" w:pos="9360"/>
            </w:tabs>
            <w:spacing w:before="60" w:line="240" w:lineRule="auto"/>
            <w:ind w:left="360"/>
            <w:rPr>
              <w:rFonts w:ascii="Lato" w:hAnsi="Lato"/>
              <w:color w:val="20344B"/>
            </w:rPr>
          </w:pPr>
          <w:hyperlink w:anchor="_nf3sx3ijryy5">
            <w:r w:rsidR="00854443" w:rsidRPr="00ED0D8E">
              <w:rPr>
                <w:rFonts w:ascii="Lato" w:hAnsi="Lato"/>
                <w:color w:val="20344B"/>
              </w:rPr>
              <w:t>Communication Framework</w:t>
            </w:r>
          </w:hyperlink>
          <w:r w:rsidR="00854443" w:rsidRPr="00ED0D8E">
            <w:rPr>
              <w:rFonts w:ascii="Lato" w:hAnsi="Lato"/>
              <w:color w:val="20344B"/>
            </w:rPr>
            <w:tab/>
          </w:r>
          <w:r w:rsidR="00E040AE">
            <w:rPr>
              <w:rFonts w:ascii="Lato" w:hAnsi="Lato"/>
              <w:color w:val="20344B"/>
            </w:rPr>
            <w:t>4</w:t>
          </w:r>
        </w:p>
        <w:p w14:paraId="331B41A9" w14:textId="77777777" w:rsidR="00F614BC" w:rsidRPr="00ED0D8E" w:rsidRDefault="00B24445">
          <w:pPr>
            <w:tabs>
              <w:tab w:val="right" w:pos="9360"/>
            </w:tabs>
            <w:spacing w:before="60" w:line="240" w:lineRule="auto"/>
            <w:ind w:left="360"/>
            <w:rPr>
              <w:rFonts w:ascii="Lato" w:hAnsi="Lato"/>
              <w:color w:val="20344B"/>
            </w:rPr>
          </w:pPr>
          <w:hyperlink w:anchor="_51u4jtxppe48">
            <w:r w:rsidR="00854443" w:rsidRPr="00ED0D8E">
              <w:rPr>
                <w:rFonts w:ascii="Lato" w:hAnsi="Lato"/>
                <w:color w:val="20344B"/>
              </w:rPr>
              <w:t>Taskforce members</w:t>
            </w:r>
          </w:hyperlink>
          <w:r w:rsidR="00854443" w:rsidRPr="00ED0D8E">
            <w:rPr>
              <w:rFonts w:ascii="Lato" w:hAnsi="Lato"/>
              <w:color w:val="20344B"/>
            </w:rPr>
            <w:tab/>
          </w:r>
          <w:r w:rsidR="00854443" w:rsidRPr="00ED0D8E">
            <w:rPr>
              <w:rFonts w:ascii="Lato" w:hAnsi="Lato"/>
              <w:color w:val="20344B"/>
            </w:rPr>
            <w:fldChar w:fldCharType="begin"/>
          </w:r>
          <w:r w:rsidR="00854443" w:rsidRPr="00ED0D8E">
            <w:rPr>
              <w:rFonts w:ascii="Lato" w:hAnsi="Lato"/>
              <w:color w:val="20344B"/>
            </w:rPr>
            <w:instrText xml:space="preserve"> PAGEREF _51u4jtxppe48 \h </w:instrText>
          </w:r>
          <w:r w:rsidR="00854443" w:rsidRPr="00ED0D8E">
            <w:rPr>
              <w:rFonts w:ascii="Lato" w:hAnsi="Lato"/>
              <w:color w:val="20344B"/>
            </w:rPr>
          </w:r>
          <w:r w:rsidR="00854443" w:rsidRPr="00ED0D8E">
            <w:rPr>
              <w:rFonts w:ascii="Lato" w:hAnsi="Lato"/>
              <w:color w:val="20344B"/>
            </w:rPr>
            <w:fldChar w:fldCharType="separate"/>
          </w:r>
          <w:r w:rsidR="00854443" w:rsidRPr="00ED0D8E">
            <w:rPr>
              <w:rFonts w:ascii="Lato" w:hAnsi="Lato"/>
              <w:color w:val="20344B"/>
            </w:rPr>
            <w:t>5</w:t>
          </w:r>
          <w:r w:rsidR="00854443" w:rsidRPr="00ED0D8E">
            <w:rPr>
              <w:rFonts w:ascii="Lato" w:hAnsi="Lato"/>
              <w:color w:val="20344B"/>
            </w:rPr>
            <w:fldChar w:fldCharType="end"/>
          </w:r>
        </w:p>
        <w:p w14:paraId="37B2C97C" w14:textId="77777777" w:rsidR="00F614BC" w:rsidRPr="00ED0D8E" w:rsidRDefault="00B24445">
          <w:pPr>
            <w:tabs>
              <w:tab w:val="right" w:pos="9360"/>
            </w:tabs>
            <w:spacing w:before="60" w:line="240" w:lineRule="auto"/>
            <w:ind w:left="360"/>
            <w:rPr>
              <w:rFonts w:ascii="Lato" w:hAnsi="Lato"/>
              <w:color w:val="20344B"/>
            </w:rPr>
          </w:pPr>
          <w:hyperlink w:anchor="_j796813i4a2s">
            <w:r w:rsidR="00854443" w:rsidRPr="00ED0D8E">
              <w:rPr>
                <w:rFonts w:ascii="Lato" w:hAnsi="Lato"/>
                <w:color w:val="20344B"/>
              </w:rPr>
              <w:t>Additional Information</w:t>
            </w:r>
          </w:hyperlink>
          <w:r w:rsidR="00854443" w:rsidRPr="00ED0D8E">
            <w:rPr>
              <w:rFonts w:ascii="Lato" w:hAnsi="Lato"/>
              <w:color w:val="20344B"/>
            </w:rPr>
            <w:tab/>
          </w:r>
          <w:r w:rsidR="00854443" w:rsidRPr="00ED0D8E">
            <w:rPr>
              <w:rFonts w:ascii="Lato" w:hAnsi="Lato"/>
              <w:color w:val="20344B"/>
            </w:rPr>
            <w:fldChar w:fldCharType="begin"/>
          </w:r>
          <w:r w:rsidR="00854443" w:rsidRPr="00ED0D8E">
            <w:rPr>
              <w:rFonts w:ascii="Lato" w:hAnsi="Lato"/>
              <w:color w:val="20344B"/>
            </w:rPr>
            <w:instrText xml:space="preserve"> PAGEREF _j796813i4a2s \h </w:instrText>
          </w:r>
          <w:r w:rsidR="00854443" w:rsidRPr="00ED0D8E">
            <w:rPr>
              <w:rFonts w:ascii="Lato" w:hAnsi="Lato"/>
              <w:color w:val="20344B"/>
            </w:rPr>
          </w:r>
          <w:r w:rsidR="00854443" w:rsidRPr="00ED0D8E">
            <w:rPr>
              <w:rFonts w:ascii="Lato" w:hAnsi="Lato"/>
              <w:color w:val="20344B"/>
            </w:rPr>
            <w:fldChar w:fldCharType="separate"/>
          </w:r>
          <w:r w:rsidR="00854443" w:rsidRPr="00ED0D8E">
            <w:rPr>
              <w:rFonts w:ascii="Lato" w:hAnsi="Lato"/>
              <w:color w:val="20344B"/>
            </w:rPr>
            <w:t>5</w:t>
          </w:r>
          <w:r w:rsidR="00854443" w:rsidRPr="00ED0D8E">
            <w:rPr>
              <w:rFonts w:ascii="Lato" w:hAnsi="Lato"/>
              <w:color w:val="20344B"/>
            </w:rPr>
            <w:fldChar w:fldCharType="end"/>
          </w:r>
        </w:p>
        <w:p w14:paraId="60E872C3" w14:textId="6E28F6A3" w:rsidR="00F614BC" w:rsidRPr="0047330E" w:rsidRDefault="00B24445">
          <w:pPr>
            <w:tabs>
              <w:tab w:val="right" w:pos="9360"/>
            </w:tabs>
            <w:spacing w:before="200" w:line="240" w:lineRule="auto"/>
            <w:rPr>
              <w:b/>
              <w:color w:val="20344B"/>
            </w:rPr>
          </w:pPr>
          <w:hyperlink w:anchor="_i43zx5mgi0bo">
            <w:r w:rsidR="00FC30F6" w:rsidRPr="00E83CFF">
              <w:rPr>
                <w:rFonts w:ascii="League Spartan" w:hAnsi="League Spartan"/>
                <w:b/>
                <w:bCs/>
                <w:color w:val="20344B"/>
                <w:spacing w:val="30"/>
                <w:sz w:val="36"/>
                <w:szCs w:val="36"/>
              </w:rPr>
              <w:t>FULL REPORT</w:t>
            </w:r>
          </w:hyperlink>
          <w:r w:rsidR="00854443" w:rsidRPr="0047330E">
            <w:rPr>
              <w:b/>
              <w:color w:val="20344B"/>
            </w:rPr>
            <w:tab/>
          </w:r>
          <w:r w:rsidR="00854443" w:rsidRPr="00B55FB8">
            <w:rPr>
              <w:rFonts w:ascii="Lato" w:hAnsi="Lato" w:cs="Lato"/>
              <w:color w:val="20344B"/>
            </w:rPr>
            <w:fldChar w:fldCharType="begin"/>
          </w:r>
          <w:r w:rsidR="00854443" w:rsidRPr="00B55FB8">
            <w:rPr>
              <w:rFonts w:ascii="Lato" w:hAnsi="Lato" w:cs="Lato"/>
              <w:color w:val="20344B"/>
            </w:rPr>
            <w:instrText xml:space="preserve"> PAGEREF _i43zx5mgi0bo \h </w:instrText>
          </w:r>
          <w:r w:rsidR="00854443" w:rsidRPr="00B55FB8">
            <w:rPr>
              <w:rFonts w:ascii="Lato" w:hAnsi="Lato" w:cs="Lato"/>
              <w:color w:val="20344B"/>
            </w:rPr>
          </w:r>
          <w:r w:rsidR="00854443" w:rsidRPr="00B55FB8">
            <w:rPr>
              <w:rFonts w:ascii="Lato" w:hAnsi="Lato" w:cs="Lato"/>
              <w:color w:val="20344B"/>
            </w:rPr>
            <w:fldChar w:fldCharType="separate"/>
          </w:r>
          <w:r w:rsidR="00854443" w:rsidRPr="00B55FB8">
            <w:rPr>
              <w:rFonts w:ascii="Lato" w:hAnsi="Lato" w:cs="Lato"/>
              <w:b/>
              <w:color w:val="20344B"/>
            </w:rPr>
            <w:t>6</w:t>
          </w:r>
          <w:r w:rsidR="00854443" w:rsidRPr="00B55FB8">
            <w:rPr>
              <w:rFonts w:ascii="Lato" w:hAnsi="Lato" w:cs="Lato"/>
              <w:color w:val="20344B"/>
            </w:rPr>
            <w:fldChar w:fldCharType="end"/>
          </w:r>
        </w:p>
        <w:p w14:paraId="50877F13" w14:textId="77777777" w:rsidR="00F614BC" w:rsidRPr="007B4CC9" w:rsidRDefault="00B24445">
          <w:pPr>
            <w:tabs>
              <w:tab w:val="right" w:pos="9360"/>
            </w:tabs>
            <w:spacing w:before="60" w:line="240" w:lineRule="auto"/>
            <w:ind w:left="360"/>
            <w:rPr>
              <w:rFonts w:ascii="Lato" w:hAnsi="Lato"/>
              <w:color w:val="20344B"/>
            </w:rPr>
          </w:pPr>
          <w:hyperlink w:anchor="_po9039av41rp">
            <w:r w:rsidR="00854443" w:rsidRPr="007B4CC9">
              <w:rPr>
                <w:rFonts w:ascii="Lato" w:hAnsi="Lato"/>
                <w:color w:val="20344B"/>
              </w:rPr>
              <w:t>Introduction</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_po9039av41rp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6</w:t>
          </w:r>
          <w:r w:rsidR="00854443" w:rsidRPr="007B4CC9">
            <w:rPr>
              <w:rFonts w:ascii="Lato" w:hAnsi="Lato"/>
              <w:color w:val="20344B"/>
            </w:rPr>
            <w:fldChar w:fldCharType="end"/>
          </w:r>
        </w:p>
        <w:p w14:paraId="7922ECBE" w14:textId="77777777" w:rsidR="00F614BC" w:rsidRPr="007B4CC9" w:rsidRDefault="00B24445">
          <w:pPr>
            <w:tabs>
              <w:tab w:val="right" w:pos="9360"/>
            </w:tabs>
            <w:spacing w:before="60" w:line="240" w:lineRule="auto"/>
            <w:ind w:left="360"/>
            <w:rPr>
              <w:rFonts w:ascii="Lato" w:hAnsi="Lato"/>
              <w:color w:val="20344B"/>
            </w:rPr>
          </w:pPr>
          <w:hyperlink w:anchor="_m1fpegny2ryz">
            <w:r w:rsidR="00854443" w:rsidRPr="007B4CC9">
              <w:rPr>
                <w:rFonts w:ascii="Lato" w:hAnsi="Lato"/>
                <w:color w:val="20344B"/>
              </w:rPr>
              <w:t>Considerations Undertaken by the Taskforce</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_m1fpegny2ryz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6</w:t>
          </w:r>
          <w:r w:rsidR="00854443" w:rsidRPr="007B4CC9">
            <w:rPr>
              <w:rFonts w:ascii="Lato" w:hAnsi="Lato"/>
              <w:color w:val="20344B"/>
            </w:rPr>
            <w:fldChar w:fldCharType="end"/>
          </w:r>
        </w:p>
        <w:p w14:paraId="4BE123FE" w14:textId="77777777" w:rsidR="00F614BC" w:rsidRPr="007B4CC9" w:rsidRDefault="00B24445">
          <w:pPr>
            <w:tabs>
              <w:tab w:val="right" w:pos="9360"/>
            </w:tabs>
            <w:spacing w:before="60" w:line="240" w:lineRule="auto"/>
            <w:ind w:left="720"/>
            <w:rPr>
              <w:rFonts w:ascii="Lato" w:hAnsi="Lato"/>
              <w:color w:val="20344B"/>
            </w:rPr>
          </w:pPr>
          <w:hyperlink w:anchor="_n6wsrabq2ki">
            <w:r w:rsidR="00854443" w:rsidRPr="007B4CC9">
              <w:rPr>
                <w:rFonts w:ascii="Lato" w:hAnsi="Lato"/>
                <w:color w:val="20344B"/>
              </w:rPr>
              <w:t>Economics of Publishing</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_n6wsrabq2ki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6</w:t>
          </w:r>
          <w:r w:rsidR="00854443" w:rsidRPr="007B4CC9">
            <w:rPr>
              <w:rFonts w:ascii="Lato" w:hAnsi="Lato"/>
              <w:color w:val="20344B"/>
            </w:rPr>
            <w:fldChar w:fldCharType="end"/>
          </w:r>
        </w:p>
        <w:p w14:paraId="172EA191" w14:textId="5F80A952" w:rsidR="00F614BC" w:rsidRPr="007B4CC9" w:rsidRDefault="00B24445">
          <w:pPr>
            <w:tabs>
              <w:tab w:val="right" w:pos="9360"/>
            </w:tabs>
            <w:spacing w:before="60" w:line="240" w:lineRule="auto"/>
            <w:ind w:left="1080"/>
            <w:rPr>
              <w:rFonts w:ascii="Lato" w:hAnsi="Lato"/>
              <w:color w:val="20344B"/>
            </w:rPr>
          </w:pPr>
          <w:hyperlink w:anchor="_6eujy4rvczeb">
            <w:r w:rsidR="00854443" w:rsidRPr="007B4CC9">
              <w:rPr>
                <w:rFonts w:ascii="Lato" w:hAnsi="Lato"/>
                <w:color w:val="20344B"/>
              </w:rPr>
              <w:t>An Open Access Solution</w:t>
            </w:r>
          </w:hyperlink>
          <w:r w:rsidR="00854443" w:rsidRPr="007B4CC9">
            <w:rPr>
              <w:rFonts w:ascii="Lato" w:hAnsi="Lato"/>
              <w:color w:val="20344B"/>
            </w:rPr>
            <w:tab/>
          </w:r>
          <w:r w:rsidR="00E040AE">
            <w:rPr>
              <w:rFonts w:ascii="Lato" w:hAnsi="Lato"/>
              <w:color w:val="20344B"/>
            </w:rPr>
            <w:t>8</w:t>
          </w:r>
        </w:p>
        <w:p w14:paraId="72F8E66E" w14:textId="42C0266E" w:rsidR="00F614BC" w:rsidRPr="007B4CC9" w:rsidRDefault="00B24445">
          <w:pPr>
            <w:tabs>
              <w:tab w:val="right" w:pos="9360"/>
            </w:tabs>
            <w:spacing w:before="60" w:line="240" w:lineRule="auto"/>
            <w:ind w:left="1440"/>
            <w:rPr>
              <w:rFonts w:ascii="Lato" w:hAnsi="Lato"/>
              <w:color w:val="20344B"/>
            </w:rPr>
          </w:pPr>
          <w:hyperlink w:anchor="_9tg22qp2n4q7">
            <w:r w:rsidR="00854443" w:rsidRPr="007B4CC9">
              <w:rPr>
                <w:rFonts w:ascii="Lato" w:hAnsi="Lato"/>
                <w:color w:val="20344B"/>
              </w:rPr>
              <w:t>Open access publishing (gold and hybrid)</w:t>
            </w:r>
          </w:hyperlink>
          <w:r w:rsidR="00854443" w:rsidRPr="007B4CC9">
            <w:rPr>
              <w:rFonts w:ascii="Lato" w:hAnsi="Lato"/>
              <w:color w:val="20344B"/>
            </w:rPr>
            <w:tab/>
          </w:r>
          <w:r w:rsidR="00E040AE">
            <w:rPr>
              <w:rFonts w:ascii="Lato" w:hAnsi="Lato"/>
              <w:color w:val="20344B"/>
            </w:rPr>
            <w:t>9</w:t>
          </w:r>
        </w:p>
        <w:p w14:paraId="51ACF0FD" w14:textId="2E85F6B8" w:rsidR="00F614BC" w:rsidRPr="007B4CC9" w:rsidRDefault="00B24445">
          <w:pPr>
            <w:tabs>
              <w:tab w:val="right" w:pos="9360"/>
            </w:tabs>
            <w:spacing w:before="60" w:line="240" w:lineRule="auto"/>
            <w:ind w:left="1440"/>
            <w:rPr>
              <w:rFonts w:ascii="Lato" w:hAnsi="Lato"/>
              <w:color w:val="20344B"/>
            </w:rPr>
          </w:pPr>
          <w:hyperlink w:anchor="_39ejtytsd8lq">
            <w:r w:rsidR="00854443" w:rsidRPr="007B4CC9">
              <w:rPr>
                <w:rFonts w:ascii="Lato" w:hAnsi="Lato"/>
                <w:color w:val="20344B"/>
              </w:rPr>
              <w:t>Institutional or Disciplinary Repositories</w:t>
            </w:r>
          </w:hyperlink>
          <w:r w:rsidR="00854443" w:rsidRPr="007B4CC9">
            <w:rPr>
              <w:rFonts w:ascii="Lato" w:hAnsi="Lato"/>
              <w:color w:val="20344B"/>
            </w:rPr>
            <w:tab/>
          </w:r>
          <w:r w:rsidR="00B43567">
            <w:rPr>
              <w:rFonts w:ascii="Lato" w:hAnsi="Lato"/>
              <w:color w:val="20344B"/>
            </w:rPr>
            <w:t>10</w:t>
          </w:r>
        </w:p>
        <w:p w14:paraId="72A5EA75" w14:textId="6E182ADC" w:rsidR="00F614BC" w:rsidRPr="007B4CC9" w:rsidRDefault="00B24445">
          <w:pPr>
            <w:tabs>
              <w:tab w:val="right" w:pos="9360"/>
            </w:tabs>
            <w:spacing w:before="60" w:line="240" w:lineRule="auto"/>
            <w:ind w:left="1440"/>
            <w:rPr>
              <w:rFonts w:ascii="Lato" w:hAnsi="Lato"/>
              <w:color w:val="20344B"/>
            </w:rPr>
          </w:pPr>
          <w:hyperlink w:anchor="_5ucyjs330x4s">
            <w:r w:rsidR="00854443" w:rsidRPr="007B4CC9">
              <w:rPr>
                <w:rFonts w:ascii="Lato" w:hAnsi="Lato"/>
                <w:color w:val="20344B"/>
              </w:rPr>
              <w:t>Author Rights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_5ucyjs330x4s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w:t>
          </w:r>
          <w:r w:rsidR="00854443" w:rsidRPr="007B4CC9">
            <w:rPr>
              <w:rFonts w:ascii="Lato" w:hAnsi="Lato"/>
              <w:color w:val="20344B"/>
            </w:rPr>
            <w:fldChar w:fldCharType="end"/>
          </w:r>
          <w:r w:rsidR="00B43567">
            <w:rPr>
              <w:rFonts w:ascii="Lato" w:hAnsi="Lato"/>
              <w:color w:val="20344B"/>
            </w:rPr>
            <w:t>1</w:t>
          </w:r>
        </w:p>
        <w:p w14:paraId="62206E75" w14:textId="69312A95" w:rsidR="00F614BC" w:rsidRPr="007B4CC9" w:rsidRDefault="00B24445">
          <w:pPr>
            <w:tabs>
              <w:tab w:val="right" w:pos="9360"/>
            </w:tabs>
            <w:spacing w:before="60" w:line="240" w:lineRule="auto"/>
            <w:ind w:left="1440"/>
            <w:rPr>
              <w:rFonts w:ascii="Lato" w:hAnsi="Lato"/>
              <w:color w:val="20344B"/>
            </w:rPr>
          </w:pPr>
          <w:hyperlink w:anchor="_syrh7zr0dck6">
            <w:r w:rsidR="00854443" w:rsidRPr="007B4CC9">
              <w:rPr>
                <w:rFonts w:ascii="Lato" w:hAnsi="Lato"/>
                <w:color w:val="20344B"/>
              </w:rPr>
              <w:t>Open Access Policies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_syrh7zr0dck6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w:t>
          </w:r>
          <w:r w:rsidR="00854443" w:rsidRPr="007B4CC9">
            <w:rPr>
              <w:rFonts w:ascii="Lato" w:hAnsi="Lato"/>
              <w:color w:val="20344B"/>
            </w:rPr>
            <w:fldChar w:fldCharType="end"/>
          </w:r>
          <w:r w:rsidR="00B43567">
            <w:rPr>
              <w:rFonts w:ascii="Lato" w:hAnsi="Lato"/>
              <w:color w:val="20344B"/>
            </w:rPr>
            <w:t>1</w:t>
          </w:r>
        </w:p>
        <w:p w14:paraId="113A6456" w14:textId="77777777" w:rsidR="00F614BC" w:rsidRPr="007B4CC9" w:rsidRDefault="00B24445">
          <w:pPr>
            <w:tabs>
              <w:tab w:val="right" w:pos="9360"/>
            </w:tabs>
            <w:spacing w:before="60" w:line="240" w:lineRule="auto"/>
            <w:ind w:left="720"/>
            <w:rPr>
              <w:rFonts w:ascii="Lato" w:hAnsi="Lato"/>
              <w:color w:val="20344B"/>
            </w:rPr>
          </w:pPr>
          <w:hyperlink w:anchor="_qqz3fv6bc590">
            <w:r w:rsidR="00854443" w:rsidRPr="007B4CC9">
              <w:rPr>
                <w:rFonts w:ascii="Lato" w:hAnsi="Lato"/>
                <w:color w:val="20344B"/>
              </w:rPr>
              <w:t>Scholarly Communication Practices/OA Among Different Disciplines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_qqz3fv6bc590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12</w:t>
          </w:r>
          <w:r w:rsidR="00854443" w:rsidRPr="007B4CC9">
            <w:rPr>
              <w:rFonts w:ascii="Lato" w:hAnsi="Lato"/>
              <w:color w:val="20344B"/>
            </w:rPr>
            <w:fldChar w:fldCharType="end"/>
          </w:r>
        </w:p>
        <w:p w14:paraId="0827E4F4" w14:textId="77777777" w:rsidR="00F614BC" w:rsidRPr="007B4CC9" w:rsidRDefault="00B24445">
          <w:pPr>
            <w:tabs>
              <w:tab w:val="right" w:pos="9360"/>
            </w:tabs>
            <w:spacing w:before="60" w:line="240" w:lineRule="auto"/>
            <w:ind w:left="720"/>
            <w:rPr>
              <w:rFonts w:ascii="Lato" w:hAnsi="Lato"/>
              <w:color w:val="20344B"/>
            </w:rPr>
          </w:pPr>
          <w:hyperlink w:anchor="_l7on7a75uva4">
            <w:r w:rsidR="00854443" w:rsidRPr="007B4CC9">
              <w:rPr>
                <w:rFonts w:ascii="Lato" w:hAnsi="Lato"/>
                <w:color w:val="20344B"/>
              </w:rPr>
              <w:t>Impact on Scholarly Societies/Strategies Enacted by Scholarly Societies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_l7on7a75uva4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13</w:t>
          </w:r>
          <w:r w:rsidR="00854443" w:rsidRPr="007B4CC9">
            <w:rPr>
              <w:rFonts w:ascii="Lato" w:hAnsi="Lato"/>
              <w:color w:val="20344B"/>
            </w:rPr>
            <w:fldChar w:fldCharType="end"/>
          </w:r>
        </w:p>
        <w:p w14:paraId="7D871078" w14:textId="6D064370" w:rsidR="00F614BC" w:rsidRPr="007B4CC9" w:rsidRDefault="00B24445">
          <w:pPr>
            <w:tabs>
              <w:tab w:val="right" w:pos="9360"/>
            </w:tabs>
            <w:spacing w:before="60" w:line="240" w:lineRule="auto"/>
            <w:ind w:left="720"/>
            <w:rPr>
              <w:rFonts w:ascii="Lato" w:hAnsi="Lato"/>
              <w:color w:val="20344B"/>
            </w:rPr>
          </w:pPr>
          <w:hyperlink w:anchor="_qfffh2v7jskp">
            <w:r w:rsidR="00854443" w:rsidRPr="007B4CC9">
              <w:rPr>
                <w:rFonts w:ascii="Lato" w:hAnsi="Lato"/>
                <w:color w:val="20344B"/>
              </w:rPr>
              <w:t>Promotion and Tenure Considerations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_qfffh2v7jskp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w:t>
          </w:r>
          <w:r w:rsidR="00854443" w:rsidRPr="007B4CC9">
            <w:rPr>
              <w:rFonts w:ascii="Lato" w:hAnsi="Lato"/>
              <w:color w:val="20344B"/>
            </w:rPr>
            <w:fldChar w:fldCharType="end"/>
          </w:r>
          <w:r w:rsidR="00B43567">
            <w:rPr>
              <w:rFonts w:ascii="Lato" w:hAnsi="Lato"/>
              <w:color w:val="20344B"/>
            </w:rPr>
            <w:t>4</w:t>
          </w:r>
        </w:p>
        <w:p w14:paraId="418FD5C3" w14:textId="439EDE18" w:rsidR="00F614BC" w:rsidRPr="007B4CC9" w:rsidRDefault="00B24445">
          <w:pPr>
            <w:tabs>
              <w:tab w:val="right" w:pos="9360"/>
            </w:tabs>
            <w:spacing w:before="60" w:line="240" w:lineRule="auto"/>
            <w:ind w:left="720"/>
            <w:rPr>
              <w:rFonts w:ascii="Lato" w:hAnsi="Lato"/>
              <w:color w:val="20344B"/>
            </w:rPr>
          </w:pPr>
          <w:hyperlink w:anchor="_eqt301gr5zk4">
            <w:r w:rsidR="00854443" w:rsidRPr="007B4CC9">
              <w:rPr>
                <w:rFonts w:ascii="Lato" w:hAnsi="Lato"/>
                <w:color w:val="20344B"/>
              </w:rPr>
              <w:t>Sharing of Items Other Than Scholarly Articles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_eqt301gr5zk4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w:t>
          </w:r>
          <w:r w:rsidR="00854443" w:rsidRPr="007B4CC9">
            <w:rPr>
              <w:rFonts w:ascii="Lato" w:hAnsi="Lato"/>
              <w:color w:val="20344B"/>
            </w:rPr>
            <w:fldChar w:fldCharType="end"/>
          </w:r>
          <w:r w:rsidR="00CF1CAF">
            <w:rPr>
              <w:rFonts w:ascii="Lato" w:hAnsi="Lato"/>
              <w:color w:val="20344B"/>
            </w:rPr>
            <w:t>4</w:t>
          </w:r>
        </w:p>
        <w:p w14:paraId="46087195" w14:textId="77777777" w:rsidR="00F614BC" w:rsidRPr="007B4CC9" w:rsidRDefault="00B24445">
          <w:pPr>
            <w:tabs>
              <w:tab w:val="right" w:pos="9360"/>
            </w:tabs>
            <w:spacing w:before="60" w:line="240" w:lineRule="auto"/>
            <w:ind w:left="360"/>
            <w:rPr>
              <w:rFonts w:ascii="Lato" w:hAnsi="Lato"/>
              <w:color w:val="20344B"/>
            </w:rPr>
          </w:pPr>
          <w:hyperlink w:anchor="_1hvq1ldjhgsm">
            <w:r w:rsidR="00854443" w:rsidRPr="007B4CC9">
              <w:rPr>
                <w:rFonts w:ascii="Lato" w:hAnsi="Lato"/>
                <w:color w:val="20344B"/>
              </w:rPr>
              <w:t>Recommendations of the Scholarly Communication Taskforce</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_1hvq1ldjhgsm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15</w:t>
          </w:r>
          <w:r w:rsidR="00854443" w:rsidRPr="007B4CC9">
            <w:rPr>
              <w:rFonts w:ascii="Lato" w:hAnsi="Lato"/>
              <w:color w:val="20344B"/>
            </w:rPr>
            <w:fldChar w:fldCharType="end"/>
          </w:r>
        </w:p>
        <w:p w14:paraId="4CFA2F81" w14:textId="629ECF28" w:rsidR="00F614BC" w:rsidRPr="007B4CC9" w:rsidRDefault="00B24445">
          <w:pPr>
            <w:tabs>
              <w:tab w:val="right" w:pos="9360"/>
            </w:tabs>
            <w:spacing w:before="60" w:line="240" w:lineRule="auto"/>
            <w:ind w:left="360"/>
            <w:rPr>
              <w:rFonts w:ascii="Lato" w:hAnsi="Lato"/>
              <w:color w:val="20344B"/>
            </w:rPr>
          </w:pPr>
          <w:hyperlink w:anchor="_s4osgh65va2d">
            <w:r w:rsidR="00854443" w:rsidRPr="007B4CC9">
              <w:rPr>
                <w:rFonts w:ascii="Lato" w:hAnsi="Lato"/>
                <w:color w:val="20344B"/>
              </w:rPr>
              <w:t>Communication and Outreach Framework</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_s4osgh65va2d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w:t>
          </w:r>
          <w:r w:rsidR="00854443" w:rsidRPr="007B4CC9">
            <w:rPr>
              <w:rFonts w:ascii="Lato" w:hAnsi="Lato"/>
              <w:color w:val="20344B"/>
            </w:rPr>
            <w:fldChar w:fldCharType="end"/>
          </w:r>
          <w:r w:rsidR="00CF1CAF">
            <w:rPr>
              <w:rFonts w:ascii="Lato" w:hAnsi="Lato"/>
              <w:color w:val="20344B"/>
            </w:rPr>
            <w:t>6</w:t>
          </w:r>
        </w:p>
        <w:p w14:paraId="34FD418E" w14:textId="77777777" w:rsidR="00F614BC" w:rsidRPr="007B4CC9" w:rsidRDefault="00B24445">
          <w:pPr>
            <w:tabs>
              <w:tab w:val="right" w:pos="9360"/>
            </w:tabs>
            <w:spacing w:before="60" w:line="240" w:lineRule="auto"/>
            <w:ind w:left="360"/>
            <w:rPr>
              <w:rFonts w:ascii="Lato" w:hAnsi="Lato"/>
              <w:color w:val="20344B"/>
            </w:rPr>
          </w:pPr>
          <w:hyperlink w:anchor="_z1satk5ro33r">
            <w:r w:rsidR="00854443" w:rsidRPr="007B4CC9">
              <w:rPr>
                <w:rFonts w:ascii="Lato" w:hAnsi="Lato"/>
                <w:color w:val="20344B"/>
              </w:rPr>
              <w:t>Additional Information</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_z1satk5ro33r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17</w:t>
          </w:r>
          <w:r w:rsidR="00854443" w:rsidRPr="007B4CC9">
            <w:rPr>
              <w:rFonts w:ascii="Lato" w:hAnsi="Lato"/>
              <w:color w:val="20344B"/>
            </w:rPr>
            <w:fldChar w:fldCharType="end"/>
          </w:r>
        </w:p>
        <w:p w14:paraId="72C8A851" w14:textId="01927F65" w:rsidR="00F614BC" w:rsidRPr="0047330E" w:rsidRDefault="00B24445">
          <w:pPr>
            <w:tabs>
              <w:tab w:val="right" w:pos="9360"/>
            </w:tabs>
            <w:spacing w:before="60" w:after="80" w:line="240" w:lineRule="auto"/>
            <w:ind w:left="360"/>
            <w:rPr>
              <w:color w:val="20344B"/>
            </w:rPr>
          </w:pPr>
          <w:hyperlink w:anchor="_j396u3hnprzb">
            <w:r w:rsidR="00854443" w:rsidRPr="007B4CC9">
              <w:rPr>
                <w:rFonts w:ascii="Lato" w:hAnsi="Lato"/>
                <w:color w:val="20344B"/>
              </w:rPr>
              <w:t>Appendix A: List of U.S. institutions with open access policies</w:t>
            </w:r>
          </w:hyperlink>
          <w:r w:rsidR="00854443" w:rsidRPr="007B4CC9">
            <w:rPr>
              <w:rFonts w:ascii="Lato" w:hAnsi="Lato"/>
              <w:color w:val="20344B"/>
            </w:rPr>
            <w:tab/>
          </w:r>
          <w:r w:rsidR="00854443" w:rsidRPr="007B4CC9">
            <w:rPr>
              <w:rFonts w:ascii="Lato" w:hAnsi="Lato"/>
              <w:color w:val="20344B"/>
            </w:rPr>
            <w:fldChar w:fldCharType="begin"/>
          </w:r>
          <w:r w:rsidR="00854443" w:rsidRPr="007B4CC9">
            <w:rPr>
              <w:rFonts w:ascii="Lato" w:hAnsi="Lato"/>
              <w:color w:val="20344B"/>
            </w:rPr>
            <w:instrText xml:space="preserve"> PAGEREF _j396u3hnprzb \h </w:instrText>
          </w:r>
          <w:r w:rsidR="00854443" w:rsidRPr="007B4CC9">
            <w:rPr>
              <w:rFonts w:ascii="Lato" w:hAnsi="Lato"/>
              <w:color w:val="20344B"/>
            </w:rPr>
          </w:r>
          <w:r w:rsidR="00854443" w:rsidRPr="007B4CC9">
            <w:rPr>
              <w:rFonts w:ascii="Lato" w:hAnsi="Lato"/>
              <w:color w:val="20344B"/>
            </w:rPr>
            <w:fldChar w:fldCharType="separate"/>
          </w:r>
          <w:r w:rsidR="00854443" w:rsidRPr="007B4CC9">
            <w:rPr>
              <w:rFonts w:ascii="Lato" w:hAnsi="Lato"/>
              <w:color w:val="20344B"/>
            </w:rPr>
            <w:t>18</w:t>
          </w:r>
          <w:r w:rsidR="00854443" w:rsidRPr="007B4CC9">
            <w:rPr>
              <w:rFonts w:ascii="Lato" w:hAnsi="Lato"/>
              <w:color w:val="20344B"/>
            </w:rPr>
            <w:fldChar w:fldCharType="end"/>
          </w:r>
          <w:r w:rsidR="00854443" w:rsidRPr="0047330E">
            <w:rPr>
              <w:color w:val="20344B"/>
            </w:rPr>
            <w:fldChar w:fldCharType="end"/>
          </w:r>
        </w:p>
      </w:sdtContent>
    </w:sdt>
    <w:p w14:paraId="16EE336C" w14:textId="77777777" w:rsidR="00F614BC" w:rsidRDefault="00F614BC"/>
    <w:p w14:paraId="4B3783C9" w14:textId="77777777" w:rsidR="00F614BC" w:rsidRDefault="00F614BC"/>
    <w:p w14:paraId="2BC78FC9" w14:textId="77777777" w:rsidR="00F614BC" w:rsidRDefault="00F614BC"/>
    <w:p w14:paraId="44A0DFDA" w14:textId="77777777" w:rsidR="004C2C4B" w:rsidRDefault="00854443">
      <w:pPr>
        <w:rPr>
          <w:rFonts w:ascii="Lato" w:hAnsi="Lato"/>
          <w:color w:val="20344B"/>
          <w:sz w:val="20"/>
          <w:szCs w:val="20"/>
        </w:rPr>
      </w:pPr>
      <w:r w:rsidRPr="00EA06A2">
        <w:rPr>
          <w:rFonts w:ascii="Lato" w:hAnsi="Lato"/>
          <w:b/>
          <w:color w:val="20344B"/>
        </w:rPr>
        <w:t>Note to Readers:</w:t>
      </w:r>
      <w:r w:rsidRPr="00EA06A2">
        <w:rPr>
          <w:rFonts w:ascii="Lato" w:hAnsi="Lato"/>
          <w:color w:val="20344B"/>
          <w:sz w:val="20"/>
          <w:szCs w:val="20"/>
        </w:rPr>
        <w:t xml:space="preserve"> References in this report have been provided as links to the cited material followed by superscript numerals. Readers can find the full, corresponding reference list/bibliography, along with other resources, on the </w:t>
      </w:r>
      <w:hyperlink r:id="rId8">
        <w:r w:rsidRPr="00EA06A2">
          <w:rPr>
            <w:rFonts w:ascii="Lato" w:hAnsi="Lato"/>
            <w:color w:val="1155CC"/>
            <w:sz w:val="20"/>
            <w:szCs w:val="20"/>
            <w:u w:val="single"/>
          </w:rPr>
          <w:t>Taskforce website</w:t>
        </w:r>
      </w:hyperlink>
      <w:r w:rsidRPr="00EA06A2">
        <w:rPr>
          <w:rFonts w:ascii="Lato" w:hAnsi="Lato"/>
          <w:sz w:val="20"/>
          <w:szCs w:val="20"/>
        </w:rPr>
        <w:t xml:space="preserve"> </w:t>
      </w:r>
      <w:r w:rsidRPr="00EA06A2">
        <w:rPr>
          <w:rFonts w:ascii="Lato" w:hAnsi="Lato"/>
          <w:color w:val="20344B"/>
          <w:sz w:val="20"/>
          <w:szCs w:val="20"/>
        </w:rPr>
        <w:t xml:space="preserve">at: </w:t>
      </w:r>
      <w:hyperlink r:id="rId9" w:history="1">
        <w:r w:rsidR="000073CA" w:rsidRPr="008D7C24">
          <w:rPr>
            <w:rStyle w:val="Hyperlink"/>
            <w:rFonts w:ascii="Lato" w:hAnsi="Lato"/>
            <w:sz w:val="20"/>
            <w:szCs w:val="20"/>
          </w:rPr>
          <w:t>https://bit.ly/SCTFReport</w:t>
        </w:r>
      </w:hyperlink>
      <w:r w:rsidRPr="00EA06A2">
        <w:rPr>
          <w:rFonts w:ascii="Lato" w:hAnsi="Lato"/>
          <w:color w:val="20344B"/>
          <w:sz w:val="20"/>
          <w:szCs w:val="20"/>
        </w:rPr>
        <w:t>.</w:t>
      </w:r>
    </w:p>
    <w:p w14:paraId="3D9782B8" w14:textId="7F6E46D9" w:rsidR="00F614BC" w:rsidRPr="004C2C4B" w:rsidRDefault="000073CA">
      <w:pPr>
        <w:rPr>
          <w:rFonts w:ascii="Lato" w:hAnsi="Lato"/>
          <w:color w:val="20344B"/>
          <w:sz w:val="20"/>
          <w:szCs w:val="20"/>
        </w:rPr>
      </w:pPr>
      <w:r>
        <w:rPr>
          <w:rFonts w:ascii="Lato" w:hAnsi="Lato"/>
          <w:color w:val="20344B"/>
          <w:sz w:val="20"/>
          <w:szCs w:val="20"/>
        </w:rPr>
        <w:t>Unless otherwise specified,</w:t>
      </w:r>
      <w:r w:rsidRPr="00EA06A2">
        <w:rPr>
          <w:rFonts w:ascii="Lato" w:hAnsi="Lato"/>
          <w:color w:val="20344B"/>
          <w:sz w:val="20"/>
          <w:szCs w:val="20"/>
        </w:rPr>
        <w:t xml:space="preserve"> this report </w:t>
      </w:r>
      <w:r>
        <w:rPr>
          <w:rFonts w:ascii="Lato" w:hAnsi="Lato"/>
          <w:color w:val="20344B"/>
          <w:sz w:val="20"/>
          <w:szCs w:val="20"/>
        </w:rPr>
        <w:t xml:space="preserve">is licensed </w:t>
      </w:r>
      <w:hyperlink r:id="rId10" w:history="1">
        <w:r w:rsidRPr="000073CA">
          <w:rPr>
            <w:rStyle w:val="Hyperlink"/>
            <w:rFonts w:ascii="Lato" w:hAnsi="Lato"/>
            <w:sz w:val="20"/>
            <w:szCs w:val="20"/>
          </w:rPr>
          <w:t>CC BY 4.0</w:t>
        </w:r>
      </w:hyperlink>
      <w:r>
        <w:rPr>
          <w:rFonts w:ascii="Lato" w:hAnsi="Lato"/>
          <w:color w:val="20344B"/>
          <w:sz w:val="20"/>
          <w:szCs w:val="20"/>
        </w:rPr>
        <w:t xml:space="preserve"> (Attribution 4.0 International. </w:t>
      </w:r>
      <w:r>
        <w:rPr>
          <w:rFonts w:ascii="Lato" w:hAnsi="Lato"/>
          <w:noProof/>
          <w:color w:val="20344B"/>
          <w:sz w:val="20"/>
          <w:szCs w:val="20"/>
        </w:rPr>
        <w:drawing>
          <wp:inline distT="0" distB="0" distL="0" distR="0" wp14:anchorId="1FA27933" wp14:editId="49A089E5">
            <wp:extent cx="572455" cy="199975"/>
            <wp:effectExtent l="0" t="0" r="0" b="3810"/>
            <wp:docPr id="10" name="Picture 10" title="CC B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ry/8k6p4_hn3zq6yprlg_x4mpvx3s28tr/T/com.microsoft.Word/Content.MSO/5E84ACE4.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620439" cy="216737"/>
                    </a:xfrm>
                    <a:prstGeom prst="rect">
                      <a:avLst/>
                    </a:prstGeom>
                    <a:noFill/>
                    <a:ln>
                      <a:noFill/>
                    </a:ln>
                  </pic:spPr>
                </pic:pic>
              </a:graphicData>
            </a:graphic>
          </wp:inline>
        </w:drawing>
      </w:r>
    </w:p>
    <w:p w14:paraId="787E9AB1" w14:textId="77777777" w:rsidR="00F614BC" w:rsidRDefault="00854443">
      <w:r>
        <w:br w:type="page"/>
      </w:r>
    </w:p>
    <w:p w14:paraId="2C016DF1" w14:textId="042004ED" w:rsidR="00F614BC" w:rsidRPr="00E83CFF" w:rsidRDefault="00B43946">
      <w:pPr>
        <w:pStyle w:val="Heading1"/>
        <w:rPr>
          <w:rFonts w:ascii="League Spartan" w:hAnsi="League Spartan"/>
          <w:b/>
          <w:bCs/>
          <w:color w:val="20344B"/>
          <w:spacing w:val="30"/>
          <w:sz w:val="44"/>
          <w:szCs w:val="44"/>
        </w:rPr>
      </w:pPr>
      <w:bookmarkStart w:id="1" w:name="_cslejk23uoqx" w:colFirst="0" w:colLast="0"/>
      <w:bookmarkEnd w:id="1"/>
      <w:r w:rsidRPr="00E83CFF">
        <w:rPr>
          <w:rFonts w:ascii="League Spartan" w:hAnsi="League Spartan"/>
          <w:b/>
          <w:bCs/>
          <w:color w:val="20344B"/>
          <w:spacing w:val="30"/>
          <w:sz w:val="44"/>
          <w:szCs w:val="44"/>
        </w:rPr>
        <w:lastRenderedPageBreak/>
        <w:t>EXECUTIVE SUMMARY</w:t>
      </w:r>
    </w:p>
    <w:p w14:paraId="4DE370EB" w14:textId="77777777" w:rsidR="00F614BC" w:rsidRPr="00BD471C" w:rsidRDefault="00854443">
      <w:pPr>
        <w:rPr>
          <w:rFonts w:ascii="Lato" w:hAnsi="Lato"/>
          <w:color w:val="20344B"/>
          <w:sz w:val="20"/>
          <w:szCs w:val="20"/>
        </w:rPr>
      </w:pPr>
      <w:r w:rsidRPr="00BD471C">
        <w:rPr>
          <w:rFonts w:ascii="Lato" w:hAnsi="Lato"/>
          <w:color w:val="20344B"/>
          <w:sz w:val="20"/>
          <w:szCs w:val="20"/>
        </w:rPr>
        <w:t>The Scholarly Communication Taskforce, a sub-group of the University Libraries Committee, met regularly from September 2019 through December 2020. The taskforce was charged with:</w:t>
      </w:r>
    </w:p>
    <w:p w14:paraId="296FD452" w14:textId="77777777" w:rsidR="00F614BC" w:rsidRPr="00BD471C" w:rsidRDefault="00F614BC">
      <w:pPr>
        <w:rPr>
          <w:rFonts w:ascii="Lato" w:hAnsi="Lato"/>
          <w:color w:val="20344B"/>
          <w:sz w:val="20"/>
          <w:szCs w:val="20"/>
        </w:rPr>
      </w:pPr>
    </w:p>
    <w:p w14:paraId="42310550" w14:textId="77777777" w:rsidR="00F614BC" w:rsidRPr="00BD471C" w:rsidRDefault="00854443">
      <w:pPr>
        <w:numPr>
          <w:ilvl w:val="0"/>
          <w:numId w:val="8"/>
        </w:numPr>
        <w:spacing w:after="200"/>
        <w:rPr>
          <w:rFonts w:ascii="Lato" w:hAnsi="Lato"/>
          <w:color w:val="20344B"/>
          <w:sz w:val="20"/>
          <w:szCs w:val="20"/>
        </w:rPr>
      </w:pPr>
      <w:r w:rsidRPr="00BD471C">
        <w:rPr>
          <w:rFonts w:ascii="Lato" w:hAnsi="Lato"/>
          <w:color w:val="20344B"/>
          <w:sz w:val="20"/>
          <w:szCs w:val="20"/>
        </w:rPr>
        <w:t>Conducting a review of the scholarly communication environment, identifying and summarizing the relevant literature.</w:t>
      </w:r>
    </w:p>
    <w:p w14:paraId="6DA59864" w14:textId="77777777" w:rsidR="00F614BC" w:rsidRPr="00BD471C" w:rsidRDefault="00854443">
      <w:pPr>
        <w:numPr>
          <w:ilvl w:val="0"/>
          <w:numId w:val="8"/>
        </w:numPr>
        <w:spacing w:after="200"/>
        <w:rPr>
          <w:rFonts w:ascii="Lato" w:hAnsi="Lato"/>
          <w:color w:val="20344B"/>
          <w:sz w:val="20"/>
          <w:szCs w:val="20"/>
        </w:rPr>
      </w:pPr>
      <w:r w:rsidRPr="00BD471C">
        <w:rPr>
          <w:rFonts w:ascii="Lato" w:hAnsi="Lato"/>
          <w:color w:val="20344B"/>
          <w:sz w:val="20"/>
          <w:szCs w:val="20"/>
        </w:rPr>
        <w:t>Identifying actions and best practices from peer institutions that OU faculty members and graduate students can take — as authors, readers, reviewers, editors, society associates, and advisory board members — to have the most positive impact upon the creation of an open and sustainable system of scholarly communication at OU.</w:t>
      </w:r>
    </w:p>
    <w:p w14:paraId="04D4155D" w14:textId="77777777" w:rsidR="00F614BC" w:rsidRPr="00BD471C" w:rsidRDefault="00854443">
      <w:pPr>
        <w:numPr>
          <w:ilvl w:val="0"/>
          <w:numId w:val="8"/>
        </w:numPr>
        <w:spacing w:after="200"/>
        <w:rPr>
          <w:rFonts w:ascii="Lato" w:hAnsi="Lato"/>
          <w:color w:val="20344B"/>
          <w:sz w:val="20"/>
          <w:szCs w:val="20"/>
        </w:rPr>
      </w:pPr>
      <w:r w:rsidRPr="00BD471C">
        <w:rPr>
          <w:rFonts w:ascii="Lato" w:hAnsi="Lato"/>
          <w:color w:val="20344B"/>
          <w:sz w:val="20"/>
          <w:szCs w:val="20"/>
        </w:rPr>
        <w:t>Considering and recommending how open access publication should be regarded in tenure, promotion, merit and post-tenure review for those who are dependent upon appropriate avenues of scholarly publication for professional advancement.</w:t>
      </w:r>
    </w:p>
    <w:p w14:paraId="57444CF4" w14:textId="77777777" w:rsidR="00F614BC" w:rsidRPr="00BD471C" w:rsidRDefault="00854443">
      <w:pPr>
        <w:numPr>
          <w:ilvl w:val="0"/>
          <w:numId w:val="8"/>
        </w:numPr>
        <w:spacing w:after="200"/>
        <w:rPr>
          <w:rFonts w:ascii="Lato" w:hAnsi="Lato"/>
          <w:color w:val="20344B"/>
          <w:sz w:val="20"/>
          <w:szCs w:val="20"/>
        </w:rPr>
      </w:pPr>
      <w:r w:rsidRPr="00BD471C">
        <w:rPr>
          <w:rFonts w:ascii="Lato" w:hAnsi="Lato"/>
          <w:color w:val="20344B"/>
          <w:sz w:val="20"/>
          <w:szCs w:val="20"/>
        </w:rPr>
        <w:t>Identifying relevant practices, initiatives, and/or policies that can most effectively contribute to increased awareness of scholarly communication issues on campus.</w:t>
      </w:r>
    </w:p>
    <w:p w14:paraId="72490102" w14:textId="77777777" w:rsidR="00F614BC" w:rsidRPr="00BD471C" w:rsidRDefault="00854443">
      <w:pPr>
        <w:numPr>
          <w:ilvl w:val="0"/>
          <w:numId w:val="8"/>
        </w:numPr>
        <w:spacing w:before="200" w:after="200"/>
        <w:rPr>
          <w:rFonts w:ascii="Lato" w:hAnsi="Lato"/>
          <w:color w:val="20344B"/>
          <w:sz w:val="20"/>
          <w:szCs w:val="20"/>
        </w:rPr>
      </w:pPr>
      <w:r w:rsidRPr="00BD471C">
        <w:rPr>
          <w:rFonts w:ascii="Lato" w:hAnsi="Lato"/>
          <w:color w:val="20344B"/>
          <w:sz w:val="20"/>
          <w:szCs w:val="20"/>
        </w:rPr>
        <w:t>Communicating these findings to University of Oklahoma faculty and graduate students along with recommendations for pursuing opportunities for future developments, while simultaneously incorporating mechanisms for effective feedback.</w:t>
      </w:r>
    </w:p>
    <w:p w14:paraId="75B897CB" w14:textId="2BE7F952" w:rsidR="00F614BC" w:rsidRPr="00E83CFF" w:rsidRDefault="00E83CFF">
      <w:pPr>
        <w:pStyle w:val="Heading2"/>
        <w:spacing w:before="200"/>
        <w:rPr>
          <w:rFonts w:ascii="League Spartan" w:hAnsi="League Spartan"/>
          <w:b/>
          <w:bCs/>
          <w:color w:val="20344B"/>
          <w:spacing w:val="30"/>
        </w:rPr>
      </w:pPr>
      <w:bookmarkStart w:id="2" w:name="_slskzsvgktx0" w:colFirst="0" w:colLast="0"/>
      <w:bookmarkEnd w:id="2"/>
      <w:r w:rsidRPr="00E83CFF">
        <w:rPr>
          <w:rFonts w:ascii="League Spartan" w:hAnsi="League Spartan"/>
          <w:b/>
          <w:bCs/>
          <w:color w:val="20344B"/>
          <w:spacing w:val="30"/>
        </w:rPr>
        <w:t>CHALLENGES</w:t>
      </w:r>
    </w:p>
    <w:p w14:paraId="45A44081" w14:textId="77777777" w:rsidR="00F614BC" w:rsidRPr="00E83CFF" w:rsidRDefault="00854443">
      <w:pPr>
        <w:spacing w:before="200"/>
        <w:rPr>
          <w:rFonts w:ascii="Lato" w:hAnsi="Lato"/>
          <w:color w:val="20344B"/>
          <w:sz w:val="20"/>
          <w:szCs w:val="20"/>
        </w:rPr>
      </w:pPr>
      <w:r w:rsidRPr="00E83CFF">
        <w:rPr>
          <w:rFonts w:ascii="Lato" w:hAnsi="Lato"/>
          <w:color w:val="20344B"/>
          <w:sz w:val="20"/>
          <w:szCs w:val="20"/>
        </w:rPr>
        <w:t>Full findings are provided in the following report. In brief, challenges to creating an open and sustainable system of scholarly communication at the University of Oklahoma at present are:</w:t>
      </w:r>
    </w:p>
    <w:p w14:paraId="494B7525" w14:textId="77777777" w:rsidR="00F614BC" w:rsidRPr="00E83CFF" w:rsidRDefault="00F614BC">
      <w:pPr>
        <w:rPr>
          <w:rFonts w:ascii="Lato" w:hAnsi="Lato"/>
          <w:color w:val="20344B"/>
          <w:sz w:val="20"/>
          <w:szCs w:val="20"/>
        </w:rPr>
      </w:pPr>
    </w:p>
    <w:p w14:paraId="6ED9F5F0" w14:textId="77777777" w:rsidR="00F614BC" w:rsidRPr="00E83CFF" w:rsidRDefault="00854443">
      <w:pPr>
        <w:numPr>
          <w:ilvl w:val="0"/>
          <w:numId w:val="5"/>
        </w:numPr>
        <w:spacing w:after="200"/>
        <w:rPr>
          <w:rFonts w:ascii="Lato" w:hAnsi="Lato"/>
          <w:color w:val="20344B"/>
          <w:sz w:val="20"/>
          <w:szCs w:val="20"/>
        </w:rPr>
      </w:pPr>
      <w:r w:rsidRPr="00E83CFF">
        <w:rPr>
          <w:rFonts w:ascii="Lato" w:hAnsi="Lato"/>
          <w:color w:val="20344B"/>
          <w:sz w:val="20"/>
          <w:szCs w:val="20"/>
        </w:rPr>
        <w:t>Lack of institutional commitment to making scholarly outputs – including data and software – publicly available for reading, reuse, or replication</w:t>
      </w:r>
    </w:p>
    <w:p w14:paraId="3ABCEECD" w14:textId="77777777" w:rsidR="00F614BC" w:rsidRPr="00E83CFF" w:rsidRDefault="00854443">
      <w:pPr>
        <w:numPr>
          <w:ilvl w:val="0"/>
          <w:numId w:val="5"/>
        </w:numPr>
        <w:spacing w:after="200"/>
        <w:rPr>
          <w:rFonts w:ascii="Lato" w:hAnsi="Lato"/>
          <w:color w:val="20344B"/>
          <w:sz w:val="20"/>
          <w:szCs w:val="20"/>
        </w:rPr>
      </w:pPr>
      <w:r w:rsidRPr="00E83CFF">
        <w:rPr>
          <w:rFonts w:ascii="Lato" w:hAnsi="Lato"/>
          <w:color w:val="20344B"/>
          <w:sz w:val="20"/>
          <w:szCs w:val="20"/>
        </w:rPr>
        <w:t>Lack of a university-wide open access policy</w:t>
      </w:r>
    </w:p>
    <w:p w14:paraId="7D21F6A0" w14:textId="77777777" w:rsidR="00F614BC" w:rsidRPr="00E83CFF" w:rsidRDefault="00854443">
      <w:pPr>
        <w:numPr>
          <w:ilvl w:val="0"/>
          <w:numId w:val="5"/>
        </w:numPr>
        <w:spacing w:after="200"/>
        <w:rPr>
          <w:rFonts w:ascii="Lato" w:hAnsi="Lato"/>
          <w:color w:val="20344B"/>
          <w:sz w:val="20"/>
          <w:szCs w:val="20"/>
        </w:rPr>
      </w:pPr>
      <w:r w:rsidRPr="00E83CFF">
        <w:rPr>
          <w:rFonts w:ascii="Lato" w:hAnsi="Lato"/>
          <w:color w:val="20344B"/>
          <w:sz w:val="20"/>
          <w:szCs w:val="20"/>
        </w:rPr>
        <w:t>Spiraling costs of academic journal subscriptions for libraries</w:t>
      </w:r>
    </w:p>
    <w:p w14:paraId="1AFF5542" w14:textId="77777777" w:rsidR="00F614BC" w:rsidRPr="00E83CFF" w:rsidRDefault="00854443">
      <w:pPr>
        <w:numPr>
          <w:ilvl w:val="0"/>
          <w:numId w:val="5"/>
        </w:numPr>
        <w:spacing w:after="200"/>
        <w:rPr>
          <w:rFonts w:ascii="Lato" w:hAnsi="Lato"/>
          <w:color w:val="20344B"/>
          <w:sz w:val="20"/>
          <w:szCs w:val="20"/>
        </w:rPr>
      </w:pPr>
      <w:r w:rsidRPr="00E83CFF">
        <w:rPr>
          <w:rFonts w:ascii="Lato" w:hAnsi="Lato"/>
          <w:color w:val="20344B"/>
          <w:sz w:val="20"/>
          <w:szCs w:val="20"/>
        </w:rPr>
        <w:t>Authors’ transfer of copyright/ownership of content published in journals</w:t>
      </w:r>
    </w:p>
    <w:p w14:paraId="507685A4" w14:textId="77777777" w:rsidR="00F614BC" w:rsidRPr="00E83CFF" w:rsidRDefault="00854443">
      <w:pPr>
        <w:numPr>
          <w:ilvl w:val="0"/>
          <w:numId w:val="5"/>
        </w:numPr>
        <w:spacing w:after="200"/>
        <w:rPr>
          <w:rFonts w:ascii="Lato" w:hAnsi="Lato"/>
          <w:color w:val="20344B"/>
          <w:sz w:val="20"/>
          <w:szCs w:val="20"/>
        </w:rPr>
      </w:pPr>
      <w:r w:rsidRPr="00E83CFF">
        <w:rPr>
          <w:rFonts w:ascii="Lato" w:hAnsi="Lato"/>
          <w:color w:val="20344B"/>
          <w:sz w:val="20"/>
          <w:szCs w:val="20"/>
        </w:rPr>
        <w:t>Over-emphasis on venue, specifically high impact factor journals, as a proxy for quality</w:t>
      </w:r>
    </w:p>
    <w:p w14:paraId="6DF1B50C" w14:textId="77777777" w:rsidR="00F614BC" w:rsidRPr="00E83CFF" w:rsidRDefault="00854443">
      <w:pPr>
        <w:numPr>
          <w:ilvl w:val="0"/>
          <w:numId w:val="5"/>
        </w:numPr>
        <w:spacing w:after="200"/>
        <w:rPr>
          <w:rFonts w:ascii="Lato" w:hAnsi="Lato"/>
          <w:color w:val="20344B"/>
          <w:sz w:val="20"/>
          <w:szCs w:val="20"/>
        </w:rPr>
      </w:pPr>
      <w:r w:rsidRPr="00E83CFF">
        <w:rPr>
          <w:rFonts w:ascii="Lato" w:hAnsi="Lato"/>
          <w:color w:val="20344B"/>
          <w:sz w:val="20"/>
          <w:szCs w:val="20"/>
        </w:rPr>
        <w:t>Tenure and promotion evaluation practices</w:t>
      </w:r>
    </w:p>
    <w:p w14:paraId="6CBB90B5" w14:textId="77777777" w:rsidR="00F614BC" w:rsidRPr="00E83CFF" w:rsidRDefault="00854443" w:rsidP="00BF6045">
      <w:pPr>
        <w:numPr>
          <w:ilvl w:val="0"/>
          <w:numId w:val="5"/>
        </w:numPr>
        <w:spacing w:after="200"/>
        <w:rPr>
          <w:rFonts w:ascii="Lato" w:hAnsi="Lato"/>
          <w:color w:val="20344B"/>
          <w:sz w:val="20"/>
          <w:szCs w:val="20"/>
        </w:rPr>
      </w:pPr>
      <w:r w:rsidRPr="00E83CFF">
        <w:rPr>
          <w:rFonts w:ascii="Lato" w:hAnsi="Lato"/>
          <w:color w:val="20344B"/>
          <w:sz w:val="20"/>
          <w:szCs w:val="20"/>
        </w:rPr>
        <w:t>Insufficient institutional support for scholarly, particularly university, presses</w:t>
      </w:r>
    </w:p>
    <w:p w14:paraId="72AB59A0" w14:textId="31DD653F" w:rsidR="00F614BC" w:rsidRPr="00E83CFF" w:rsidRDefault="00E83CFF">
      <w:pPr>
        <w:pStyle w:val="Heading2"/>
        <w:rPr>
          <w:rFonts w:ascii="League Spartan" w:hAnsi="League Spartan"/>
          <w:b/>
          <w:bCs/>
          <w:color w:val="20344B"/>
          <w:spacing w:val="30"/>
        </w:rPr>
      </w:pPr>
      <w:bookmarkStart w:id="3" w:name="_6owigfeylp38" w:colFirst="0" w:colLast="0"/>
      <w:bookmarkEnd w:id="3"/>
      <w:r w:rsidRPr="00E83CFF">
        <w:rPr>
          <w:rFonts w:ascii="League Spartan" w:hAnsi="League Spartan"/>
          <w:b/>
          <w:bCs/>
          <w:color w:val="20344B"/>
          <w:spacing w:val="30"/>
        </w:rPr>
        <w:t>RECOMMENDATIONS</w:t>
      </w:r>
    </w:p>
    <w:p w14:paraId="329A424A" w14:textId="77777777" w:rsidR="00F614BC" w:rsidRPr="003760DF" w:rsidRDefault="00854443">
      <w:pPr>
        <w:rPr>
          <w:rFonts w:ascii="Lato" w:hAnsi="Lato"/>
          <w:color w:val="20344B"/>
          <w:sz w:val="20"/>
          <w:szCs w:val="20"/>
        </w:rPr>
      </w:pPr>
      <w:r w:rsidRPr="003760DF">
        <w:rPr>
          <w:rFonts w:ascii="Lato" w:hAnsi="Lato"/>
          <w:color w:val="20344B"/>
          <w:sz w:val="20"/>
          <w:szCs w:val="20"/>
        </w:rPr>
        <w:t xml:space="preserve">After reviewing, considering, and discussing the relevant literature and associated best practices the Taskforce recommends the following actions: </w:t>
      </w:r>
    </w:p>
    <w:p w14:paraId="62EDF1C3" w14:textId="77777777" w:rsidR="00F614BC" w:rsidRPr="003760DF" w:rsidRDefault="00854443">
      <w:pPr>
        <w:numPr>
          <w:ilvl w:val="0"/>
          <w:numId w:val="9"/>
        </w:numPr>
        <w:spacing w:after="200"/>
        <w:rPr>
          <w:rFonts w:ascii="Lato" w:hAnsi="Lato"/>
          <w:sz w:val="20"/>
          <w:szCs w:val="20"/>
        </w:rPr>
      </w:pPr>
      <w:r w:rsidRPr="003760DF">
        <w:rPr>
          <w:rFonts w:ascii="Lato" w:hAnsi="Lato"/>
          <w:color w:val="20344B"/>
          <w:sz w:val="20"/>
          <w:szCs w:val="20"/>
        </w:rPr>
        <w:lastRenderedPageBreak/>
        <w:t xml:space="preserve">OU Faculty Senate begins the preparatory steps necessary to pass a university Open Access Policy based on the </w:t>
      </w:r>
      <w:hyperlink r:id="rId12">
        <w:r w:rsidRPr="003760DF">
          <w:rPr>
            <w:rFonts w:ascii="Lato" w:hAnsi="Lato"/>
            <w:color w:val="1155CC"/>
            <w:sz w:val="20"/>
            <w:szCs w:val="20"/>
            <w:u w:val="single"/>
          </w:rPr>
          <w:t>Harvard model policy</w:t>
        </w:r>
      </w:hyperlink>
      <w:r w:rsidRPr="003760DF">
        <w:rPr>
          <w:rFonts w:ascii="Lato" w:hAnsi="Lato"/>
          <w:color w:val="20344B"/>
          <w:sz w:val="20"/>
          <w:szCs w:val="20"/>
          <w:vertAlign w:val="superscript"/>
        </w:rPr>
        <w:t>1</w:t>
      </w:r>
      <w:r w:rsidRPr="003760DF">
        <w:rPr>
          <w:rFonts w:ascii="Lato" w:hAnsi="Lato"/>
          <w:sz w:val="20"/>
          <w:szCs w:val="20"/>
          <w:vertAlign w:val="superscript"/>
        </w:rPr>
        <w:t xml:space="preserve"> </w:t>
      </w:r>
      <w:r w:rsidRPr="003760DF">
        <w:rPr>
          <w:rFonts w:ascii="Lato" w:hAnsi="Lato"/>
          <w:color w:val="20344B"/>
          <w:sz w:val="20"/>
          <w:szCs w:val="20"/>
        </w:rPr>
        <w:t>language.</w:t>
      </w:r>
    </w:p>
    <w:p w14:paraId="5D60C0B9" w14:textId="77777777" w:rsidR="00F614BC" w:rsidRPr="003760DF" w:rsidRDefault="00854443">
      <w:pPr>
        <w:numPr>
          <w:ilvl w:val="0"/>
          <w:numId w:val="9"/>
        </w:numPr>
        <w:spacing w:after="200"/>
        <w:rPr>
          <w:rFonts w:ascii="Lato" w:hAnsi="Lato"/>
          <w:color w:val="20344B"/>
          <w:sz w:val="20"/>
          <w:szCs w:val="20"/>
        </w:rPr>
      </w:pPr>
      <w:r w:rsidRPr="003760DF">
        <w:rPr>
          <w:rFonts w:ascii="Lato" w:hAnsi="Lato"/>
          <w:color w:val="20344B"/>
          <w:sz w:val="20"/>
          <w:szCs w:val="20"/>
        </w:rPr>
        <w:t xml:space="preserve">Scholars at OU seek to </w:t>
      </w:r>
      <w:hyperlink r:id="rId13">
        <w:r w:rsidRPr="003760DF">
          <w:rPr>
            <w:rFonts w:ascii="Lato" w:hAnsi="Lato"/>
            <w:color w:val="1155CC"/>
            <w:sz w:val="20"/>
            <w:szCs w:val="20"/>
            <w:u w:val="single"/>
          </w:rPr>
          <w:t xml:space="preserve">retain their rights as </w:t>
        </w:r>
      </w:hyperlink>
      <w:hyperlink r:id="rId14">
        <w:r w:rsidRPr="003760DF">
          <w:rPr>
            <w:rFonts w:ascii="Lato" w:hAnsi="Lato"/>
            <w:color w:val="1155CC"/>
            <w:sz w:val="20"/>
            <w:szCs w:val="20"/>
            <w:u w:val="single"/>
          </w:rPr>
          <w:t>authors</w:t>
        </w:r>
      </w:hyperlink>
      <w:r w:rsidRPr="003760DF">
        <w:rPr>
          <w:rFonts w:ascii="Lato" w:hAnsi="Lato"/>
          <w:color w:val="20344B"/>
          <w:sz w:val="20"/>
          <w:szCs w:val="20"/>
          <w:vertAlign w:val="superscript"/>
        </w:rPr>
        <w:t>2</w:t>
      </w:r>
      <w:r w:rsidRPr="003760DF">
        <w:rPr>
          <w:rFonts w:ascii="Lato" w:hAnsi="Lato"/>
          <w:sz w:val="20"/>
          <w:szCs w:val="20"/>
        </w:rPr>
        <w:t xml:space="preserve"> </w:t>
      </w:r>
      <w:r w:rsidRPr="003760DF">
        <w:rPr>
          <w:rFonts w:ascii="Lato" w:hAnsi="Lato"/>
          <w:color w:val="20344B"/>
          <w:sz w:val="20"/>
          <w:szCs w:val="20"/>
        </w:rPr>
        <w:t xml:space="preserve">when possible. Strategies to address this can be provided through websites, workshops and presentations, videos, individual consultations with liaison librarians, and other means. </w:t>
      </w:r>
    </w:p>
    <w:p w14:paraId="63CE4ED9" w14:textId="77777777" w:rsidR="00F614BC" w:rsidRPr="003760DF" w:rsidRDefault="00854443">
      <w:pPr>
        <w:numPr>
          <w:ilvl w:val="0"/>
          <w:numId w:val="9"/>
        </w:numPr>
        <w:spacing w:after="200"/>
        <w:rPr>
          <w:rFonts w:ascii="Lato" w:hAnsi="Lato"/>
          <w:sz w:val="20"/>
          <w:szCs w:val="20"/>
        </w:rPr>
      </w:pPr>
      <w:r w:rsidRPr="003760DF">
        <w:rPr>
          <w:rFonts w:ascii="Lato" w:hAnsi="Lato"/>
          <w:color w:val="20344B"/>
          <w:sz w:val="20"/>
          <w:szCs w:val="20"/>
        </w:rPr>
        <w:t xml:space="preserve">The University, through the University Libraries, promotes and supports mediated deposit of scholarly and research materials into OU’s institutional repository, </w:t>
      </w:r>
      <w:hyperlink r:id="rId15">
        <w:r w:rsidRPr="003760DF">
          <w:rPr>
            <w:rFonts w:ascii="Lato" w:hAnsi="Lato"/>
            <w:color w:val="1155CC"/>
            <w:sz w:val="20"/>
            <w:szCs w:val="20"/>
            <w:u w:val="single"/>
          </w:rPr>
          <w:t>SHAREOK</w:t>
        </w:r>
      </w:hyperlink>
      <w:r w:rsidRPr="003760DF">
        <w:rPr>
          <w:rFonts w:ascii="Lato" w:hAnsi="Lato"/>
          <w:color w:val="20344B"/>
          <w:sz w:val="20"/>
          <w:szCs w:val="20"/>
          <w:vertAlign w:val="superscript"/>
        </w:rPr>
        <w:t>3</w:t>
      </w:r>
      <w:r w:rsidRPr="003760DF">
        <w:rPr>
          <w:rFonts w:ascii="Lato" w:hAnsi="Lato"/>
          <w:color w:val="20344B"/>
          <w:sz w:val="20"/>
          <w:szCs w:val="20"/>
        </w:rPr>
        <w:t xml:space="preserve">. </w:t>
      </w:r>
    </w:p>
    <w:p w14:paraId="7CB3CC45" w14:textId="77777777" w:rsidR="00F614BC" w:rsidRPr="003760DF" w:rsidRDefault="00854443">
      <w:pPr>
        <w:numPr>
          <w:ilvl w:val="0"/>
          <w:numId w:val="9"/>
        </w:numPr>
        <w:spacing w:after="200"/>
        <w:rPr>
          <w:rFonts w:ascii="Lato" w:hAnsi="Lato"/>
          <w:sz w:val="20"/>
          <w:szCs w:val="20"/>
        </w:rPr>
      </w:pPr>
      <w:r w:rsidRPr="003760DF">
        <w:rPr>
          <w:rFonts w:ascii="Lato" w:hAnsi="Lato"/>
          <w:color w:val="20344B"/>
          <w:sz w:val="20"/>
          <w:szCs w:val="20"/>
        </w:rPr>
        <w:t xml:space="preserve">University Libraries provides tools and resources to assist scholars in identifying quality outlets for publishing their work and serving in editorial capacities; tools to provide this information are available at OU Libraries </w:t>
      </w:r>
      <w:hyperlink r:id="rId16">
        <w:r w:rsidRPr="003760DF">
          <w:rPr>
            <w:rFonts w:ascii="Lato" w:hAnsi="Lato"/>
            <w:color w:val="1155CC"/>
            <w:sz w:val="20"/>
            <w:szCs w:val="20"/>
            <w:u w:val="single"/>
          </w:rPr>
          <w:t>Evaluating Publishers web page</w:t>
        </w:r>
      </w:hyperlink>
      <w:r w:rsidRPr="003760DF">
        <w:rPr>
          <w:rFonts w:ascii="Lato" w:hAnsi="Lato"/>
          <w:color w:val="20344B"/>
          <w:sz w:val="20"/>
          <w:szCs w:val="20"/>
          <w:vertAlign w:val="superscript"/>
        </w:rPr>
        <w:t>4</w:t>
      </w:r>
      <w:r w:rsidRPr="003760DF">
        <w:rPr>
          <w:rFonts w:ascii="Lato" w:hAnsi="Lato"/>
          <w:color w:val="20344B"/>
          <w:sz w:val="20"/>
          <w:szCs w:val="20"/>
        </w:rPr>
        <w:t xml:space="preserve">. </w:t>
      </w:r>
    </w:p>
    <w:p w14:paraId="18B0736C" w14:textId="77777777" w:rsidR="00F614BC" w:rsidRPr="003760DF" w:rsidRDefault="00854443">
      <w:pPr>
        <w:numPr>
          <w:ilvl w:val="0"/>
          <w:numId w:val="9"/>
        </w:numPr>
        <w:spacing w:after="200"/>
        <w:rPr>
          <w:rFonts w:ascii="Lato" w:hAnsi="Lato"/>
          <w:color w:val="20344B"/>
          <w:sz w:val="20"/>
          <w:szCs w:val="20"/>
        </w:rPr>
      </w:pPr>
      <w:r w:rsidRPr="003760DF">
        <w:rPr>
          <w:rFonts w:ascii="Lato" w:hAnsi="Lato"/>
          <w:color w:val="20344B"/>
          <w:sz w:val="20"/>
          <w:szCs w:val="20"/>
        </w:rPr>
        <w:t>OU Faculty Senate considers a</w:t>
      </w:r>
      <w:hyperlink r:id="rId17">
        <w:r w:rsidRPr="003760DF">
          <w:rPr>
            <w:rFonts w:ascii="Lato" w:hAnsi="Lato"/>
            <w:color w:val="20344B"/>
            <w:sz w:val="20"/>
            <w:szCs w:val="20"/>
          </w:rPr>
          <w:t xml:space="preserve"> </w:t>
        </w:r>
      </w:hyperlink>
      <w:hyperlink r:id="rId18">
        <w:r w:rsidRPr="003760DF">
          <w:rPr>
            <w:rFonts w:ascii="Lato" w:hAnsi="Lato"/>
            <w:color w:val="1155CC"/>
            <w:sz w:val="20"/>
            <w:szCs w:val="20"/>
            <w:u w:val="single"/>
          </w:rPr>
          <w:t>resolution</w:t>
        </w:r>
      </w:hyperlink>
      <w:r w:rsidRPr="003760DF">
        <w:rPr>
          <w:rFonts w:ascii="Lato" w:hAnsi="Lato"/>
          <w:color w:val="20344B"/>
          <w:sz w:val="20"/>
          <w:szCs w:val="20"/>
          <w:vertAlign w:val="superscript"/>
        </w:rPr>
        <w:t>5</w:t>
      </w:r>
      <w:r w:rsidRPr="003760DF">
        <w:rPr>
          <w:rFonts w:ascii="Lato" w:hAnsi="Lato"/>
          <w:color w:val="20344B"/>
          <w:sz w:val="20"/>
          <w:szCs w:val="20"/>
        </w:rPr>
        <w:t xml:space="preserve"> promoting principles for advancing openness, and open access rights to University personnel-authored works, through University Libraries journal negotiations.</w:t>
      </w:r>
    </w:p>
    <w:p w14:paraId="4448AF8E" w14:textId="77777777" w:rsidR="00F614BC" w:rsidRPr="003760DF" w:rsidRDefault="00854443">
      <w:pPr>
        <w:numPr>
          <w:ilvl w:val="0"/>
          <w:numId w:val="9"/>
        </w:numPr>
        <w:spacing w:after="200"/>
        <w:rPr>
          <w:rFonts w:ascii="Lato" w:hAnsi="Lato"/>
          <w:sz w:val="20"/>
          <w:szCs w:val="20"/>
        </w:rPr>
      </w:pPr>
      <w:r w:rsidRPr="003760DF">
        <w:rPr>
          <w:rFonts w:ascii="Lato" w:hAnsi="Lato"/>
          <w:color w:val="20344B"/>
          <w:sz w:val="20"/>
          <w:szCs w:val="20"/>
        </w:rPr>
        <w:t xml:space="preserve">Scholars choose outlets for their publications with an awareness of fair pricing and open access; tools to provide this information are available at web pages for the </w:t>
      </w:r>
      <w:hyperlink r:id="rId19">
        <w:r w:rsidRPr="003760DF">
          <w:rPr>
            <w:rFonts w:ascii="Lato" w:hAnsi="Lato"/>
            <w:color w:val="1155CC"/>
            <w:sz w:val="20"/>
            <w:szCs w:val="20"/>
            <w:u w:val="single"/>
          </w:rPr>
          <w:t>OU Libraries Serial Projects</w:t>
        </w:r>
      </w:hyperlink>
      <w:r w:rsidRPr="003760DF">
        <w:rPr>
          <w:rFonts w:ascii="Lato" w:hAnsi="Lato"/>
          <w:color w:val="20344B"/>
          <w:sz w:val="20"/>
          <w:szCs w:val="20"/>
          <w:vertAlign w:val="superscript"/>
        </w:rPr>
        <w:t>6</w:t>
      </w:r>
      <w:r w:rsidRPr="003760DF">
        <w:rPr>
          <w:rFonts w:ascii="Lato" w:hAnsi="Lato"/>
          <w:color w:val="20344B"/>
          <w:sz w:val="20"/>
          <w:szCs w:val="20"/>
        </w:rPr>
        <w:t xml:space="preserve"> and</w:t>
      </w:r>
      <w:r w:rsidRPr="003760DF">
        <w:rPr>
          <w:rFonts w:ascii="Lato" w:hAnsi="Lato"/>
          <w:sz w:val="20"/>
          <w:szCs w:val="20"/>
        </w:rPr>
        <w:t xml:space="preserve"> </w:t>
      </w:r>
      <w:hyperlink r:id="rId20">
        <w:r w:rsidRPr="003760DF">
          <w:rPr>
            <w:rFonts w:ascii="Lato" w:hAnsi="Lato"/>
            <w:color w:val="1155CC"/>
            <w:sz w:val="20"/>
            <w:szCs w:val="20"/>
            <w:u w:val="single"/>
          </w:rPr>
          <w:t>Open Access</w:t>
        </w:r>
      </w:hyperlink>
      <w:r w:rsidRPr="003760DF">
        <w:rPr>
          <w:rFonts w:ascii="Lato" w:hAnsi="Lato"/>
          <w:color w:val="20344B"/>
          <w:sz w:val="20"/>
          <w:szCs w:val="20"/>
          <w:vertAlign w:val="superscript"/>
        </w:rPr>
        <w:t>7</w:t>
      </w:r>
      <w:r w:rsidRPr="003760DF">
        <w:rPr>
          <w:rFonts w:ascii="Lato" w:hAnsi="Lato"/>
          <w:color w:val="20344B"/>
          <w:sz w:val="20"/>
          <w:szCs w:val="20"/>
        </w:rPr>
        <w:t>.</w:t>
      </w:r>
    </w:p>
    <w:p w14:paraId="3383B2B4" w14:textId="77777777" w:rsidR="00F614BC" w:rsidRPr="003760DF" w:rsidRDefault="00854443">
      <w:pPr>
        <w:numPr>
          <w:ilvl w:val="0"/>
          <w:numId w:val="9"/>
        </w:numPr>
        <w:spacing w:after="200"/>
        <w:rPr>
          <w:rFonts w:ascii="Lato" w:hAnsi="Lato"/>
          <w:color w:val="20344B"/>
          <w:sz w:val="20"/>
          <w:szCs w:val="20"/>
        </w:rPr>
      </w:pPr>
      <w:r w:rsidRPr="003760DF">
        <w:rPr>
          <w:rFonts w:ascii="Lato" w:hAnsi="Lato"/>
          <w:color w:val="20344B"/>
          <w:sz w:val="20"/>
          <w:szCs w:val="20"/>
        </w:rPr>
        <w:t>The Provost’s Office and the OVPRP develop guidelines for preparing and reviewing promotion and tenure documents that affirm a commitment to disseminating research and scholarly activity outputs as widely as possible by supporting faculty participation in open access distribution of their scholarship.</w:t>
      </w:r>
    </w:p>
    <w:p w14:paraId="5E6B6E3E" w14:textId="77777777" w:rsidR="00F614BC" w:rsidRPr="003760DF" w:rsidRDefault="00854443">
      <w:pPr>
        <w:numPr>
          <w:ilvl w:val="0"/>
          <w:numId w:val="9"/>
        </w:numPr>
        <w:spacing w:after="200"/>
        <w:rPr>
          <w:rFonts w:ascii="Lato" w:hAnsi="Lato"/>
          <w:color w:val="20344B"/>
          <w:sz w:val="20"/>
          <w:szCs w:val="20"/>
        </w:rPr>
      </w:pPr>
      <w:r w:rsidRPr="003760DF">
        <w:rPr>
          <w:rFonts w:ascii="Lato" w:hAnsi="Lato"/>
          <w:color w:val="20344B"/>
          <w:sz w:val="20"/>
          <w:szCs w:val="20"/>
        </w:rPr>
        <w:t xml:space="preserve">Academic departments apply consistent criteria for assessing the quality of published work, including traditional (fee-based) </w:t>
      </w:r>
      <w:r w:rsidRPr="003760DF">
        <w:rPr>
          <w:rFonts w:ascii="Lato" w:hAnsi="Lato"/>
          <w:i/>
          <w:color w:val="20344B"/>
          <w:sz w:val="20"/>
          <w:szCs w:val="20"/>
        </w:rPr>
        <w:t xml:space="preserve">and </w:t>
      </w:r>
      <w:r w:rsidRPr="003760DF">
        <w:rPr>
          <w:rFonts w:ascii="Lato" w:hAnsi="Lato"/>
          <w:color w:val="20344B"/>
          <w:sz w:val="20"/>
          <w:szCs w:val="20"/>
        </w:rPr>
        <w:t>open access publications, in the tenure and promotion process.</w:t>
      </w:r>
    </w:p>
    <w:p w14:paraId="5A712BF8" w14:textId="77777777" w:rsidR="00F614BC" w:rsidRPr="003760DF" w:rsidRDefault="00854443">
      <w:pPr>
        <w:numPr>
          <w:ilvl w:val="0"/>
          <w:numId w:val="9"/>
        </w:numPr>
        <w:spacing w:after="200"/>
        <w:rPr>
          <w:rFonts w:ascii="Lato" w:hAnsi="Lato"/>
          <w:color w:val="20344B"/>
          <w:sz w:val="20"/>
          <w:szCs w:val="20"/>
        </w:rPr>
      </w:pPr>
      <w:r w:rsidRPr="003760DF">
        <w:rPr>
          <w:rFonts w:ascii="Lato" w:hAnsi="Lato"/>
          <w:color w:val="20344B"/>
          <w:sz w:val="20"/>
          <w:szCs w:val="20"/>
        </w:rPr>
        <w:t>The University implements procedures to support the ability of university research and operational units to license software they develop under open licenses and contribute to open-source projects when possible.</w:t>
      </w:r>
    </w:p>
    <w:p w14:paraId="42B0B511" w14:textId="77777777" w:rsidR="00F614BC" w:rsidRPr="003760DF" w:rsidRDefault="00854443" w:rsidP="00BF6045">
      <w:pPr>
        <w:numPr>
          <w:ilvl w:val="0"/>
          <w:numId w:val="9"/>
        </w:numPr>
        <w:rPr>
          <w:rFonts w:ascii="Lato" w:hAnsi="Lato"/>
          <w:color w:val="20344B"/>
          <w:sz w:val="20"/>
          <w:szCs w:val="20"/>
        </w:rPr>
      </w:pPr>
      <w:r w:rsidRPr="003760DF">
        <w:rPr>
          <w:rFonts w:ascii="Lato" w:hAnsi="Lato"/>
          <w:color w:val="20344B"/>
          <w:sz w:val="20"/>
          <w:szCs w:val="20"/>
        </w:rPr>
        <w:t>The University standardizes and streamlines administrative procedures related to scholarly communication issues to minimize individual researcher time: permissions, available licenses, and Article Processing Charges (APC) payments or Open Access Fees.</w:t>
      </w:r>
    </w:p>
    <w:p w14:paraId="101F1D34" w14:textId="34165A4E" w:rsidR="00F614BC" w:rsidRPr="009A41F2" w:rsidRDefault="003760DF">
      <w:pPr>
        <w:pStyle w:val="Heading2"/>
        <w:rPr>
          <w:rFonts w:ascii="League Spartan" w:hAnsi="League Spartan"/>
          <w:b/>
          <w:bCs/>
          <w:color w:val="20344B"/>
          <w:spacing w:val="30"/>
        </w:rPr>
      </w:pPr>
      <w:bookmarkStart w:id="4" w:name="_nf3sx3ijryy5" w:colFirst="0" w:colLast="0"/>
      <w:bookmarkEnd w:id="4"/>
      <w:r w:rsidRPr="009A41F2">
        <w:rPr>
          <w:rFonts w:ascii="League Spartan" w:hAnsi="League Spartan"/>
          <w:b/>
          <w:bCs/>
          <w:color w:val="20344B"/>
          <w:spacing w:val="30"/>
        </w:rPr>
        <w:t>COMMUNICATION FRAMEWORK</w:t>
      </w:r>
    </w:p>
    <w:p w14:paraId="14B00712" w14:textId="77777777" w:rsidR="00F614BC" w:rsidRPr="003760DF" w:rsidRDefault="00854443">
      <w:pPr>
        <w:rPr>
          <w:rFonts w:ascii="Lato" w:hAnsi="Lato"/>
          <w:color w:val="20344B"/>
          <w:sz w:val="20"/>
          <w:szCs w:val="20"/>
        </w:rPr>
      </w:pPr>
      <w:r w:rsidRPr="003760DF">
        <w:rPr>
          <w:rFonts w:ascii="Lato" w:hAnsi="Lato"/>
          <w:color w:val="20344B"/>
          <w:sz w:val="20"/>
          <w:szCs w:val="20"/>
        </w:rPr>
        <w:t>Framework for communicating findings to the OU community of scholars include the following recommendations:</w:t>
      </w:r>
    </w:p>
    <w:p w14:paraId="400BF357" w14:textId="77777777" w:rsidR="00F614BC" w:rsidRPr="003760DF" w:rsidRDefault="00F614BC">
      <w:pPr>
        <w:rPr>
          <w:rFonts w:ascii="Lato" w:hAnsi="Lato"/>
          <w:color w:val="20344B"/>
          <w:sz w:val="20"/>
          <w:szCs w:val="20"/>
        </w:rPr>
      </w:pPr>
    </w:p>
    <w:p w14:paraId="2583141E" w14:textId="77777777" w:rsidR="00F614BC" w:rsidRPr="003760DF" w:rsidRDefault="00854443">
      <w:pPr>
        <w:numPr>
          <w:ilvl w:val="0"/>
          <w:numId w:val="3"/>
        </w:numPr>
        <w:spacing w:after="200"/>
        <w:rPr>
          <w:rFonts w:ascii="Lato" w:hAnsi="Lato"/>
          <w:color w:val="20344B"/>
          <w:sz w:val="20"/>
          <w:szCs w:val="20"/>
          <w:highlight w:val="white"/>
        </w:rPr>
      </w:pPr>
      <w:r w:rsidRPr="003760DF">
        <w:rPr>
          <w:rFonts w:ascii="Lato" w:hAnsi="Lato"/>
          <w:color w:val="20344B"/>
          <w:sz w:val="20"/>
          <w:szCs w:val="20"/>
          <w:highlight w:val="white"/>
        </w:rPr>
        <w:t xml:space="preserve">The ULC Scholarly Communication Taskforce, in partnership with the University Libraries, create </w:t>
      </w:r>
      <w:r w:rsidRPr="003760DF">
        <w:rPr>
          <w:rFonts w:ascii="Lato" w:hAnsi="Lato"/>
          <w:color w:val="20344B"/>
          <w:sz w:val="20"/>
          <w:szCs w:val="20"/>
        </w:rPr>
        <w:t>online guides, workshops and presentations, videos, news items, and other means to communicate this report and facilitate campus discussion among faculty and graduate students.</w:t>
      </w:r>
    </w:p>
    <w:p w14:paraId="30A78FA0" w14:textId="77777777" w:rsidR="00F614BC" w:rsidRPr="003760DF" w:rsidRDefault="00854443">
      <w:pPr>
        <w:numPr>
          <w:ilvl w:val="0"/>
          <w:numId w:val="3"/>
        </w:numPr>
        <w:spacing w:after="200"/>
        <w:rPr>
          <w:rFonts w:ascii="Lato" w:hAnsi="Lato"/>
          <w:color w:val="20344B"/>
          <w:sz w:val="20"/>
          <w:szCs w:val="20"/>
        </w:rPr>
      </w:pPr>
      <w:r w:rsidRPr="003760DF">
        <w:rPr>
          <w:rFonts w:ascii="Lato" w:hAnsi="Lato"/>
          <w:color w:val="20344B"/>
          <w:sz w:val="20"/>
          <w:szCs w:val="20"/>
        </w:rPr>
        <w:t>The ULC Scholarly Communication Taskforce utilizes established campus communication channels, such as (but not limited to) the Provost’s Bulletin, the CFE website, and the Libraries’ monthly newsletter, to share this report.</w:t>
      </w:r>
    </w:p>
    <w:p w14:paraId="273DC6F7" w14:textId="77777777" w:rsidR="00F614BC" w:rsidRPr="003760DF" w:rsidRDefault="00854443">
      <w:pPr>
        <w:numPr>
          <w:ilvl w:val="0"/>
          <w:numId w:val="3"/>
        </w:numPr>
        <w:spacing w:after="200"/>
        <w:rPr>
          <w:rFonts w:ascii="Lato" w:hAnsi="Lato"/>
          <w:color w:val="20344B"/>
          <w:sz w:val="20"/>
          <w:szCs w:val="20"/>
          <w:highlight w:val="white"/>
        </w:rPr>
        <w:sectPr w:rsidR="00F614BC" w:rsidRPr="003760DF">
          <w:headerReference w:type="default" r:id="rId21"/>
          <w:headerReference w:type="first" r:id="rId22"/>
          <w:pgSz w:w="12240" w:h="15840"/>
          <w:pgMar w:top="1440" w:right="1440" w:bottom="1440" w:left="1440" w:header="720" w:footer="720" w:gutter="0"/>
          <w:pgNumType w:start="1"/>
          <w:cols w:space="720"/>
          <w:titlePg/>
        </w:sectPr>
      </w:pPr>
      <w:r w:rsidRPr="003760DF">
        <w:rPr>
          <w:rFonts w:ascii="Lato" w:hAnsi="Lato"/>
          <w:color w:val="20344B"/>
          <w:sz w:val="20"/>
          <w:szCs w:val="20"/>
        </w:rPr>
        <w:t xml:space="preserve">Members of the ULC Scholarly Communication Taskforce share and present this report to, at a minimum, the following: </w:t>
      </w:r>
    </w:p>
    <w:p w14:paraId="0806C368"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lastRenderedPageBreak/>
        <w:t>University Libraries Committee</w:t>
      </w:r>
    </w:p>
    <w:p w14:paraId="06831FD0"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Faculty and Graduate Student Senate Executive Committees</w:t>
      </w:r>
    </w:p>
    <w:p w14:paraId="6F68166C"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Faculty and Graduate Student Senates</w:t>
      </w:r>
    </w:p>
    <w:p w14:paraId="07311F5B"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Office of the Vice President for Research and Partnerships</w:t>
      </w:r>
    </w:p>
    <w:p w14:paraId="028C8BC0"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Provost’s Office</w:t>
      </w:r>
    </w:p>
    <w:p w14:paraId="64DA063C"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Research Council</w:t>
      </w:r>
    </w:p>
    <w:p w14:paraId="1B2E2290"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Deans’ Council</w:t>
      </w:r>
    </w:p>
    <w:p w14:paraId="53F0B4F8"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President’s Office</w:t>
      </w:r>
    </w:p>
    <w:p w14:paraId="545B72F2"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Center for Faculty Excellence</w:t>
      </w:r>
    </w:p>
    <w:p w14:paraId="53559A7C"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Associate Deans for Research</w:t>
      </w:r>
    </w:p>
    <w:p w14:paraId="16146875"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 xml:space="preserve">College-based meetings of Chairs and Directors </w:t>
      </w:r>
    </w:p>
    <w:p w14:paraId="27F80914" w14:textId="77777777" w:rsidR="00F614BC" w:rsidRPr="003760DF" w:rsidRDefault="00854443">
      <w:pPr>
        <w:numPr>
          <w:ilvl w:val="1"/>
          <w:numId w:val="3"/>
        </w:numPr>
        <w:rPr>
          <w:rFonts w:ascii="Lato" w:hAnsi="Lato"/>
          <w:color w:val="20344B"/>
          <w:sz w:val="20"/>
          <w:szCs w:val="20"/>
        </w:rPr>
      </w:pPr>
      <w:r w:rsidRPr="003760DF">
        <w:rPr>
          <w:rFonts w:ascii="Lato" w:hAnsi="Lato"/>
          <w:color w:val="20344B"/>
          <w:sz w:val="20"/>
          <w:szCs w:val="20"/>
        </w:rPr>
        <w:t>Departmental faculty meetings</w:t>
      </w:r>
    </w:p>
    <w:p w14:paraId="7180FD0F" w14:textId="77777777" w:rsidR="00F614BC" w:rsidRPr="003760DF" w:rsidRDefault="00854443">
      <w:pPr>
        <w:numPr>
          <w:ilvl w:val="1"/>
          <w:numId w:val="3"/>
        </w:numPr>
        <w:rPr>
          <w:color w:val="20344B"/>
          <w:sz w:val="20"/>
          <w:szCs w:val="20"/>
        </w:rPr>
        <w:sectPr w:rsidR="00F614BC" w:rsidRPr="003760DF">
          <w:type w:val="continuous"/>
          <w:pgSz w:w="12240" w:h="15840"/>
          <w:pgMar w:top="1440" w:right="1440" w:bottom="1440" w:left="1440" w:header="720" w:footer="720" w:gutter="0"/>
          <w:cols w:num="2" w:space="720" w:equalWidth="0">
            <w:col w:w="4320" w:space="720"/>
            <w:col w:w="4320" w:space="0"/>
          </w:cols>
        </w:sectPr>
      </w:pPr>
      <w:r w:rsidRPr="003760DF">
        <w:rPr>
          <w:rFonts w:ascii="Lato" w:hAnsi="Lato"/>
          <w:color w:val="20344B"/>
          <w:sz w:val="20"/>
          <w:szCs w:val="20"/>
        </w:rPr>
        <w:t>University</w:t>
      </w:r>
      <w:r w:rsidRPr="003760DF">
        <w:rPr>
          <w:color w:val="20344B"/>
          <w:sz w:val="20"/>
          <w:szCs w:val="20"/>
        </w:rPr>
        <w:t xml:space="preserve"> Libraries’ liaison librarians</w:t>
      </w:r>
    </w:p>
    <w:p w14:paraId="7C791C83" w14:textId="7468D997" w:rsidR="00F614BC" w:rsidRPr="009A41F2" w:rsidRDefault="009A41F2">
      <w:pPr>
        <w:pStyle w:val="Heading2"/>
        <w:rPr>
          <w:rFonts w:ascii="League Spartan" w:hAnsi="League Spartan"/>
          <w:b/>
          <w:bCs/>
          <w:color w:val="20344B"/>
          <w:spacing w:val="30"/>
          <w:sz w:val="20"/>
          <w:szCs w:val="20"/>
        </w:rPr>
        <w:sectPr w:rsidR="00F614BC" w:rsidRPr="009A41F2">
          <w:type w:val="continuous"/>
          <w:pgSz w:w="12240" w:h="15840"/>
          <w:pgMar w:top="1440" w:right="1440" w:bottom="1440" w:left="1440" w:header="720" w:footer="720" w:gutter="0"/>
          <w:cols w:space="720"/>
        </w:sectPr>
      </w:pPr>
      <w:bookmarkStart w:id="5" w:name="_51u4jtxppe48" w:colFirst="0" w:colLast="0"/>
      <w:bookmarkEnd w:id="5"/>
      <w:r w:rsidRPr="009A41F2">
        <w:rPr>
          <w:rFonts w:ascii="League Spartan" w:hAnsi="League Spartan"/>
          <w:b/>
          <w:bCs/>
          <w:color w:val="20344B"/>
          <w:spacing w:val="30"/>
        </w:rPr>
        <w:t>TASKFORCE MEMBERS</w:t>
      </w:r>
    </w:p>
    <w:p w14:paraId="4D47B55D"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 xml:space="preserve">Michael </w:t>
      </w:r>
      <w:proofErr w:type="spellStart"/>
      <w:r w:rsidRPr="00B259C3">
        <w:rPr>
          <w:rFonts w:ascii="Lato" w:hAnsi="Lato" w:cs="Lato"/>
          <w:color w:val="20344B"/>
          <w:sz w:val="20"/>
          <w:szCs w:val="20"/>
        </w:rPr>
        <w:t>Bemben</w:t>
      </w:r>
      <w:proofErr w:type="spellEnd"/>
      <w:r w:rsidRPr="00B259C3">
        <w:rPr>
          <w:rFonts w:ascii="Lato" w:hAnsi="Lato" w:cs="Lato"/>
          <w:color w:val="20344B"/>
          <w:sz w:val="20"/>
          <w:szCs w:val="20"/>
        </w:rPr>
        <w:t xml:space="preserve"> (Health &amp; Exercise Science)</w:t>
      </w:r>
    </w:p>
    <w:p w14:paraId="5305A0A7"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Lee Fithian (Architecture)</w:t>
      </w:r>
    </w:p>
    <w:p w14:paraId="19F107C7"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Raphael Folsom (History)</w:t>
      </w:r>
    </w:p>
    <w:p w14:paraId="4EC4205A"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J.P. Masly (Biology)</w:t>
      </w:r>
    </w:p>
    <w:p w14:paraId="551A0C56"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Claude Miller (Communication)</w:t>
      </w:r>
    </w:p>
    <w:p w14:paraId="635831CE"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Katherine Pandora (History of Science)</w:t>
      </w:r>
    </w:p>
    <w:p w14:paraId="497BA19F" w14:textId="77777777" w:rsidR="00F614BC" w:rsidRPr="00B259C3" w:rsidRDefault="00F614BC">
      <w:pPr>
        <w:ind w:left="720"/>
        <w:rPr>
          <w:rFonts w:ascii="Lato" w:hAnsi="Lato" w:cs="Lato"/>
          <w:color w:val="20344B"/>
          <w:sz w:val="20"/>
          <w:szCs w:val="20"/>
        </w:rPr>
      </w:pPr>
    </w:p>
    <w:p w14:paraId="26F43F48"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Darren Purcell (Geography &amp; Environmental Sustainability)</w:t>
      </w:r>
    </w:p>
    <w:p w14:paraId="032C83ED"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Caroline T. Schroeder (Classics &amp; Letters)</w:t>
      </w:r>
    </w:p>
    <w:p w14:paraId="5DCDDB9C" w14:textId="77777777" w:rsidR="00F614BC" w:rsidRPr="00B259C3" w:rsidRDefault="00854443">
      <w:pPr>
        <w:numPr>
          <w:ilvl w:val="0"/>
          <w:numId w:val="1"/>
        </w:numPr>
        <w:rPr>
          <w:rFonts w:ascii="Lato" w:hAnsi="Lato" w:cs="Lato"/>
          <w:color w:val="20344B"/>
          <w:sz w:val="20"/>
          <w:szCs w:val="20"/>
        </w:rPr>
      </w:pPr>
      <w:r w:rsidRPr="00B259C3">
        <w:rPr>
          <w:rFonts w:ascii="Lato" w:hAnsi="Lato" w:cs="Lato"/>
          <w:color w:val="20344B"/>
          <w:sz w:val="20"/>
          <w:szCs w:val="20"/>
        </w:rPr>
        <w:t xml:space="preserve">Karen Rupp-Serrano (University Libraries, </w:t>
      </w:r>
      <w:r w:rsidRPr="00B259C3">
        <w:rPr>
          <w:rFonts w:ascii="Lato" w:hAnsi="Lato" w:cs="Lato"/>
          <w:i/>
          <w:color w:val="20344B"/>
          <w:sz w:val="20"/>
          <w:szCs w:val="20"/>
        </w:rPr>
        <w:t>ex officio</w:t>
      </w:r>
      <w:r w:rsidRPr="00B259C3">
        <w:rPr>
          <w:rFonts w:ascii="Lato" w:hAnsi="Lato" w:cs="Lato"/>
          <w:color w:val="20344B"/>
          <w:sz w:val="20"/>
          <w:szCs w:val="20"/>
        </w:rPr>
        <w:t>)</w:t>
      </w:r>
    </w:p>
    <w:p w14:paraId="3D6ED893" w14:textId="77777777" w:rsidR="00F614BC" w:rsidRPr="00B259C3" w:rsidRDefault="00854443">
      <w:pPr>
        <w:numPr>
          <w:ilvl w:val="0"/>
          <w:numId w:val="1"/>
        </w:numPr>
        <w:rPr>
          <w:rFonts w:ascii="Lato" w:hAnsi="Lato" w:cs="Lato"/>
          <w:color w:val="20344B"/>
          <w:sz w:val="20"/>
          <w:szCs w:val="20"/>
        </w:rPr>
        <w:sectPr w:rsidR="00F614BC" w:rsidRPr="00B259C3">
          <w:type w:val="continuous"/>
          <w:pgSz w:w="12240" w:h="15840"/>
          <w:pgMar w:top="1440" w:right="1440" w:bottom="1440" w:left="1440" w:header="720" w:footer="720" w:gutter="0"/>
          <w:cols w:num="2" w:space="720" w:equalWidth="0">
            <w:col w:w="4320" w:space="720"/>
            <w:col w:w="4320" w:space="0"/>
          </w:cols>
        </w:sectPr>
      </w:pPr>
      <w:r w:rsidRPr="00B259C3">
        <w:rPr>
          <w:rFonts w:ascii="Lato" w:hAnsi="Lato" w:cs="Lato"/>
          <w:color w:val="20344B"/>
          <w:sz w:val="20"/>
          <w:szCs w:val="20"/>
        </w:rPr>
        <w:t xml:space="preserve">Jen Waller (University Libraries, </w:t>
      </w:r>
      <w:r w:rsidRPr="00B259C3">
        <w:rPr>
          <w:rFonts w:ascii="Lato" w:hAnsi="Lato" w:cs="Lato"/>
          <w:i/>
          <w:color w:val="20344B"/>
          <w:sz w:val="20"/>
          <w:szCs w:val="20"/>
        </w:rPr>
        <w:t>ex officio</w:t>
      </w:r>
      <w:r w:rsidRPr="00B259C3">
        <w:rPr>
          <w:rFonts w:ascii="Lato" w:hAnsi="Lato" w:cs="Lato"/>
          <w:color w:val="20344B"/>
          <w:sz w:val="20"/>
          <w:szCs w:val="20"/>
        </w:rPr>
        <w:t>)</w:t>
      </w:r>
    </w:p>
    <w:p w14:paraId="60775545" w14:textId="453DB619" w:rsidR="00F614BC" w:rsidRPr="009A41F2" w:rsidRDefault="009A41F2">
      <w:pPr>
        <w:pStyle w:val="Heading2"/>
        <w:rPr>
          <w:rFonts w:ascii="League Spartan" w:hAnsi="League Spartan"/>
          <w:b/>
          <w:bCs/>
          <w:color w:val="20344B"/>
          <w:spacing w:val="30"/>
        </w:rPr>
      </w:pPr>
      <w:bookmarkStart w:id="6" w:name="_j796813i4a2s" w:colFirst="0" w:colLast="0"/>
      <w:bookmarkEnd w:id="6"/>
      <w:r w:rsidRPr="009A41F2">
        <w:rPr>
          <w:rFonts w:ascii="League Spartan" w:hAnsi="League Spartan"/>
          <w:b/>
          <w:bCs/>
          <w:color w:val="20344B"/>
          <w:spacing w:val="30"/>
        </w:rPr>
        <w:t>ADDITIONAL INFORMATION</w:t>
      </w:r>
    </w:p>
    <w:p w14:paraId="5D0F180C" w14:textId="77777777" w:rsidR="00F614BC" w:rsidRPr="00B259C3" w:rsidRDefault="00854443">
      <w:pPr>
        <w:rPr>
          <w:rFonts w:ascii="Lato" w:hAnsi="Lato" w:cs="Lato"/>
        </w:rPr>
      </w:pPr>
      <w:r w:rsidRPr="00B259C3">
        <w:rPr>
          <w:rFonts w:ascii="Lato" w:hAnsi="Lato" w:cs="Lato"/>
          <w:color w:val="20344B"/>
          <w:sz w:val="20"/>
          <w:szCs w:val="20"/>
        </w:rPr>
        <w:t xml:space="preserve">In addition to the full report that follows, additional information about the University Libraries Committee Scholarly Communication Taskforce is on the </w:t>
      </w:r>
      <w:hyperlink r:id="rId23">
        <w:r w:rsidRPr="00B259C3">
          <w:rPr>
            <w:rFonts w:ascii="Lato" w:hAnsi="Lato" w:cs="Lato"/>
            <w:color w:val="1155CC"/>
            <w:sz w:val="20"/>
            <w:szCs w:val="20"/>
            <w:u w:val="single"/>
          </w:rPr>
          <w:t>Taskforce</w:t>
        </w:r>
      </w:hyperlink>
      <w:hyperlink r:id="rId24">
        <w:r w:rsidRPr="00B259C3">
          <w:rPr>
            <w:rFonts w:ascii="Lato" w:hAnsi="Lato" w:cs="Lato"/>
            <w:color w:val="1155CC"/>
            <w:sz w:val="20"/>
            <w:szCs w:val="20"/>
            <w:u w:val="single"/>
          </w:rPr>
          <w:t xml:space="preserve"> </w:t>
        </w:r>
      </w:hyperlink>
      <w:hyperlink r:id="rId25">
        <w:r w:rsidRPr="00B259C3">
          <w:rPr>
            <w:rFonts w:ascii="Lato" w:hAnsi="Lato" w:cs="Lato"/>
            <w:color w:val="1155CC"/>
            <w:sz w:val="20"/>
            <w:szCs w:val="20"/>
            <w:u w:val="single"/>
          </w:rPr>
          <w:t>website</w:t>
        </w:r>
      </w:hyperlink>
      <w:r w:rsidRPr="00B259C3">
        <w:rPr>
          <w:rFonts w:ascii="Lato" w:hAnsi="Lato" w:cs="Lato"/>
          <w:color w:val="20344B"/>
          <w:sz w:val="20"/>
          <w:szCs w:val="20"/>
          <w:vertAlign w:val="superscript"/>
        </w:rPr>
        <w:t>8</w:t>
      </w:r>
      <w:r w:rsidRPr="00B259C3">
        <w:rPr>
          <w:rFonts w:ascii="Lato" w:hAnsi="Lato" w:cs="Lato"/>
          <w:color w:val="20344B"/>
          <w:sz w:val="20"/>
          <w:szCs w:val="20"/>
        </w:rPr>
        <w:t>.</w:t>
      </w:r>
    </w:p>
    <w:p w14:paraId="271A785A" w14:textId="77777777" w:rsidR="00F614BC" w:rsidRDefault="00854443">
      <w:pPr>
        <w:pStyle w:val="Heading1"/>
      </w:pPr>
      <w:bookmarkStart w:id="7" w:name="_3xmozk7pxiv0" w:colFirst="0" w:colLast="0"/>
      <w:bookmarkEnd w:id="7"/>
      <w:r>
        <w:br w:type="page"/>
      </w:r>
    </w:p>
    <w:p w14:paraId="3D87CF11" w14:textId="2A8FB7B8" w:rsidR="00F614BC" w:rsidRPr="00906E74" w:rsidRDefault="00131DBA">
      <w:pPr>
        <w:pStyle w:val="Heading1"/>
        <w:rPr>
          <w:rFonts w:ascii="League Spartan" w:hAnsi="League Spartan"/>
          <w:b/>
          <w:bCs/>
          <w:color w:val="20344B"/>
          <w:spacing w:val="30"/>
          <w:sz w:val="44"/>
          <w:szCs w:val="44"/>
        </w:rPr>
      </w:pPr>
      <w:bookmarkStart w:id="8" w:name="_i43zx5mgi0bo" w:colFirst="0" w:colLast="0"/>
      <w:bookmarkEnd w:id="8"/>
      <w:r w:rsidRPr="00906E74">
        <w:rPr>
          <w:rFonts w:ascii="League Spartan" w:hAnsi="League Spartan"/>
          <w:b/>
          <w:bCs/>
          <w:color w:val="20344B"/>
          <w:spacing w:val="30"/>
          <w:sz w:val="44"/>
          <w:szCs w:val="44"/>
        </w:rPr>
        <w:lastRenderedPageBreak/>
        <w:t>FULL REPORT</w:t>
      </w:r>
    </w:p>
    <w:p w14:paraId="1E1F85C3" w14:textId="786C2052" w:rsidR="00F614BC" w:rsidRPr="00DC38AD" w:rsidRDefault="00906E74">
      <w:pPr>
        <w:pStyle w:val="Heading2"/>
        <w:rPr>
          <w:rFonts w:ascii="League Spartan" w:hAnsi="League Spartan"/>
          <w:b/>
          <w:bCs/>
          <w:color w:val="20344B"/>
          <w:spacing w:val="30"/>
        </w:rPr>
      </w:pPr>
      <w:bookmarkStart w:id="9" w:name="_po9039av41rp" w:colFirst="0" w:colLast="0"/>
      <w:bookmarkEnd w:id="9"/>
      <w:r w:rsidRPr="00DC38AD">
        <w:rPr>
          <w:rFonts w:ascii="League Spartan" w:hAnsi="League Spartan"/>
          <w:b/>
          <w:bCs/>
          <w:color w:val="20344B"/>
          <w:spacing w:val="30"/>
        </w:rPr>
        <w:t>INTRODUCTION</w:t>
      </w:r>
    </w:p>
    <w:p w14:paraId="3A5B415D" w14:textId="77777777" w:rsidR="00F614BC" w:rsidRPr="00DC38AD" w:rsidRDefault="00854443">
      <w:pPr>
        <w:rPr>
          <w:rFonts w:ascii="Lato" w:hAnsi="Lato" w:cs="Lato"/>
          <w:color w:val="20344B"/>
          <w:sz w:val="20"/>
          <w:szCs w:val="20"/>
        </w:rPr>
      </w:pPr>
      <w:r w:rsidRPr="00DC38AD">
        <w:rPr>
          <w:rFonts w:ascii="Lato" w:hAnsi="Lato" w:cs="Lato"/>
          <w:color w:val="20344B"/>
          <w:sz w:val="20"/>
          <w:szCs w:val="20"/>
        </w:rPr>
        <w:t>Today’s scholars have more publishing options available than ever before. In addition to traditional venues, open publishing has become a viable and practicable option for communicating research to ever broadening audiences. This breadth of options focuses increased attention – and, in some cases, new attention – on the way business models, accessibility, copyright and intellectual property, and research dissemination are envisioned and enacted. Moreover, these considerations have important and pressing implications for University of Oklahoma (OU) faculty members and graduate students who are authors, readers, reviewers, editors, society associates, and advisory board members dependent upon effective scholarly communication for professional development and advancement. Each of these institutional stakeholders are at the forefront of a transformative shift toward a more sustainable system of scholarly communication. Understanding this landscape and actively working to address current and emerging opportunities is essential for the health and vitality of the scholarly enterprise at OU.</w:t>
      </w:r>
    </w:p>
    <w:p w14:paraId="59E7571D" w14:textId="77777777" w:rsidR="00F614BC" w:rsidRPr="00DC38AD" w:rsidRDefault="00F614BC">
      <w:pPr>
        <w:rPr>
          <w:rFonts w:ascii="Lato" w:hAnsi="Lato" w:cs="Lato"/>
          <w:color w:val="20344B"/>
          <w:sz w:val="20"/>
          <w:szCs w:val="20"/>
        </w:rPr>
      </w:pPr>
    </w:p>
    <w:p w14:paraId="1B05D492" w14:textId="77777777" w:rsidR="00F614BC" w:rsidRPr="00DC38AD" w:rsidRDefault="00854443">
      <w:pPr>
        <w:rPr>
          <w:rFonts w:ascii="Lato" w:hAnsi="Lato" w:cs="Lato"/>
          <w:sz w:val="20"/>
          <w:szCs w:val="20"/>
        </w:rPr>
      </w:pPr>
      <w:r w:rsidRPr="00DC38AD">
        <w:rPr>
          <w:rFonts w:ascii="Lato" w:hAnsi="Lato" w:cs="Lato"/>
          <w:color w:val="20344B"/>
          <w:sz w:val="20"/>
          <w:szCs w:val="20"/>
        </w:rPr>
        <w:t xml:space="preserve">A number of peer institutions have undertaken similar efforts to those conducted by the University Libraries Committee’s Scholarly Communication Taskforce (see </w:t>
      </w:r>
      <w:hyperlink r:id="rId26">
        <w:r w:rsidRPr="00DC38AD">
          <w:rPr>
            <w:rFonts w:ascii="Lato" w:hAnsi="Lato" w:cs="Lato"/>
            <w:color w:val="1155CC"/>
            <w:sz w:val="20"/>
            <w:szCs w:val="20"/>
            <w:u w:val="single"/>
          </w:rPr>
          <w:t>Taskforce</w:t>
        </w:r>
      </w:hyperlink>
      <w:hyperlink r:id="rId27">
        <w:r w:rsidRPr="00DC38AD">
          <w:rPr>
            <w:rFonts w:ascii="Lato" w:hAnsi="Lato" w:cs="Lato"/>
            <w:color w:val="1155CC"/>
            <w:sz w:val="20"/>
            <w:szCs w:val="20"/>
            <w:u w:val="single"/>
          </w:rPr>
          <w:t xml:space="preserve"> charge</w:t>
        </w:r>
      </w:hyperlink>
      <w:r w:rsidRPr="00DC38AD">
        <w:rPr>
          <w:rFonts w:ascii="Lato" w:hAnsi="Lato" w:cs="Lato"/>
          <w:color w:val="20344B"/>
          <w:sz w:val="20"/>
          <w:szCs w:val="20"/>
          <w:vertAlign w:val="superscript"/>
        </w:rPr>
        <w:t>9</w:t>
      </w:r>
      <w:r w:rsidRPr="00DC38AD">
        <w:rPr>
          <w:rFonts w:ascii="Lato" w:hAnsi="Lato" w:cs="Lato"/>
          <w:color w:val="20344B"/>
          <w:sz w:val="20"/>
          <w:szCs w:val="20"/>
        </w:rPr>
        <w:t xml:space="preserve">). Documents crafted by the </w:t>
      </w:r>
      <w:hyperlink r:id="rId28">
        <w:r w:rsidRPr="00DC38AD">
          <w:rPr>
            <w:rFonts w:ascii="Lato" w:hAnsi="Lato" w:cs="Lato"/>
            <w:color w:val="1155CC"/>
            <w:sz w:val="20"/>
            <w:szCs w:val="20"/>
            <w:u w:val="single"/>
          </w:rPr>
          <w:t>University of Arizona</w:t>
        </w:r>
      </w:hyperlink>
      <w:r w:rsidRPr="00DC38AD">
        <w:rPr>
          <w:rFonts w:ascii="Lato" w:hAnsi="Lato" w:cs="Lato"/>
          <w:color w:val="20344B"/>
          <w:sz w:val="20"/>
          <w:szCs w:val="20"/>
          <w:vertAlign w:val="superscript"/>
        </w:rPr>
        <w:t>10</w:t>
      </w:r>
      <w:r w:rsidRPr="00DC38AD">
        <w:rPr>
          <w:rFonts w:ascii="Lato" w:hAnsi="Lato" w:cs="Lato"/>
          <w:color w:val="20344B"/>
          <w:sz w:val="20"/>
          <w:szCs w:val="20"/>
        </w:rPr>
        <w:t xml:space="preserve"> and </w:t>
      </w:r>
      <w:hyperlink r:id="rId29">
        <w:r w:rsidRPr="00DC38AD">
          <w:rPr>
            <w:rFonts w:ascii="Lato" w:hAnsi="Lato" w:cs="Lato"/>
            <w:color w:val="1155CC"/>
            <w:sz w:val="20"/>
            <w:szCs w:val="20"/>
            <w:u w:val="single"/>
          </w:rPr>
          <w:t>Oregon State University</w:t>
        </w:r>
      </w:hyperlink>
      <w:r w:rsidRPr="00DC38AD">
        <w:rPr>
          <w:rFonts w:ascii="Lato" w:hAnsi="Lato" w:cs="Lato"/>
          <w:color w:val="20344B"/>
          <w:sz w:val="20"/>
          <w:szCs w:val="20"/>
        </w:rPr>
        <w:t>,</w:t>
      </w:r>
      <w:r w:rsidRPr="00DC38AD">
        <w:rPr>
          <w:rFonts w:ascii="Lato" w:hAnsi="Lato" w:cs="Lato"/>
          <w:color w:val="20344B"/>
          <w:sz w:val="20"/>
          <w:szCs w:val="20"/>
          <w:vertAlign w:val="superscript"/>
        </w:rPr>
        <w:t>11</w:t>
      </w:r>
      <w:r w:rsidRPr="00DC38AD">
        <w:rPr>
          <w:rFonts w:ascii="Lato" w:hAnsi="Lato" w:cs="Lato"/>
          <w:color w:val="20344B"/>
          <w:sz w:val="20"/>
          <w:szCs w:val="20"/>
        </w:rPr>
        <w:t xml:space="preserve"> as well as a discussion with Ada Emmett, Director, </w:t>
      </w:r>
      <w:proofErr w:type="spellStart"/>
      <w:r w:rsidRPr="00DC38AD">
        <w:rPr>
          <w:rFonts w:ascii="Lato" w:hAnsi="Lato" w:cs="Lato"/>
          <w:color w:val="20344B"/>
          <w:sz w:val="20"/>
          <w:szCs w:val="20"/>
        </w:rPr>
        <w:t>Shulenburger</w:t>
      </w:r>
      <w:proofErr w:type="spellEnd"/>
      <w:r w:rsidRPr="00DC38AD">
        <w:rPr>
          <w:rFonts w:ascii="Lato" w:hAnsi="Lato" w:cs="Lato"/>
          <w:color w:val="20344B"/>
          <w:sz w:val="20"/>
          <w:szCs w:val="20"/>
        </w:rPr>
        <w:t xml:space="preserve"> Office of Scholarly Communication &amp; Copyright, University of Kansas Libraries have been particularly helpful to the taskforce.</w:t>
      </w:r>
    </w:p>
    <w:p w14:paraId="49B8A122" w14:textId="77777777" w:rsidR="00F614BC" w:rsidRPr="00DC38AD" w:rsidRDefault="00F614BC">
      <w:pPr>
        <w:rPr>
          <w:rFonts w:ascii="Lato" w:hAnsi="Lato" w:cs="Lato"/>
          <w:sz w:val="20"/>
          <w:szCs w:val="20"/>
        </w:rPr>
      </w:pPr>
    </w:p>
    <w:p w14:paraId="4B0A62C1" w14:textId="77777777" w:rsidR="00F614BC" w:rsidRPr="00DC38AD" w:rsidRDefault="00854443">
      <w:pPr>
        <w:rPr>
          <w:rFonts w:ascii="Lato" w:hAnsi="Lato" w:cs="Lato"/>
          <w:sz w:val="20"/>
          <w:szCs w:val="20"/>
        </w:rPr>
      </w:pPr>
      <w:r w:rsidRPr="00DC38AD">
        <w:rPr>
          <w:rFonts w:ascii="Lato" w:hAnsi="Lato" w:cs="Lato"/>
          <w:color w:val="20344B"/>
          <w:sz w:val="20"/>
          <w:szCs w:val="20"/>
        </w:rPr>
        <w:t xml:space="preserve">Additionally, the taskforce found extremely valuable the open access policies enacted by the faculties at </w:t>
      </w:r>
      <w:hyperlink r:id="rId30">
        <w:r w:rsidRPr="00DC38AD">
          <w:rPr>
            <w:rFonts w:ascii="Lato" w:hAnsi="Lato" w:cs="Lato"/>
            <w:color w:val="1155CC"/>
            <w:sz w:val="20"/>
            <w:szCs w:val="20"/>
            <w:u w:val="single"/>
          </w:rPr>
          <w:t>Harvard University</w:t>
        </w:r>
      </w:hyperlink>
      <w:r w:rsidRPr="00DC38AD">
        <w:rPr>
          <w:rFonts w:ascii="Lato" w:hAnsi="Lato" w:cs="Lato"/>
          <w:color w:val="20344B"/>
          <w:sz w:val="20"/>
          <w:szCs w:val="20"/>
        </w:rPr>
        <w:t>,</w:t>
      </w:r>
      <w:r w:rsidRPr="00DC38AD">
        <w:rPr>
          <w:rFonts w:ascii="Lato" w:hAnsi="Lato" w:cs="Lato"/>
          <w:color w:val="20344B"/>
          <w:sz w:val="20"/>
          <w:szCs w:val="20"/>
          <w:vertAlign w:val="superscript"/>
        </w:rPr>
        <w:t>12</w:t>
      </w:r>
      <w:r w:rsidRPr="00DC38AD">
        <w:rPr>
          <w:rFonts w:ascii="Lato" w:hAnsi="Lato" w:cs="Lato"/>
          <w:color w:val="20344B"/>
          <w:sz w:val="20"/>
          <w:szCs w:val="20"/>
        </w:rPr>
        <w:t xml:space="preserve"> </w:t>
      </w:r>
      <w:hyperlink r:id="rId31">
        <w:r w:rsidRPr="00DC38AD">
          <w:rPr>
            <w:rFonts w:ascii="Lato" w:hAnsi="Lato" w:cs="Lato"/>
            <w:color w:val="1155CC"/>
            <w:sz w:val="20"/>
            <w:szCs w:val="20"/>
            <w:u w:val="single"/>
          </w:rPr>
          <w:t>Florida State University</w:t>
        </w:r>
      </w:hyperlink>
      <w:r w:rsidRPr="00DC38AD">
        <w:rPr>
          <w:rFonts w:ascii="Lato" w:hAnsi="Lato" w:cs="Lato"/>
          <w:color w:val="20344B"/>
          <w:sz w:val="20"/>
          <w:szCs w:val="20"/>
        </w:rPr>
        <w:t>,</w:t>
      </w:r>
      <w:r w:rsidRPr="00DC38AD">
        <w:rPr>
          <w:rFonts w:ascii="Lato" w:hAnsi="Lato" w:cs="Lato"/>
          <w:color w:val="20344B"/>
          <w:sz w:val="20"/>
          <w:szCs w:val="20"/>
          <w:vertAlign w:val="superscript"/>
        </w:rPr>
        <w:t>13</w:t>
      </w:r>
      <w:r w:rsidRPr="00DC38AD">
        <w:rPr>
          <w:rFonts w:ascii="Lato" w:hAnsi="Lato" w:cs="Lato"/>
          <w:color w:val="20344B"/>
          <w:sz w:val="20"/>
          <w:szCs w:val="20"/>
        </w:rPr>
        <w:t xml:space="preserve"> </w:t>
      </w:r>
      <w:hyperlink r:id="rId32">
        <w:r w:rsidRPr="00DC38AD">
          <w:rPr>
            <w:rFonts w:ascii="Lato" w:hAnsi="Lato" w:cs="Lato"/>
            <w:color w:val="1155CC"/>
            <w:sz w:val="20"/>
            <w:szCs w:val="20"/>
            <w:u w:val="single"/>
          </w:rPr>
          <w:t>Rutgers University</w:t>
        </w:r>
      </w:hyperlink>
      <w:r w:rsidRPr="00DC38AD">
        <w:rPr>
          <w:rFonts w:ascii="Lato" w:hAnsi="Lato" w:cs="Lato"/>
          <w:color w:val="20344B"/>
          <w:sz w:val="20"/>
          <w:szCs w:val="20"/>
        </w:rPr>
        <w:t>,</w:t>
      </w:r>
      <w:r w:rsidRPr="00DC38AD">
        <w:rPr>
          <w:rFonts w:ascii="Lato" w:hAnsi="Lato" w:cs="Lato"/>
          <w:color w:val="20344B"/>
          <w:sz w:val="20"/>
          <w:szCs w:val="20"/>
          <w:vertAlign w:val="superscript"/>
        </w:rPr>
        <w:t>14</w:t>
      </w:r>
      <w:r w:rsidRPr="00DC38AD">
        <w:rPr>
          <w:rFonts w:ascii="Lato" w:hAnsi="Lato" w:cs="Lato"/>
          <w:color w:val="20344B"/>
          <w:sz w:val="20"/>
          <w:szCs w:val="20"/>
        </w:rPr>
        <w:t xml:space="preserve"> </w:t>
      </w:r>
      <w:hyperlink r:id="rId33">
        <w:r w:rsidRPr="00DC38AD">
          <w:rPr>
            <w:rFonts w:ascii="Lato" w:hAnsi="Lato" w:cs="Lato"/>
            <w:color w:val="1155CC"/>
            <w:sz w:val="20"/>
            <w:szCs w:val="20"/>
            <w:u w:val="single"/>
          </w:rPr>
          <w:t>Georgia Tech University</w:t>
        </w:r>
      </w:hyperlink>
      <w:r w:rsidRPr="00DC38AD">
        <w:rPr>
          <w:rFonts w:ascii="Lato" w:hAnsi="Lato" w:cs="Lato"/>
          <w:color w:val="20344B"/>
          <w:sz w:val="20"/>
          <w:szCs w:val="20"/>
        </w:rPr>
        <w:t>,</w:t>
      </w:r>
      <w:r w:rsidRPr="00DC38AD">
        <w:rPr>
          <w:rFonts w:ascii="Lato" w:hAnsi="Lato" w:cs="Lato"/>
          <w:color w:val="20344B"/>
          <w:sz w:val="20"/>
          <w:szCs w:val="20"/>
          <w:vertAlign w:val="superscript"/>
        </w:rPr>
        <w:t xml:space="preserve">15 </w:t>
      </w:r>
      <w:hyperlink r:id="rId34">
        <w:r w:rsidRPr="00DC38AD">
          <w:rPr>
            <w:rFonts w:ascii="Lato" w:hAnsi="Lato" w:cs="Lato"/>
            <w:color w:val="1155CC"/>
            <w:sz w:val="20"/>
            <w:szCs w:val="20"/>
            <w:u w:val="single"/>
          </w:rPr>
          <w:t>University of Colorado</w:t>
        </w:r>
      </w:hyperlink>
      <w:r w:rsidRPr="00DC38AD">
        <w:rPr>
          <w:rFonts w:ascii="Lato" w:hAnsi="Lato" w:cs="Lato"/>
          <w:color w:val="20344B"/>
          <w:sz w:val="20"/>
          <w:szCs w:val="20"/>
        </w:rPr>
        <w:t>,</w:t>
      </w:r>
      <w:r w:rsidRPr="00DC38AD">
        <w:rPr>
          <w:rFonts w:ascii="Lato" w:hAnsi="Lato" w:cs="Lato"/>
          <w:color w:val="20344B"/>
          <w:sz w:val="20"/>
          <w:szCs w:val="20"/>
          <w:vertAlign w:val="superscript"/>
        </w:rPr>
        <w:t xml:space="preserve">16 </w:t>
      </w:r>
      <w:r w:rsidRPr="00DC38AD">
        <w:rPr>
          <w:rFonts w:ascii="Lato" w:hAnsi="Lato" w:cs="Lato"/>
          <w:color w:val="20344B"/>
          <w:sz w:val="20"/>
          <w:szCs w:val="20"/>
        </w:rPr>
        <w:t xml:space="preserve">and over 110 other academic institutions. Because it provides a clear framework around which institutions have built and tailored their own open access policies to fit the needs of their faculty, graduate students, and staff, the language used in </w:t>
      </w:r>
      <w:hyperlink r:id="rId35">
        <w:r w:rsidRPr="00DC38AD">
          <w:rPr>
            <w:rFonts w:ascii="Lato" w:hAnsi="Lato" w:cs="Lato"/>
            <w:color w:val="1155CC"/>
            <w:sz w:val="20"/>
            <w:szCs w:val="20"/>
            <w:u w:val="single"/>
          </w:rPr>
          <w:t>Harvard University’s Model Open Access</w:t>
        </w:r>
      </w:hyperlink>
      <w:hyperlink r:id="rId36">
        <w:r w:rsidRPr="00DC38AD">
          <w:rPr>
            <w:rFonts w:ascii="Lato" w:hAnsi="Lato" w:cs="Lato"/>
            <w:color w:val="1155CC"/>
            <w:sz w:val="20"/>
            <w:szCs w:val="20"/>
            <w:u w:val="single"/>
          </w:rPr>
          <w:t xml:space="preserve"> Policy</w:t>
        </w:r>
      </w:hyperlink>
      <w:r w:rsidRPr="00DC38AD">
        <w:rPr>
          <w:rFonts w:ascii="Lato" w:hAnsi="Lato" w:cs="Lato"/>
          <w:color w:val="20344B"/>
          <w:sz w:val="20"/>
          <w:szCs w:val="20"/>
          <w:vertAlign w:val="superscript"/>
        </w:rPr>
        <w:t>17</w:t>
      </w:r>
      <w:r w:rsidRPr="00DC38AD">
        <w:rPr>
          <w:rFonts w:ascii="Lato" w:hAnsi="Lato" w:cs="Lato"/>
          <w:sz w:val="20"/>
          <w:szCs w:val="20"/>
        </w:rPr>
        <w:t xml:space="preserve"> </w:t>
      </w:r>
      <w:r w:rsidRPr="00DC38AD">
        <w:rPr>
          <w:rFonts w:ascii="Lato" w:hAnsi="Lato" w:cs="Lato"/>
          <w:color w:val="20344B"/>
          <w:sz w:val="20"/>
          <w:szCs w:val="20"/>
        </w:rPr>
        <w:t>was found to be particularly helpful. The language in the Model Open Access Policy represents the accumulated experience of multiple institutions that have drafted and implemented open access policies.</w:t>
      </w:r>
    </w:p>
    <w:p w14:paraId="687B51F0" w14:textId="747AF55B" w:rsidR="00F614BC" w:rsidRPr="007E1463" w:rsidRDefault="00DC38AD">
      <w:pPr>
        <w:pStyle w:val="Heading2"/>
        <w:rPr>
          <w:rFonts w:ascii="League Spartan" w:hAnsi="League Spartan" w:cs="Lato"/>
          <w:b/>
          <w:bCs/>
          <w:color w:val="20344B"/>
          <w:spacing w:val="30"/>
          <w:sz w:val="36"/>
          <w:szCs w:val="36"/>
        </w:rPr>
      </w:pPr>
      <w:bookmarkStart w:id="10" w:name="_m1fpegny2ryz" w:colFirst="0" w:colLast="0"/>
      <w:bookmarkEnd w:id="10"/>
      <w:r w:rsidRPr="007E1463">
        <w:rPr>
          <w:rFonts w:ascii="League Spartan" w:hAnsi="League Spartan" w:cs="Lato"/>
          <w:b/>
          <w:bCs/>
          <w:color w:val="20344B"/>
          <w:spacing w:val="30"/>
          <w:sz w:val="36"/>
          <w:szCs w:val="36"/>
        </w:rPr>
        <w:t>CONSIDERATIONS UNDERTAKEN BY THE TASKFORCE</w:t>
      </w:r>
    </w:p>
    <w:p w14:paraId="5E035D7F" w14:textId="6B0316E2" w:rsidR="00F614BC" w:rsidRPr="007E1463" w:rsidRDefault="00DC38AD">
      <w:pPr>
        <w:pStyle w:val="Heading3"/>
        <w:rPr>
          <w:rFonts w:ascii="League Spartan" w:hAnsi="League Spartan" w:cs="Lato"/>
          <w:b/>
          <w:bCs/>
          <w:color w:val="20344B"/>
          <w:spacing w:val="30"/>
          <w:sz w:val="32"/>
          <w:szCs w:val="32"/>
        </w:rPr>
      </w:pPr>
      <w:bookmarkStart w:id="11" w:name="_n6wsrabq2ki" w:colFirst="0" w:colLast="0"/>
      <w:bookmarkEnd w:id="11"/>
      <w:r w:rsidRPr="007E1463">
        <w:rPr>
          <w:rFonts w:ascii="League Spartan" w:hAnsi="League Spartan" w:cs="Lato"/>
          <w:b/>
          <w:bCs/>
          <w:color w:val="20344B"/>
          <w:spacing w:val="30"/>
          <w:sz w:val="32"/>
          <w:szCs w:val="32"/>
        </w:rPr>
        <w:t>ECONOMICS OF PUBLISHING</w:t>
      </w:r>
    </w:p>
    <w:p w14:paraId="4226ADE6" w14:textId="77777777" w:rsidR="00F614BC" w:rsidRPr="007E1463" w:rsidRDefault="00854443">
      <w:pPr>
        <w:rPr>
          <w:rFonts w:ascii="Lato" w:hAnsi="Lato" w:cs="Lato"/>
          <w:sz w:val="20"/>
          <w:szCs w:val="20"/>
        </w:rPr>
      </w:pPr>
      <w:r w:rsidRPr="007E1463">
        <w:rPr>
          <w:rFonts w:ascii="Lato" w:hAnsi="Lato" w:cs="Lato"/>
          <w:color w:val="20344B"/>
          <w:sz w:val="20"/>
          <w:szCs w:val="20"/>
        </w:rPr>
        <w:t xml:space="preserve">The Association of Research Libraries provides data on North American research libraries’ expenditure trends. The </w:t>
      </w:r>
      <w:hyperlink r:id="rId37">
        <w:r w:rsidRPr="007E1463">
          <w:rPr>
            <w:rFonts w:ascii="Lato" w:hAnsi="Lato" w:cs="Lato"/>
            <w:color w:val="1155CC"/>
            <w:sz w:val="20"/>
            <w:szCs w:val="20"/>
            <w:u w:val="single"/>
          </w:rPr>
          <w:t xml:space="preserve">most recent </w:t>
        </w:r>
        <w:r w:rsidRPr="007E1463">
          <w:rPr>
            <w:rFonts w:ascii="Lato" w:hAnsi="Lato" w:cs="Lato"/>
            <w:color w:val="1155CC"/>
            <w:sz w:val="20"/>
            <w:szCs w:val="20"/>
            <w:u w:val="single"/>
          </w:rPr>
          <w:t>d</w:t>
        </w:r>
        <w:r w:rsidRPr="007E1463">
          <w:rPr>
            <w:rFonts w:ascii="Lato" w:hAnsi="Lato" w:cs="Lato"/>
            <w:color w:val="1155CC"/>
            <w:sz w:val="20"/>
            <w:szCs w:val="20"/>
            <w:u w:val="single"/>
          </w:rPr>
          <w:t>ata</w:t>
        </w:r>
      </w:hyperlink>
      <w:r w:rsidRPr="007E1463">
        <w:rPr>
          <w:rFonts w:ascii="Lato" w:hAnsi="Lato" w:cs="Lato"/>
          <w:color w:val="20344B"/>
          <w:sz w:val="20"/>
          <w:szCs w:val="20"/>
          <w:vertAlign w:val="superscript"/>
        </w:rPr>
        <w:t>18</w:t>
      </w:r>
      <w:r w:rsidRPr="007E1463">
        <w:rPr>
          <w:rFonts w:ascii="Lato" w:hAnsi="Lato" w:cs="Lato"/>
          <w:sz w:val="20"/>
          <w:szCs w:val="20"/>
        </w:rPr>
        <w:t xml:space="preserve"> </w:t>
      </w:r>
      <w:r w:rsidRPr="007E1463">
        <w:rPr>
          <w:rFonts w:ascii="Lato" w:hAnsi="Lato" w:cs="Lato"/>
          <w:color w:val="20344B"/>
          <w:sz w:val="20"/>
          <w:szCs w:val="20"/>
        </w:rPr>
        <w:t xml:space="preserve">indicate ongoing resource expenditures (journals, databases) have risen 166% from 1998-2018; while during the same period, the consumer price index has risen less than 55% (Figure 1). </w:t>
      </w:r>
    </w:p>
    <w:p w14:paraId="60EA2572" w14:textId="77777777" w:rsidR="00F614BC" w:rsidRDefault="00854443">
      <w:pPr>
        <w:jc w:val="center"/>
        <w:rPr>
          <w:sz w:val="20"/>
          <w:szCs w:val="20"/>
        </w:rPr>
      </w:pPr>
      <w:r>
        <w:rPr>
          <w:noProof/>
          <w:sz w:val="20"/>
          <w:szCs w:val="20"/>
        </w:rPr>
        <w:lastRenderedPageBreak/>
        <w:drawing>
          <wp:inline distT="114300" distB="114300" distL="114300" distR="114300" wp14:anchorId="395FBE39" wp14:editId="0B705BE2">
            <wp:extent cx="4624718" cy="3194050"/>
            <wp:effectExtent l="0" t="0" r="0" b="0"/>
            <wp:docPr id="7" name="image1.jpg" descr="Chart shows the percentage change since 1998 of books (+23%), operating expense (+30%), total expenditures (+68%), total materials (+123%), and periodicals (+166%). " title="Expenditure Trends in ARL University Libraries"/>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8"/>
                    <a:srcRect/>
                    <a:stretch>
                      <a:fillRect/>
                    </a:stretch>
                  </pic:blipFill>
                  <pic:spPr>
                    <a:xfrm>
                      <a:off x="0" y="0"/>
                      <a:ext cx="4624718" cy="3194050"/>
                    </a:xfrm>
                    <a:prstGeom prst="rect">
                      <a:avLst/>
                    </a:prstGeom>
                    <a:ln/>
                  </pic:spPr>
                </pic:pic>
              </a:graphicData>
            </a:graphic>
          </wp:inline>
        </w:drawing>
      </w:r>
    </w:p>
    <w:p w14:paraId="11AB7EE7" w14:textId="16CDCF14" w:rsidR="00F614BC" w:rsidRPr="009A41F2" w:rsidRDefault="00854443">
      <w:pPr>
        <w:jc w:val="center"/>
        <w:rPr>
          <w:rFonts w:ascii="Lato" w:hAnsi="Lato"/>
          <w:color w:val="20344B"/>
          <w:sz w:val="16"/>
          <w:szCs w:val="16"/>
        </w:rPr>
      </w:pPr>
      <w:r w:rsidRPr="009A41F2">
        <w:rPr>
          <w:rFonts w:ascii="Lato" w:hAnsi="Lato"/>
          <w:b/>
          <w:color w:val="20344B"/>
          <w:sz w:val="16"/>
          <w:szCs w:val="16"/>
        </w:rPr>
        <w:t>Figure 1.</w:t>
      </w:r>
      <w:r w:rsidRPr="009A41F2">
        <w:rPr>
          <w:rFonts w:ascii="Lato" w:hAnsi="Lato"/>
          <w:color w:val="20344B"/>
          <w:sz w:val="16"/>
          <w:szCs w:val="16"/>
        </w:rPr>
        <w:t xml:space="preserve"> </w:t>
      </w:r>
      <w:r w:rsidRPr="009A41F2">
        <w:rPr>
          <w:rFonts w:ascii="Lato" w:hAnsi="Lato"/>
          <w:b/>
          <w:color w:val="20344B"/>
          <w:sz w:val="16"/>
          <w:szCs w:val="16"/>
        </w:rPr>
        <w:t xml:space="preserve">University Libraries expenditure trends. </w:t>
      </w:r>
      <w:r w:rsidRPr="009A41F2">
        <w:rPr>
          <w:rFonts w:ascii="Lato" w:hAnsi="Lato"/>
          <w:color w:val="20344B"/>
          <w:sz w:val="16"/>
          <w:szCs w:val="16"/>
        </w:rPr>
        <w:t>Data from ARL Libraries, not adjusted for inflation.</w:t>
      </w:r>
      <w:r w:rsidR="006912D7">
        <w:rPr>
          <w:rFonts w:ascii="Lato" w:hAnsi="Lato"/>
          <w:color w:val="20344B"/>
          <w:sz w:val="16"/>
          <w:szCs w:val="16"/>
        </w:rPr>
        <w:t xml:space="preserve"> Image © Association of Research Libraries</w:t>
      </w:r>
    </w:p>
    <w:p w14:paraId="7B301A63" w14:textId="77777777" w:rsidR="00F614BC" w:rsidRDefault="00F614BC">
      <w:pPr>
        <w:rPr>
          <w:sz w:val="20"/>
          <w:szCs w:val="20"/>
        </w:rPr>
      </w:pPr>
    </w:p>
    <w:p w14:paraId="7F714A30" w14:textId="77777777" w:rsidR="00F614BC" w:rsidRPr="009A41F2" w:rsidRDefault="00854443">
      <w:pPr>
        <w:rPr>
          <w:rFonts w:ascii="Lato" w:hAnsi="Lato"/>
          <w:sz w:val="20"/>
          <w:szCs w:val="20"/>
        </w:rPr>
      </w:pPr>
      <w:r w:rsidRPr="009A41F2">
        <w:rPr>
          <w:rFonts w:ascii="Lato" w:hAnsi="Lato"/>
          <w:color w:val="20344B"/>
          <w:sz w:val="20"/>
          <w:szCs w:val="20"/>
        </w:rPr>
        <w:t xml:space="preserve">At OU, </w:t>
      </w:r>
      <w:hyperlink r:id="rId39">
        <w:r w:rsidRPr="009A41F2">
          <w:rPr>
            <w:rFonts w:ascii="Lato" w:hAnsi="Lato"/>
            <w:color w:val="1155CC"/>
            <w:sz w:val="20"/>
            <w:szCs w:val="20"/>
            <w:u w:val="single"/>
          </w:rPr>
          <w:t>ongoing resource expenditures</w:t>
        </w:r>
      </w:hyperlink>
      <w:r w:rsidRPr="009A41F2">
        <w:rPr>
          <w:rFonts w:ascii="Lato" w:hAnsi="Lato"/>
          <w:color w:val="20344B"/>
          <w:sz w:val="20"/>
          <w:szCs w:val="20"/>
          <w:vertAlign w:val="superscript"/>
        </w:rPr>
        <w:t xml:space="preserve">19 </w:t>
      </w:r>
      <w:r w:rsidRPr="009A41F2">
        <w:rPr>
          <w:rFonts w:ascii="Lato" w:hAnsi="Lato"/>
          <w:color w:val="20344B"/>
          <w:sz w:val="20"/>
          <w:szCs w:val="20"/>
        </w:rPr>
        <w:t>have gone from 76% of spending by format in FY10 to 93% in FY19. Although costs have risen across all disciplines, those within science, technology, engineering, and mathematics (STEM) have risen most steeply (Figure 2).</w:t>
      </w:r>
    </w:p>
    <w:p w14:paraId="383807F4" w14:textId="77777777" w:rsidR="00C41391" w:rsidRDefault="00C41391">
      <w:pPr>
        <w:rPr>
          <w:b/>
          <w:sz w:val="20"/>
          <w:szCs w:val="20"/>
        </w:rPr>
      </w:pPr>
    </w:p>
    <w:p w14:paraId="5895E080" w14:textId="77777777" w:rsidR="00F614BC" w:rsidRDefault="00854443">
      <w:pPr>
        <w:jc w:val="center"/>
        <w:rPr>
          <w:b/>
          <w:sz w:val="20"/>
          <w:szCs w:val="20"/>
        </w:rPr>
      </w:pPr>
      <w:r>
        <w:rPr>
          <w:b/>
          <w:noProof/>
          <w:sz w:val="20"/>
          <w:szCs w:val="20"/>
        </w:rPr>
        <w:drawing>
          <wp:inline distT="114300" distB="114300" distL="114300" distR="114300" wp14:anchorId="18B076E2" wp14:editId="6D033E8A">
            <wp:extent cx="3544089" cy="3591806"/>
            <wp:effectExtent l="0" t="0" r="0" b="2540"/>
            <wp:docPr id="5" name="image5.jpg" descr="Two graphs showing the changes in average price per title for periodicals and books between 2010 and 2020. Average price per title for periodicals in 2010 was $630, while in 2020 it was $1188. Average price per title for books in 2010 was $93.23, while in 2020 it was $80.03." title="OU Libraries expenditures"/>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0"/>
                    <a:srcRect/>
                    <a:stretch>
                      <a:fillRect/>
                    </a:stretch>
                  </pic:blipFill>
                  <pic:spPr>
                    <a:xfrm>
                      <a:off x="0" y="0"/>
                      <a:ext cx="3571933" cy="3620025"/>
                    </a:xfrm>
                    <a:prstGeom prst="rect">
                      <a:avLst/>
                    </a:prstGeom>
                    <a:ln/>
                  </pic:spPr>
                </pic:pic>
              </a:graphicData>
            </a:graphic>
          </wp:inline>
        </w:drawing>
      </w:r>
    </w:p>
    <w:p w14:paraId="08D26592" w14:textId="77777777" w:rsidR="00F614BC" w:rsidRDefault="00F614BC">
      <w:pPr>
        <w:rPr>
          <w:b/>
          <w:sz w:val="20"/>
          <w:szCs w:val="20"/>
        </w:rPr>
      </w:pPr>
    </w:p>
    <w:p w14:paraId="0A8F4811" w14:textId="77777777" w:rsidR="00F614BC" w:rsidRPr="006251A2" w:rsidRDefault="00854443" w:rsidP="00C41391">
      <w:pPr>
        <w:jc w:val="center"/>
        <w:rPr>
          <w:rFonts w:ascii="Lato" w:hAnsi="Lato"/>
          <w:color w:val="20344B"/>
          <w:sz w:val="16"/>
          <w:szCs w:val="16"/>
        </w:rPr>
      </w:pPr>
      <w:r w:rsidRPr="006251A2">
        <w:rPr>
          <w:rFonts w:ascii="Lato" w:hAnsi="Lato"/>
          <w:b/>
          <w:color w:val="20344B"/>
          <w:sz w:val="16"/>
          <w:szCs w:val="16"/>
        </w:rPr>
        <w:t>Figure 2. OU Libraries expenditures.</w:t>
      </w:r>
      <w:r w:rsidRPr="006251A2">
        <w:rPr>
          <w:rFonts w:ascii="Lato" w:hAnsi="Lato"/>
          <w:color w:val="20344B"/>
          <w:sz w:val="16"/>
          <w:szCs w:val="16"/>
        </w:rPr>
        <w:t xml:space="preserve"> Data were compiled from the ongoing OU Serials Project.</w:t>
      </w:r>
    </w:p>
    <w:p w14:paraId="35CC663B" w14:textId="77777777" w:rsidR="00F614BC" w:rsidRPr="007E1463" w:rsidRDefault="00854443">
      <w:pPr>
        <w:rPr>
          <w:rFonts w:ascii="Lato" w:hAnsi="Lato" w:cs="Lato"/>
          <w:color w:val="20344B"/>
          <w:sz w:val="20"/>
          <w:szCs w:val="20"/>
        </w:rPr>
      </w:pPr>
      <w:r w:rsidRPr="007E1463">
        <w:rPr>
          <w:rFonts w:ascii="Lato" w:hAnsi="Lato" w:cs="Lato"/>
          <w:color w:val="20344B"/>
          <w:sz w:val="20"/>
          <w:szCs w:val="20"/>
        </w:rPr>
        <w:lastRenderedPageBreak/>
        <w:t>Universities, libraries, faculty, and graduate students are all engaged in a unique publishing ecosystem. Faculty members and graduate students write, edit, and assess the content published in scholarly journals, for the most part with no direct financial benefit; publishers assemble, publish, and distribute that content. Universities employing the authors and editors of this content then buy it back through their own libraries at a considerable markup so that faculty and graduate students may have access to their own work. The publishers, some of which are among the most profitable companies in the world, have monetized scholarly output to their benefit and to the benefit of their shareholders with little regard for those providing the content. Essentially, the university pays for both generating publishable content and accessing this same content in what is rapidly becoming an unsustainable publication system.</w:t>
      </w:r>
      <w:r w:rsidRPr="007E1463">
        <w:rPr>
          <w:rFonts w:ascii="Lato" w:hAnsi="Lato" w:cs="Lato"/>
          <w:noProof/>
          <w:color w:val="20344B"/>
        </w:rPr>
        <w:drawing>
          <wp:anchor distT="114300" distB="114300" distL="114300" distR="114300" simplePos="0" relativeHeight="251658240" behindDoc="0" locked="0" layoutInCell="1" hidden="0" allowOverlap="1" wp14:anchorId="1B23F113" wp14:editId="22D0EA23">
            <wp:simplePos x="0" y="0"/>
            <wp:positionH relativeFrom="column">
              <wp:posOffset>3028950</wp:posOffset>
            </wp:positionH>
            <wp:positionV relativeFrom="paragraph">
              <wp:posOffset>1152525</wp:posOffset>
            </wp:positionV>
            <wp:extent cx="2914650" cy="2172544"/>
            <wp:effectExtent l="0" t="0" r="0" b="0"/>
            <wp:wrapSquare wrapText="bothSides" distT="114300" distB="114300" distL="114300" distR="114300"/>
            <wp:docPr id="3" name="image2.jpg" descr="Amazon 2% profit margin. BMW 9% profit margin. Google 11% profit margin. Apple 21% profit margin. Taylor &amp; Francis 31% profit margin. Elsevier 36% profit margin." title="Example profit margins for large businesses"/>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1"/>
                    <a:srcRect/>
                    <a:stretch>
                      <a:fillRect/>
                    </a:stretch>
                  </pic:blipFill>
                  <pic:spPr>
                    <a:xfrm>
                      <a:off x="0" y="0"/>
                      <a:ext cx="2914650" cy="2172544"/>
                    </a:xfrm>
                    <a:prstGeom prst="rect">
                      <a:avLst/>
                    </a:prstGeom>
                    <a:ln/>
                  </pic:spPr>
                </pic:pic>
              </a:graphicData>
            </a:graphic>
          </wp:anchor>
        </w:drawing>
      </w:r>
    </w:p>
    <w:p w14:paraId="7D7AA5CB" w14:textId="77777777" w:rsidR="00F614BC" w:rsidRPr="007E1463" w:rsidRDefault="00F614BC">
      <w:pPr>
        <w:rPr>
          <w:rFonts w:ascii="Lato" w:hAnsi="Lato" w:cs="Lato"/>
          <w:color w:val="20344B"/>
          <w:sz w:val="20"/>
          <w:szCs w:val="20"/>
        </w:rPr>
      </w:pPr>
    </w:p>
    <w:p w14:paraId="65375E12" w14:textId="55234893" w:rsidR="00F614BC" w:rsidRPr="007E1463" w:rsidRDefault="00854443">
      <w:pPr>
        <w:rPr>
          <w:rFonts w:ascii="Lato" w:hAnsi="Lato" w:cs="Lato"/>
          <w:sz w:val="20"/>
          <w:szCs w:val="20"/>
        </w:rPr>
      </w:pPr>
      <w:r w:rsidRPr="007E1463">
        <w:rPr>
          <w:rFonts w:ascii="Lato" w:hAnsi="Lato" w:cs="Lato"/>
          <w:color w:val="20344B"/>
          <w:sz w:val="20"/>
          <w:szCs w:val="20"/>
        </w:rPr>
        <w:t>Commercial publishers, who control a substantial portion of STEM publishing, and a growing portion of social sciences and humanities publishing, either directly or in partnership with scholarly societies, enjoy growing and substantial profit margins under this inequitable system (Figure 3)</w:t>
      </w:r>
      <w:r w:rsidRPr="007E1463">
        <w:rPr>
          <w:rFonts w:ascii="Lato" w:hAnsi="Lato" w:cs="Lato"/>
          <w:color w:val="20344B"/>
          <w:sz w:val="20"/>
          <w:szCs w:val="20"/>
          <w:vertAlign w:val="superscript"/>
        </w:rPr>
        <w:t>20</w:t>
      </w:r>
      <w:r w:rsidRPr="007E1463">
        <w:rPr>
          <w:rFonts w:ascii="Lato" w:hAnsi="Lato" w:cs="Lato"/>
          <w:color w:val="20344B"/>
          <w:sz w:val="20"/>
          <w:szCs w:val="20"/>
        </w:rPr>
        <w:t xml:space="preserve">. A 2018 </w:t>
      </w:r>
      <w:hyperlink r:id="rId42">
        <w:r w:rsidRPr="007E1463">
          <w:rPr>
            <w:rFonts w:ascii="Lato" w:hAnsi="Lato" w:cs="Lato"/>
            <w:color w:val="1155CC"/>
            <w:sz w:val="20"/>
            <w:szCs w:val="20"/>
            <w:u w:val="single"/>
          </w:rPr>
          <w:t>presentation from the University of Virginia Library</w:t>
        </w:r>
      </w:hyperlink>
      <w:r w:rsidRPr="007E1463">
        <w:rPr>
          <w:rFonts w:ascii="Lato" w:hAnsi="Lato" w:cs="Lato"/>
          <w:color w:val="20344B"/>
          <w:sz w:val="20"/>
          <w:szCs w:val="20"/>
          <w:vertAlign w:val="superscript"/>
        </w:rPr>
        <w:t>21</w:t>
      </w:r>
      <w:r w:rsidRPr="007E1463">
        <w:rPr>
          <w:rFonts w:ascii="Lato" w:hAnsi="Lato" w:cs="Lato"/>
          <w:sz w:val="20"/>
          <w:szCs w:val="20"/>
        </w:rPr>
        <w:t xml:space="preserve"> </w:t>
      </w:r>
      <w:r w:rsidRPr="007E1463">
        <w:rPr>
          <w:rFonts w:ascii="Lato" w:hAnsi="Lato" w:cs="Lato"/>
          <w:color w:val="20344B"/>
          <w:sz w:val="20"/>
          <w:szCs w:val="20"/>
        </w:rPr>
        <w:t>put commercial publisher profits in line with those of tech companies, banks, and pharmaceutical firms.</w:t>
      </w:r>
      <w:r w:rsidRPr="007E1463">
        <w:rPr>
          <w:rFonts w:ascii="Lato" w:hAnsi="Lato" w:cs="Lato"/>
          <w:noProof/>
        </w:rPr>
        <mc:AlternateContent>
          <mc:Choice Requires="wps">
            <w:drawing>
              <wp:anchor distT="57150" distB="57150" distL="57150" distR="57150" simplePos="0" relativeHeight="251659264" behindDoc="0" locked="0" layoutInCell="1" hidden="0" allowOverlap="1" wp14:anchorId="6740DDCD" wp14:editId="3E89FFBA">
                <wp:simplePos x="0" y="0"/>
                <wp:positionH relativeFrom="column">
                  <wp:posOffset>3026664</wp:posOffset>
                </wp:positionH>
                <wp:positionV relativeFrom="paragraph">
                  <wp:posOffset>923925</wp:posOffset>
                </wp:positionV>
                <wp:extent cx="3260725" cy="519272"/>
                <wp:effectExtent l="0" t="0" r="0" b="0"/>
                <wp:wrapSquare wrapText="bothSides" distT="57150" distB="57150" distL="57150" distR="57150"/>
                <wp:docPr id="2" name="Text Box 2"/>
                <wp:cNvGraphicFramePr/>
                <a:graphic xmlns:a="http://schemas.openxmlformats.org/drawingml/2006/main">
                  <a:graphicData uri="http://schemas.microsoft.com/office/word/2010/wordprocessingShape">
                    <wps:wsp>
                      <wps:cNvSpPr txBox="1"/>
                      <wps:spPr>
                        <a:xfrm>
                          <a:off x="1376925" y="863000"/>
                          <a:ext cx="4052400" cy="632400"/>
                        </a:xfrm>
                        <a:prstGeom prst="rect">
                          <a:avLst/>
                        </a:prstGeom>
                        <a:noFill/>
                        <a:ln>
                          <a:noFill/>
                        </a:ln>
                      </wps:spPr>
                      <wps:txbx>
                        <w:txbxContent>
                          <w:p w14:paraId="596327D6" w14:textId="77777777" w:rsidR="00B24445" w:rsidRPr="00164992" w:rsidRDefault="00B24445">
                            <w:pPr>
                              <w:spacing w:line="240" w:lineRule="auto"/>
                              <w:textDirection w:val="btLr"/>
                              <w:rPr>
                                <w:rFonts w:ascii="Lato" w:hAnsi="Lato" w:cs="Lato"/>
                                <w:color w:val="20344B"/>
                              </w:rPr>
                            </w:pPr>
                            <w:r w:rsidRPr="00164992">
                              <w:rPr>
                                <w:rFonts w:ascii="Lato" w:hAnsi="Lato" w:cs="Lato"/>
                                <w:b/>
                                <w:color w:val="20344B"/>
                                <w:sz w:val="16"/>
                              </w:rPr>
                              <w:t>Figure 3. Example profit margins for large businesses.</w:t>
                            </w:r>
                          </w:p>
                        </w:txbxContent>
                      </wps:txbx>
                      <wps:bodyPr spcFirstLastPara="1" wrap="square" lIns="91425" tIns="91425" rIns="91425" bIns="91425" anchor="t" anchorCtr="0">
                        <a:noAutofit/>
                      </wps:bodyPr>
                    </wps:wsp>
                  </a:graphicData>
                </a:graphic>
              </wp:anchor>
            </w:drawing>
          </mc:Choice>
          <mc:Fallback>
            <w:pict>
              <v:shape w14:anchorId="6740DDCD" id="_x0000_s1028" type="#_x0000_t202" style="position:absolute;margin-left:238.3pt;margin-top:72.75pt;width:256.75pt;height:40.9pt;z-index:251659264;visibility:visible;mso-wrap-style:square;mso-wrap-distance-left:4.5pt;mso-wrap-distance-top:4.5pt;mso-wrap-distance-right:4.5pt;mso-wrap-distance-bottom:4.5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" filled="f" stroked="f">
                <v:textbox inset="2.53958mm,2.53958mm,2.53958mm,2.53958mm">
                  <w:txbxContent>
                    <w:p w14:paraId="596327D6" w14:textId="77777777" w:rsidR="00B24445" w:rsidRPr="00164992" w:rsidRDefault="00B24445">
                      <w:pPr>
                        <w:spacing w:line="240" w:lineRule="auto"/>
                        <w:textDirection w:val="btLr"/>
                        <w:rPr>
                          <w:rFonts w:ascii="Lato" w:hAnsi="Lato" w:cs="Lato"/>
                          <w:color w:val="20344B"/>
                        </w:rPr>
                      </w:pPr>
                      <w:r w:rsidRPr="00164992">
                        <w:rPr>
                          <w:rFonts w:ascii="Lato" w:hAnsi="Lato" w:cs="Lato"/>
                          <w:b/>
                          <w:color w:val="20344B"/>
                          <w:sz w:val="16"/>
                        </w:rPr>
                        <w:t>Figure 3. Example profit margins for large businesses.</w:t>
                      </w:r>
                    </w:p>
                  </w:txbxContent>
                </v:textbox>
                <w10:wrap type="square"/>
              </v:shape>
            </w:pict>
          </mc:Fallback>
        </mc:AlternateContent>
      </w:r>
    </w:p>
    <w:p w14:paraId="1820C629" w14:textId="77777777" w:rsidR="00F614BC" w:rsidRPr="007E1463" w:rsidRDefault="00F614BC">
      <w:pPr>
        <w:rPr>
          <w:rFonts w:ascii="Lato" w:hAnsi="Lato" w:cs="Lato"/>
          <w:sz w:val="20"/>
          <w:szCs w:val="20"/>
        </w:rPr>
      </w:pPr>
    </w:p>
    <w:p w14:paraId="3C5EE2C5" w14:textId="77777777" w:rsidR="00F614BC" w:rsidRPr="007E1463" w:rsidRDefault="00854443">
      <w:pPr>
        <w:rPr>
          <w:rFonts w:ascii="Lato" w:hAnsi="Lato" w:cs="Lato"/>
          <w:sz w:val="20"/>
          <w:szCs w:val="20"/>
          <w:highlight w:val="white"/>
        </w:rPr>
      </w:pPr>
      <w:r w:rsidRPr="007E1463">
        <w:rPr>
          <w:rFonts w:ascii="Lato" w:hAnsi="Lato" w:cs="Lato"/>
          <w:color w:val="20344B"/>
          <w:sz w:val="20"/>
          <w:szCs w:val="20"/>
        </w:rPr>
        <w:t xml:space="preserve">By way of contrast, according to the </w:t>
      </w:r>
      <w:hyperlink r:id="rId43">
        <w:r w:rsidRPr="007E1463">
          <w:rPr>
            <w:rFonts w:ascii="Lato" w:hAnsi="Lato" w:cs="Lato"/>
            <w:color w:val="1155CC"/>
            <w:sz w:val="20"/>
            <w:szCs w:val="20"/>
            <w:u w:val="single"/>
          </w:rPr>
          <w:t>NYU Stern database</w:t>
        </w:r>
      </w:hyperlink>
      <w:r w:rsidRPr="007E1463">
        <w:rPr>
          <w:rFonts w:ascii="Lato" w:hAnsi="Lato" w:cs="Lato"/>
          <w:color w:val="20344B"/>
          <w:sz w:val="20"/>
          <w:szCs w:val="20"/>
          <w:vertAlign w:val="superscript"/>
        </w:rPr>
        <w:t>22</w:t>
      </w:r>
      <w:r w:rsidRPr="007E1463">
        <w:rPr>
          <w:rFonts w:ascii="Lato" w:hAnsi="Lato" w:cs="Lato"/>
          <w:color w:val="20344B"/>
          <w:sz w:val="20"/>
          <w:szCs w:val="20"/>
        </w:rPr>
        <w:t xml:space="preserve"> of more than 7,000 US companies, the average profit margin across all firms in 2019 was 7.9%.</w:t>
      </w:r>
    </w:p>
    <w:p w14:paraId="1F2E6B2C" w14:textId="77777777" w:rsidR="00F614BC" w:rsidRPr="007E1463" w:rsidRDefault="00F614BC">
      <w:pPr>
        <w:rPr>
          <w:rFonts w:ascii="Lato" w:hAnsi="Lato" w:cs="Lato"/>
          <w:sz w:val="20"/>
          <w:szCs w:val="20"/>
          <w:highlight w:val="white"/>
        </w:rPr>
      </w:pPr>
    </w:p>
    <w:p w14:paraId="52D23506" w14:textId="77777777" w:rsidR="00F614BC" w:rsidRPr="007E1463" w:rsidRDefault="00854443">
      <w:pPr>
        <w:rPr>
          <w:rFonts w:ascii="Lato" w:hAnsi="Lato" w:cs="Lato"/>
          <w:color w:val="20344B"/>
          <w:sz w:val="20"/>
          <w:szCs w:val="20"/>
        </w:rPr>
      </w:pPr>
      <w:r w:rsidRPr="007E1463">
        <w:rPr>
          <w:rFonts w:ascii="Lato" w:hAnsi="Lato" w:cs="Lato"/>
          <w:color w:val="20344B"/>
          <w:sz w:val="20"/>
          <w:szCs w:val="20"/>
        </w:rPr>
        <w:t>Using Elsevier as an example, even after withdrawing from a comprehensive access agreement with the publisher in 2019, Elsevier accounts for 25% of OU Libraries’ ongoing resource expenditures. This ongoing resource cost escalation is exacerbated by the fact that the University Libraries has, over the past decade, experienced flat or declining budgets, including a university-mandated permanent budget reduction in FY19 and FY20 of over one million dollars. Although additional monies could address this deficit in the short term, over the long term these increases, as demonstrated by ARL research libraries expenditure trends, cannot be managed or sustained with current funding trajectories alone.</w:t>
      </w:r>
    </w:p>
    <w:p w14:paraId="6549104D" w14:textId="77777777" w:rsidR="00F614BC" w:rsidRPr="007E1463" w:rsidRDefault="00F614BC">
      <w:pPr>
        <w:rPr>
          <w:rFonts w:ascii="Lato" w:hAnsi="Lato" w:cs="Lato"/>
          <w:color w:val="20344B"/>
          <w:sz w:val="20"/>
          <w:szCs w:val="20"/>
        </w:rPr>
      </w:pPr>
    </w:p>
    <w:p w14:paraId="3F03541B" w14:textId="77777777" w:rsidR="00F614BC" w:rsidRPr="007E1463" w:rsidRDefault="00854443">
      <w:pPr>
        <w:rPr>
          <w:rFonts w:ascii="Lato" w:hAnsi="Lato" w:cs="Lato"/>
          <w:color w:val="20344B"/>
        </w:rPr>
      </w:pPr>
      <w:r w:rsidRPr="007E1463">
        <w:rPr>
          <w:rFonts w:ascii="Lato" w:hAnsi="Lato" w:cs="Lato"/>
          <w:color w:val="20344B"/>
          <w:sz w:val="20"/>
          <w:szCs w:val="20"/>
        </w:rPr>
        <w:t>Given that libraries cannot continue to endure such escalating costs, one obvious solution would be to cancel ongoing resource commitments, both journals and databases. However, this would fail to address the underlying problem: The scholarly content created and assessed by scholars is being provided to publishers who then place it behind a paywall, which, by its very nature, limits access to only a subset of potential users.</w:t>
      </w:r>
    </w:p>
    <w:p w14:paraId="7DBE6C7E" w14:textId="77777777" w:rsidR="00F614BC" w:rsidRPr="000C0A62" w:rsidRDefault="00854443">
      <w:pPr>
        <w:pStyle w:val="Heading4"/>
        <w:rPr>
          <w:rFonts w:ascii="Lato" w:hAnsi="Lato" w:cs="Lato"/>
          <w:color w:val="737373"/>
        </w:rPr>
      </w:pPr>
      <w:bookmarkStart w:id="12" w:name="_6eujy4rvczeb" w:colFirst="0" w:colLast="0"/>
      <w:bookmarkEnd w:id="12"/>
      <w:r w:rsidRPr="000C0A62">
        <w:rPr>
          <w:rFonts w:ascii="Lato" w:hAnsi="Lato" w:cs="Lato"/>
          <w:color w:val="737373"/>
        </w:rPr>
        <w:t>An Open Access Solution</w:t>
      </w:r>
    </w:p>
    <w:p w14:paraId="0D551211" w14:textId="77777777" w:rsidR="00F614BC" w:rsidRPr="000C0A62" w:rsidRDefault="00854443">
      <w:pPr>
        <w:rPr>
          <w:rFonts w:ascii="Lato" w:hAnsi="Lato" w:cs="Lato"/>
          <w:color w:val="20344B"/>
          <w:sz w:val="20"/>
          <w:szCs w:val="20"/>
        </w:rPr>
      </w:pPr>
      <w:r w:rsidRPr="000C0A62">
        <w:rPr>
          <w:rFonts w:ascii="Lato" w:hAnsi="Lato" w:cs="Lato"/>
          <w:color w:val="20344B"/>
          <w:sz w:val="20"/>
          <w:szCs w:val="20"/>
        </w:rPr>
        <w:t xml:space="preserve">Open Access is the </w:t>
      </w:r>
      <w:hyperlink r:id="rId44">
        <w:r w:rsidRPr="000C0A62">
          <w:rPr>
            <w:rFonts w:ascii="Lato" w:hAnsi="Lato" w:cs="Lato"/>
            <w:color w:val="1155CC"/>
            <w:sz w:val="20"/>
            <w:szCs w:val="20"/>
            <w:u w:val="single"/>
          </w:rPr>
          <w:t>free, immediate, online availability of research articles</w:t>
        </w:r>
      </w:hyperlink>
      <w:r w:rsidRPr="000C0A62">
        <w:rPr>
          <w:rFonts w:ascii="Lato" w:hAnsi="Lato" w:cs="Lato"/>
          <w:color w:val="20344B"/>
          <w:sz w:val="20"/>
          <w:szCs w:val="20"/>
          <w:vertAlign w:val="superscript"/>
        </w:rPr>
        <w:t>23</w:t>
      </w:r>
      <w:r w:rsidRPr="000C0A62">
        <w:rPr>
          <w:rFonts w:ascii="Lato" w:hAnsi="Lato" w:cs="Lato"/>
          <w:sz w:val="20"/>
          <w:szCs w:val="20"/>
        </w:rPr>
        <w:t xml:space="preserve"> </w:t>
      </w:r>
      <w:r w:rsidRPr="000C0A62">
        <w:rPr>
          <w:rFonts w:ascii="Lato" w:hAnsi="Lato" w:cs="Lato"/>
          <w:color w:val="20344B"/>
          <w:sz w:val="20"/>
          <w:szCs w:val="20"/>
        </w:rPr>
        <w:t xml:space="preserve">coupled with the rights to use those articles fully in a digital environment. Communicating the results of scholarly research and creative activity is essential to the research process; research can only be advanced by the sharing of its results, and the greatest value will be found through the widest sharing of those results. Over the past decade, open access has become central to advancing the interests of researchers, scholars, students, businesses, and the public. Increasingly, </w:t>
      </w:r>
      <w:r w:rsidRPr="000C0A62">
        <w:rPr>
          <w:rFonts w:ascii="Lato" w:hAnsi="Lato" w:cs="Lato"/>
          <w:color w:val="20344B"/>
          <w:sz w:val="20"/>
          <w:szCs w:val="20"/>
        </w:rPr>
        <w:lastRenderedPageBreak/>
        <w:t>faculty members at institutions that support research are implementing policies that require researchers to make articles openly accessible to and fully usable by the public. Numerous studies have shown how making scholarly work openly available has many significant advantages, including:</w:t>
      </w:r>
    </w:p>
    <w:p w14:paraId="13A2C60F" w14:textId="77777777" w:rsidR="00F614BC" w:rsidRPr="000C0A62" w:rsidRDefault="00F614BC">
      <w:pPr>
        <w:rPr>
          <w:rFonts w:ascii="Lato" w:hAnsi="Lato" w:cs="Lato"/>
          <w:color w:val="20344B"/>
        </w:rPr>
      </w:pPr>
    </w:p>
    <w:p w14:paraId="6694E38C" w14:textId="022FB62E" w:rsidR="00F614BC" w:rsidRPr="000C0A62" w:rsidRDefault="00854443">
      <w:pPr>
        <w:numPr>
          <w:ilvl w:val="0"/>
          <w:numId w:val="10"/>
        </w:numPr>
        <w:spacing w:after="200"/>
        <w:rPr>
          <w:rFonts w:ascii="Lato" w:hAnsi="Lato" w:cs="Lato"/>
          <w:color w:val="20344B"/>
          <w:sz w:val="20"/>
          <w:szCs w:val="20"/>
        </w:rPr>
      </w:pPr>
      <w:r w:rsidRPr="000C0A62">
        <w:rPr>
          <w:rFonts w:ascii="Lato" w:hAnsi="Lato" w:cs="Lato"/>
          <w:color w:val="20344B"/>
          <w:sz w:val="20"/>
          <w:szCs w:val="20"/>
        </w:rPr>
        <w:t>Open access journals garner more citations</w:t>
      </w:r>
      <w:hyperlink r:id="rId45">
        <w:r w:rsidRPr="000C0A62">
          <w:rPr>
            <w:rFonts w:ascii="Lato" w:hAnsi="Lato" w:cs="Lato"/>
            <w:color w:val="1155CC"/>
            <w:sz w:val="20"/>
            <w:szCs w:val="20"/>
            <w:u w:val="single"/>
            <w:vertAlign w:val="superscript"/>
          </w:rPr>
          <w:t>24</w:t>
        </w:r>
      </w:hyperlink>
      <w:r w:rsidRPr="000C0A62">
        <w:rPr>
          <w:rFonts w:ascii="Lato" w:hAnsi="Lato" w:cs="Lato"/>
          <w:sz w:val="20"/>
          <w:szCs w:val="20"/>
          <w:vertAlign w:val="superscript"/>
        </w:rPr>
        <w:t>,</w:t>
      </w:r>
      <w:hyperlink r:id="rId46">
        <w:r w:rsidRPr="000C0A62">
          <w:rPr>
            <w:rFonts w:ascii="Lato" w:hAnsi="Lato" w:cs="Lato"/>
            <w:color w:val="1155CC"/>
            <w:sz w:val="20"/>
            <w:szCs w:val="20"/>
            <w:u w:val="single"/>
            <w:vertAlign w:val="superscript"/>
          </w:rPr>
          <w:t>25</w:t>
        </w:r>
      </w:hyperlink>
      <w:r w:rsidRPr="000C0A62">
        <w:rPr>
          <w:rFonts w:ascii="Lato" w:hAnsi="Lato" w:cs="Lato"/>
          <w:sz w:val="20"/>
          <w:szCs w:val="20"/>
          <w:vertAlign w:val="superscript"/>
        </w:rPr>
        <w:t>,</w:t>
      </w:r>
      <w:hyperlink r:id="rId47">
        <w:r w:rsidRPr="000C0A62">
          <w:rPr>
            <w:rFonts w:ascii="Lato" w:hAnsi="Lato" w:cs="Lato"/>
            <w:color w:val="1155CC"/>
            <w:sz w:val="20"/>
            <w:szCs w:val="20"/>
            <w:u w:val="single"/>
            <w:vertAlign w:val="superscript"/>
          </w:rPr>
          <w:t>26</w:t>
        </w:r>
      </w:hyperlink>
      <w:r w:rsidRPr="000C0A62">
        <w:rPr>
          <w:rFonts w:ascii="Lato" w:hAnsi="Lato" w:cs="Lato"/>
          <w:sz w:val="20"/>
          <w:szCs w:val="20"/>
          <w:vertAlign w:val="superscript"/>
        </w:rPr>
        <w:t>,</w:t>
      </w:r>
      <w:hyperlink r:id="rId48">
        <w:r w:rsidRPr="000C0A62">
          <w:rPr>
            <w:rFonts w:ascii="Lato" w:hAnsi="Lato" w:cs="Lato"/>
            <w:color w:val="1155CC"/>
            <w:sz w:val="20"/>
            <w:szCs w:val="20"/>
            <w:u w:val="single"/>
            <w:vertAlign w:val="superscript"/>
          </w:rPr>
          <w:t>27</w:t>
        </w:r>
      </w:hyperlink>
      <w:r w:rsidRPr="000C0A62">
        <w:rPr>
          <w:rFonts w:ascii="Lato" w:hAnsi="Lato" w:cs="Lato"/>
          <w:sz w:val="20"/>
          <w:szCs w:val="20"/>
          <w:vertAlign w:val="superscript"/>
        </w:rPr>
        <w:t>,</w:t>
      </w:r>
      <w:hyperlink r:id="rId49">
        <w:r w:rsidRPr="000C0A62">
          <w:rPr>
            <w:rFonts w:ascii="Lato" w:hAnsi="Lato" w:cs="Lato"/>
            <w:color w:val="1155CC"/>
            <w:sz w:val="20"/>
            <w:szCs w:val="20"/>
            <w:u w:val="single"/>
            <w:vertAlign w:val="superscript"/>
          </w:rPr>
          <w:t>28</w:t>
        </w:r>
      </w:hyperlink>
      <w:r w:rsidRPr="000C0A62">
        <w:rPr>
          <w:rFonts w:ascii="Lato" w:hAnsi="Lato" w:cs="Lato"/>
          <w:sz w:val="20"/>
          <w:szCs w:val="20"/>
        </w:rPr>
        <w:t xml:space="preserve"> </w:t>
      </w:r>
      <w:r w:rsidRPr="000C0A62">
        <w:rPr>
          <w:rFonts w:ascii="Lato" w:hAnsi="Lato" w:cs="Lato"/>
          <w:color w:val="20344B"/>
          <w:sz w:val="20"/>
          <w:szCs w:val="20"/>
        </w:rPr>
        <w:t>relative to those held behind a paywall.</w:t>
      </w:r>
    </w:p>
    <w:p w14:paraId="78EA513D" w14:textId="77777777" w:rsidR="00F614BC" w:rsidRPr="000C0A62" w:rsidRDefault="00854443">
      <w:pPr>
        <w:numPr>
          <w:ilvl w:val="0"/>
          <w:numId w:val="10"/>
        </w:numPr>
        <w:spacing w:after="200"/>
        <w:rPr>
          <w:rFonts w:ascii="Lato" w:hAnsi="Lato" w:cs="Lato"/>
          <w:sz w:val="20"/>
          <w:szCs w:val="20"/>
        </w:rPr>
      </w:pPr>
      <w:r w:rsidRPr="000C0A62">
        <w:rPr>
          <w:rFonts w:ascii="Lato" w:hAnsi="Lato" w:cs="Lato"/>
          <w:color w:val="20344B"/>
          <w:sz w:val="20"/>
          <w:szCs w:val="20"/>
        </w:rPr>
        <w:t>Open access articles serve more readers: Full text downloads are 89% higher; pdf downloads are 42% higher; and unique visitors are 23% greater for open access relative to subscription access articles.</w:t>
      </w:r>
      <w:hyperlink r:id="rId50">
        <w:r w:rsidRPr="000C0A62">
          <w:rPr>
            <w:rFonts w:ascii="Lato" w:hAnsi="Lato" w:cs="Lato"/>
            <w:color w:val="1155CC"/>
            <w:sz w:val="20"/>
            <w:szCs w:val="20"/>
            <w:u w:val="single"/>
            <w:vertAlign w:val="superscript"/>
          </w:rPr>
          <w:t>29</w:t>
        </w:r>
      </w:hyperlink>
      <w:r w:rsidRPr="000C0A62">
        <w:rPr>
          <w:rFonts w:ascii="Lato" w:hAnsi="Lato" w:cs="Lato"/>
          <w:sz w:val="20"/>
          <w:szCs w:val="20"/>
          <w:vertAlign w:val="superscript"/>
        </w:rPr>
        <w:t>,</w:t>
      </w:r>
      <w:hyperlink r:id="rId51">
        <w:r w:rsidRPr="000C0A62">
          <w:rPr>
            <w:rFonts w:ascii="Lato" w:hAnsi="Lato" w:cs="Lato"/>
            <w:color w:val="1155CC"/>
            <w:sz w:val="20"/>
            <w:szCs w:val="20"/>
            <w:u w:val="single"/>
            <w:vertAlign w:val="superscript"/>
          </w:rPr>
          <w:t>30</w:t>
        </w:r>
      </w:hyperlink>
      <w:r w:rsidRPr="000C0A62">
        <w:rPr>
          <w:rFonts w:ascii="Lato" w:hAnsi="Lato" w:cs="Lato"/>
          <w:sz w:val="20"/>
          <w:szCs w:val="20"/>
          <w:vertAlign w:val="superscript"/>
        </w:rPr>
        <w:t>,</w:t>
      </w:r>
      <w:hyperlink r:id="rId52">
        <w:r w:rsidRPr="000C0A62">
          <w:rPr>
            <w:rFonts w:ascii="Lato" w:hAnsi="Lato" w:cs="Lato"/>
            <w:color w:val="1155CC"/>
            <w:sz w:val="20"/>
            <w:szCs w:val="20"/>
            <w:u w:val="single"/>
            <w:vertAlign w:val="superscript"/>
          </w:rPr>
          <w:t>31</w:t>
        </w:r>
      </w:hyperlink>
      <w:r w:rsidRPr="000C0A62">
        <w:rPr>
          <w:rFonts w:ascii="Lato" w:hAnsi="Lato" w:cs="Lato"/>
          <w:sz w:val="20"/>
          <w:szCs w:val="20"/>
          <w:vertAlign w:val="superscript"/>
        </w:rPr>
        <w:t>,</w:t>
      </w:r>
      <w:hyperlink r:id="rId53">
        <w:r w:rsidRPr="000C0A62">
          <w:rPr>
            <w:rFonts w:ascii="Lato" w:hAnsi="Lato" w:cs="Lato"/>
            <w:color w:val="1155CC"/>
            <w:sz w:val="20"/>
            <w:szCs w:val="20"/>
            <w:u w:val="single"/>
            <w:vertAlign w:val="superscript"/>
          </w:rPr>
          <w:t>32</w:t>
        </w:r>
      </w:hyperlink>
    </w:p>
    <w:p w14:paraId="503B9A21" w14:textId="77777777" w:rsidR="00F614BC" w:rsidRPr="000C0A62" w:rsidRDefault="00854443">
      <w:pPr>
        <w:numPr>
          <w:ilvl w:val="0"/>
          <w:numId w:val="10"/>
        </w:numPr>
        <w:spacing w:after="200"/>
        <w:rPr>
          <w:rFonts w:ascii="Lato" w:hAnsi="Lato" w:cs="Lato"/>
          <w:color w:val="20344B"/>
          <w:sz w:val="20"/>
          <w:szCs w:val="20"/>
        </w:rPr>
      </w:pPr>
      <w:r w:rsidRPr="000C0A62">
        <w:rPr>
          <w:rFonts w:ascii="Lato" w:hAnsi="Lato" w:cs="Lato"/>
          <w:color w:val="20344B"/>
          <w:sz w:val="20"/>
          <w:szCs w:val="20"/>
        </w:rPr>
        <w:t xml:space="preserve">Open access articles </w:t>
      </w:r>
      <w:hyperlink r:id="rId54">
        <w:r w:rsidRPr="000C0A62">
          <w:rPr>
            <w:rFonts w:ascii="Lato" w:hAnsi="Lato" w:cs="Lato"/>
            <w:color w:val="1155CC"/>
            <w:sz w:val="20"/>
            <w:szCs w:val="20"/>
            <w:u w:val="single"/>
          </w:rPr>
          <w:t>receive more academic social media</w:t>
        </w:r>
      </w:hyperlink>
      <w:r w:rsidRPr="000C0A62">
        <w:rPr>
          <w:rFonts w:ascii="Lato" w:hAnsi="Lato" w:cs="Lato"/>
          <w:color w:val="20344B"/>
          <w:sz w:val="20"/>
          <w:szCs w:val="20"/>
          <w:vertAlign w:val="superscript"/>
        </w:rPr>
        <w:t>33</w:t>
      </w:r>
      <w:r w:rsidRPr="000C0A62">
        <w:rPr>
          <w:rFonts w:ascii="Lato" w:hAnsi="Lato" w:cs="Lato"/>
          <w:color w:val="20344B"/>
          <w:sz w:val="20"/>
          <w:szCs w:val="20"/>
        </w:rPr>
        <w:t xml:space="preserve"> attention than those in subscription journals behind a paywall.</w:t>
      </w:r>
    </w:p>
    <w:p w14:paraId="1994BF54" w14:textId="77777777" w:rsidR="00F614BC" w:rsidRPr="000C0A62" w:rsidRDefault="00854443">
      <w:pPr>
        <w:numPr>
          <w:ilvl w:val="0"/>
          <w:numId w:val="10"/>
        </w:numPr>
        <w:spacing w:after="200"/>
        <w:rPr>
          <w:rFonts w:ascii="Lato" w:hAnsi="Lato" w:cs="Lato"/>
          <w:color w:val="20344B"/>
          <w:sz w:val="20"/>
          <w:szCs w:val="20"/>
        </w:rPr>
      </w:pPr>
      <w:r w:rsidRPr="000C0A62">
        <w:rPr>
          <w:rFonts w:ascii="Lato" w:hAnsi="Lato" w:cs="Lato"/>
          <w:color w:val="20344B"/>
          <w:sz w:val="20"/>
          <w:szCs w:val="20"/>
        </w:rPr>
        <w:t>Openly available works provide more access for those who need it – scholars from smaller institutions or low and middle-income countries, patients and patient advocates, policy makers, and businesses relying on the latest findings to remain competitive.</w:t>
      </w:r>
    </w:p>
    <w:p w14:paraId="7A7CBD19" w14:textId="77777777" w:rsidR="00F614BC" w:rsidRPr="000C0A62" w:rsidRDefault="00854443">
      <w:pPr>
        <w:numPr>
          <w:ilvl w:val="0"/>
          <w:numId w:val="10"/>
        </w:numPr>
        <w:rPr>
          <w:rFonts w:ascii="Lato" w:hAnsi="Lato" w:cs="Lato"/>
          <w:sz w:val="20"/>
          <w:szCs w:val="20"/>
        </w:rPr>
      </w:pPr>
      <w:r w:rsidRPr="000C0A62">
        <w:rPr>
          <w:rFonts w:ascii="Lato" w:hAnsi="Lato" w:cs="Lato"/>
          <w:color w:val="20344B"/>
          <w:sz w:val="20"/>
          <w:szCs w:val="20"/>
        </w:rPr>
        <w:t xml:space="preserve">Open access also </w:t>
      </w:r>
      <w:hyperlink r:id="rId55">
        <w:r w:rsidRPr="000C0A62">
          <w:rPr>
            <w:rFonts w:ascii="Lato" w:hAnsi="Lato" w:cs="Lato"/>
            <w:color w:val="1155CC"/>
            <w:sz w:val="20"/>
            <w:szCs w:val="20"/>
            <w:u w:val="single"/>
          </w:rPr>
          <w:t xml:space="preserve">enables greater public engagement, faster impact, wider collaboration, and increased interdisciplinary </w:t>
        </w:r>
      </w:hyperlink>
      <w:hyperlink r:id="rId56">
        <w:r w:rsidRPr="000C0A62">
          <w:rPr>
            <w:rFonts w:ascii="Lato" w:hAnsi="Lato" w:cs="Lato"/>
            <w:color w:val="1155CC"/>
            <w:sz w:val="20"/>
            <w:szCs w:val="20"/>
            <w:u w:val="single"/>
          </w:rPr>
          <w:t>conversation</w:t>
        </w:r>
      </w:hyperlink>
      <w:r w:rsidRPr="000C0A62">
        <w:rPr>
          <w:rFonts w:ascii="Lato" w:hAnsi="Lato" w:cs="Lato"/>
          <w:color w:val="20344B"/>
          <w:sz w:val="20"/>
          <w:szCs w:val="20"/>
          <w:vertAlign w:val="superscript"/>
        </w:rPr>
        <w:t>34</w:t>
      </w:r>
      <w:r w:rsidRPr="000C0A62">
        <w:rPr>
          <w:rFonts w:ascii="Lato" w:hAnsi="Lato" w:cs="Lato"/>
          <w:color w:val="20344B"/>
          <w:sz w:val="20"/>
          <w:szCs w:val="20"/>
        </w:rPr>
        <w:t>.</w:t>
      </w:r>
    </w:p>
    <w:p w14:paraId="1E6F6225" w14:textId="77777777" w:rsidR="00F614BC" w:rsidRPr="000C0A62" w:rsidRDefault="00F614BC">
      <w:pPr>
        <w:rPr>
          <w:rFonts w:ascii="Lato" w:hAnsi="Lato" w:cs="Lato"/>
          <w:sz w:val="20"/>
          <w:szCs w:val="20"/>
        </w:rPr>
      </w:pPr>
    </w:p>
    <w:p w14:paraId="3214D4DF" w14:textId="77777777" w:rsidR="00F614BC" w:rsidRPr="000C0A62" w:rsidRDefault="00854443">
      <w:pPr>
        <w:rPr>
          <w:rFonts w:ascii="Lato" w:hAnsi="Lato" w:cs="Lato"/>
          <w:color w:val="20344B"/>
          <w:sz w:val="20"/>
          <w:szCs w:val="20"/>
        </w:rPr>
      </w:pPr>
      <w:r w:rsidRPr="000C0A62">
        <w:rPr>
          <w:rFonts w:ascii="Lato" w:hAnsi="Lato" w:cs="Lato"/>
          <w:color w:val="20344B"/>
          <w:sz w:val="20"/>
          <w:szCs w:val="20"/>
        </w:rPr>
        <w:t xml:space="preserve">Four primary mechanisms can be used to enable open access: </w:t>
      </w:r>
      <w:r w:rsidRPr="000C0A62">
        <w:rPr>
          <w:rFonts w:ascii="Lato" w:hAnsi="Lato" w:cs="Lato"/>
          <w:b/>
          <w:color w:val="20344B"/>
          <w:sz w:val="20"/>
          <w:szCs w:val="20"/>
        </w:rPr>
        <w:t>1)</w:t>
      </w:r>
      <w:r w:rsidRPr="000C0A62">
        <w:rPr>
          <w:rFonts w:ascii="Lato" w:hAnsi="Lato" w:cs="Lato"/>
          <w:color w:val="20344B"/>
          <w:sz w:val="20"/>
          <w:szCs w:val="20"/>
        </w:rPr>
        <w:t xml:space="preserve"> open access publishing, </w:t>
      </w:r>
      <w:r w:rsidRPr="000C0A62">
        <w:rPr>
          <w:rFonts w:ascii="Lato" w:hAnsi="Lato" w:cs="Lato"/>
          <w:b/>
          <w:color w:val="20344B"/>
          <w:sz w:val="20"/>
          <w:szCs w:val="20"/>
        </w:rPr>
        <w:t>2)</w:t>
      </w:r>
      <w:r w:rsidRPr="000C0A62">
        <w:rPr>
          <w:rFonts w:ascii="Lato" w:hAnsi="Lato" w:cs="Lato"/>
          <w:color w:val="20344B"/>
          <w:sz w:val="20"/>
          <w:szCs w:val="20"/>
        </w:rPr>
        <w:t xml:space="preserve"> institutional or disciplinary repositories, </w:t>
      </w:r>
      <w:r w:rsidRPr="000C0A62">
        <w:rPr>
          <w:rFonts w:ascii="Lato" w:hAnsi="Lato" w:cs="Lato"/>
          <w:b/>
          <w:color w:val="20344B"/>
          <w:sz w:val="20"/>
          <w:szCs w:val="20"/>
        </w:rPr>
        <w:t>3)</w:t>
      </w:r>
      <w:r w:rsidRPr="000C0A62">
        <w:rPr>
          <w:rFonts w:ascii="Lato" w:hAnsi="Lato" w:cs="Lato"/>
          <w:color w:val="20344B"/>
          <w:sz w:val="20"/>
          <w:szCs w:val="20"/>
        </w:rPr>
        <w:t xml:space="preserve"> effectively managed author rights, and </w:t>
      </w:r>
      <w:r w:rsidRPr="000C0A62">
        <w:rPr>
          <w:rFonts w:ascii="Lato" w:hAnsi="Lato" w:cs="Lato"/>
          <w:b/>
          <w:color w:val="20344B"/>
          <w:sz w:val="20"/>
          <w:szCs w:val="20"/>
        </w:rPr>
        <w:t>4)</w:t>
      </w:r>
      <w:r w:rsidRPr="000C0A62">
        <w:rPr>
          <w:rFonts w:ascii="Lato" w:hAnsi="Lato" w:cs="Lato"/>
          <w:color w:val="20344B"/>
          <w:sz w:val="20"/>
          <w:szCs w:val="20"/>
        </w:rPr>
        <w:t xml:space="preserve"> open access policies. Each mechanism is covered below.</w:t>
      </w:r>
    </w:p>
    <w:p w14:paraId="64374806" w14:textId="77777777" w:rsidR="00F614BC" w:rsidRPr="000C0A62" w:rsidRDefault="00854443">
      <w:pPr>
        <w:pStyle w:val="Heading5"/>
        <w:numPr>
          <w:ilvl w:val="0"/>
          <w:numId w:val="4"/>
        </w:numPr>
        <w:rPr>
          <w:rFonts w:ascii="Lato" w:hAnsi="Lato" w:cs="Lato"/>
          <w:color w:val="737373"/>
        </w:rPr>
      </w:pPr>
      <w:bookmarkStart w:id="13" w:name="_9tg22qp2n4q7" w:colFirst="0" w:colLast="0"/>
      <w:bookmarkEnd w:id="13"/>
      <w:r w:rsidRPr="000C0A62">
        <w:rPr>
          <w:rFonts w:ascii="Lato" w:hAnsi="Lato" w:cs="Lato"/>
          <w:color w:val="737373"/>
        </w:rPr>
        <w:t>Open access publishing (gold and hybrid)</w:t>
      </w:r>
    </w:p>
    <w:p w14:paraId="37D3064A" w14:textId="77777777" w:rsidR="00F614BC" w:rsidRPr="000C0A62" w:rsidRDefault="00854443">
      <w:pPr>
        <w:ind w:left="450"/>
        <w:rPr>
          <w:rFonts w:ascii="Lato" w:hAnsi="Lato" w:cs="Lato"/>
          <w:color w:val="20344B"/>
          <w:sz w:val="20"/>
          <w:szCs w:val="20"/>
        </w:rPr>
      </w:pPr>
      <w:r w:rsidRPr="000C0A62">
        <w:rPr>
          <w:rFonts w:ascii="Lato" w:hAnsi="Lato" w:cs="Lato"/>
          <w:color w:val="20344B"/>
          <w:sz w:val="20"/>
          <w:szCs w:val="20"/>
        </w:rPr>
        <w:t xml:space="preserve">In </w:t>
      </w:r>
      <w:r w:rsidRPr="000C0A62">
        <w:rPr>
          <w:rFonts w:ascii="Lato" w:hAnsi="Lato" w:cs="Lato"/>
          <w:b/>
          <w:color w:val="20344B"/>
          <w:sz w:val="20"/>
          <w:szCs w:val="20"/>
        </w:rPr>
        <w:t>“gold”</w:t>
      </w:r>
      <w:r w:rsidRPr="000C0A62">
        <w:rPr>
          <w:rFonts w:ascii="Lato" w:hAnsi="Lato" w:cs="Lato"/>
          <w:color w:val="20344B"/>
          <w:sz w:val="20"/>
          <w:szCs w:val="20"/>
        </w:rPr>
        <w:t xml:space="preserve"> (complete) open access publishing, authors publish their articles in journals that meet the full definition of open access – all articles are free to read, and the publisher places no financial or copyright barriers between the readers and the articles. In some cases, gold open access journals charge authors an open access fee, which is often paid from grant funding, a library fund, or funding from other university offices. However, </w:t>
      </w:r>
      <w:hyperlink r:id="rId57">
        <w:r w:rsidRPr="000C0A62">
          <w:rPr>
            <w:rFonts w:ascii="Lato" w:hAnsi="Lato" w:cs="Lato"/>
            <w:color w:val="1155CC"/>
            <w:sz w:val="20"/>
            <w:szCs w:val="20"/>
            <w:u w:val="single"/>
          </w:rPr>
          <w:t>70% of open access journals do not charge authors a fee</w:t>
        </w:r>
      </w:hyperlink>
      <w:r w:rsidRPr="000C0A62">
        <w:rPr>
          <w:rFonts w:ascii="Lato" w:hAnsi="Lato" w:cs="Lato"/>
          <w:color w:val="20344B"/>
          <w:sz w:val="20"/>
          <w:szCs w:val="20"/>
          <w:vertAlign w:val="superscript"/>
        </w:rPr>
        <w:t>35</w:t>
      </w:r>
      <w:r w:rsidRPr="000C0A62">
        <w:rPr>
          <w:rFonts w:ascii="Lato" w:hAnsi="Lato" w:cs="Lato"/>
          <w:color w:val="20344B"/>
          <w:sz w:val="20"/>
          <w:szCs w:val="20"/>
        </w:rPr>
        <w:t xml:space="preserve"> to </w:t>
      </w:r>
    </w:p>
    <w:p w14:paraId="35A5253E" w14:textId="77777777" w:rsidR="00F614BC" w:rsidRPr="000C0A62" w:rsidRDefault="00854443">
      <w:pPr>
        <w:ind w:left="450"/>
        <w:rPr>
          <w:rFonts w:ascii="Lato" w:hAnsi="Lato" w:cs="Lato"/>
          <w:color w:val="20344B"/>
          <w:sz w:val="20"/>
          <w:szCs w:val="20"/>
        </w:rPr>
      </w:pPr>
      <w:r w:rsidRPr="000C0A62">
        <w:rPr>
          <w:rFonts w:ascii="Lato" w:hAnsi="Lato" w:cs="Lato"/>
          <w:color w:val="20344B"/>
          <w:sz w:val="20"/>
          <w:szCs w:val="20"/>
        </w:rPr>
        <w:t>publish. Open access publishing now firmly co-exists alongside traditional journal publishing, and it is the fastest growing segment of the scholarly publishing market (Figure 5</w:t>
      </w:r>
      <w:hyperlink r:id="rId58">
        <w:r w:rsidRPr="000C0A62">
          <w:rPr>
            <w:rFonts w:ascii="Lato" w:hAnsi="Lato" w:cs="Lato"/>
            <w:color w:val="1155CC"/>
            <w:sz w:val="20"/>
            <w:szCs w:val="20"/>
            <w:u w:val="single"/>
            <w:vertAlign w:val="superscript"/>
          </w:rPr>
          <w:t>36</w:t>
        </w:r>
      </w:hyperlink>
      <w:r w:rsidRPr="000C0A62">
        <w:rPr>
          <w:rFonts w:ascii="Lato" w:hAnsi="Lato" w:cs="Lato"/>
          <w:color w:val="20344B"/>
          <w:sz w:val="20"/>
          <w:szCs w:val="20"/>
        </w:rPr>
        <w:t xml:space="preserve">). Open access journal options are now available across virtually every area of research, and these journals span the spectrum from lower impact research to high impact research. </w:t>
      </w:r>
    </w:p>
    <w:p w14:paraId="1B9285A1" w14:textId="77777777" w:rsidR="00F614BC" w:rsidRPr="000C0A62" w:rsidRDefault="00F614BC">
      <w:pPr>
        <w:rPr>
          <w:rFonts w:ascii="Lato" w:hAnsi="Lato" w:cs="Lato"/>
          <w:color w:val="20344B"/>
          <w:sz w:val="20"/>
          <w:szCs w:val="20"/>
        </w:rPr>
      </w:pPr>
    </w:p>
    <w:p w14:paraId="5F1D3D9D" w14:textId="5C57EBFC" w:rsidR="00F614BC" w:rsidRPr="000C0A62" w:rsidRDefault="00854443">
      <w:pPr>
        <w:ind w:left="450"/>
        <w:rPr>
          <w:rFonts w:ascii="Lato" w:hAnsi="Lato" w:cs="Lato"/>
          <w:sz w:val="20"/>
          <w:szCs w:val="20"/>
        </w:rPr>
      </w:pPr>
      <w:r w:rsidRPr="000C0A62">
        <w:rPr>
          <w:rFonts w:ascii="Lato" w:hAnsi="Lato" w:cs="Lato"/>
          <w:color w:val="20344B"/>
          <w:sz w:val="20"/>
          <w:szCs w:val="20"/>
        </w:rPr>
        <w:t xml:space="preserve">In </w:t>
      </w:r>
      <w:r w:rsidRPr="000C0A62">
        <w:rPr>
          <w:rFonts w:ascii="Lato" w:hAnsi="Lato" w:cs="Lato"/>
          <w:b/>
          <w:color w:val="20344B"/>
          <w:sz w:val="20"/>
          <w:szCs w:val="20"/>
        </w:rPr>
        <w:t>“hybrid”</w:t>
      </w:r>
      <w:r w:rsidRPr="000C0A62">
        <w:rPr>
          <w:rFonts w:ascii="Lato" w:hAnsi="Lato" w:cs="Lato"/>
          <w:color w:val="20344B"/>
          <w:sz w:val="20"/>
          <w:szCs w:val="20"/>
        </w:rPr>
        <w:t xml:space="preserve"> publishing, authors publish their articles in journals that charge a subscription fee </w:t>
      </w:r>
      <w:r w:rsidRPr="000C0A62">
        <w:rPr>
          <w:rFonts w:ascii="Lato" w:hAnsi="Lato" w:cs="Lato"/>
          <w:b/>
          <w:i/>
          <w:color w:val="20344B"/>
          <w:sz w:val="20"/>
          <w:szCs w:val="20"/>
        </w:rPr>
        <w:t>and</w:t>
      </w:r>
      <w:r w:rsidRPr="000C0A62">
        <w:rPr>
          <w:rFonts w:ascii="Lato" w:hAnsi="Lato" w:cs="Lato"/>
          <w:color w:val="20344B"/>
          <w:sz w:val="20"/>
          <w:szCs w:val="20"/>
        </w:rPr>
        <w:t xml:space="preserve"> charge an additional article processing charge (APC) to authors who wish to make their </w:t>
      </w:r>
      <w:r w:rsidRPr="000C0A62">
        <w:rPr>
          <w:rFonts w:ascii="Lato" w:hAnsi="Lato" w:cs="Lato"/>
          <w:i/>
          <w:color w:val="20344B"/>
          <w:sz w:val="20"/>
          <w:szCs w:val="20"/>
        </w:rPr>
        <w:t>individual article</w:t>
      </w:r>
      <w:r w:rsidRPr="000C0A62">
        <w:rPr>
          <w:rFonts w:ascii="Lato" w:hAnsi="Lato" w:cs="Lato"/>
          <w:color w:val="20344B"/>
          <w:sz w:val="20"/>
          <w:szCs w:val="20"/>
        </w:rPr>
        <w:t xml:space="preserve"> open access. In this model, some articles in a given issue are free for readers to access, and some remain behind a subscription paywall. Hybrid journal APCs are not a sustainable method of open access. For one, </w:t>
      </w:r>
      <w:hyperlink r:id="rId59" w:history="1">
        <w:r w:rsidRPr="00867633">
          <w:rPr>
            <w:rStyle w:val="Hyperlink"/>
            <w:rFonts w:ascii="Lato" w:hAnsi="Lato" w:cs="Lato"/>
            <w:color w:val="1155CC"/>
            <w:sz w:val="20"/>
            <w:szCs w:val="20"/>
          </w:rPr>
          <w:t>publishers have begun raising the price of APCs at three times the rate of inflation</w:t>
        </w:r>
      </w:hyperlink>
      <w:r w:rsidRPr="000C0A62">
        <w:rPr>
          <w:rFonts w:ascii="Lato" w:hAnsi="Lato" w:cs="Lato"/>
          <w:color w:val="20344B"/>
          <w:sz w:val="20"/>
          <w:szCs w:val="20"/>
          <w:vertAlign w:val="superscript"/>
        </w:rPr>
        <w:t>37</w:t>
      </w:r>
      <w:r w:rsidRPr="000C0A62">
        <w:rPr>
          <w:rFonts w:ascii="Lato" w:hAnsi="Lato" w:cs="Lato"/>
          <w:color w:val="20344B"/>
          <w:sz w:val="20"/>
          <w:szCs w:val="20"/>
        </w:rPr>
        <w:t>. Furthermore, libraries or other offices within the institution find themselves paying twice for the same content – once for the journal subscription and again for the APC to individual authors at their institution.</w:t>
      </w:r>
    </w:p>
    <w:p w14:paraId="7FD19EDA" w14:textId="77777777" w:rsidR="00F614BC" w:rsidRPr="000C0A62" w:rsidRDefault="00F614BC">
      <w:pPr>
        <w:rPr>
          <w:rFonts w:ascii="Lato" w:hAnsi="Lato" w:cs="Lato"/>
          <w:sz w:val="20"/>
          <w:szCs w:val="20"/>
        </w:rPr>
      </w:pPr>
    </w:p>
    <w:p w14:paraId="27C803D6" w14:textId="77777777" w:rsidR="00F614BC" w:rsidRPr="000C0A62" w:rsidRDefault="00854443">
      <w:pPr>
        <w:ind w:firstLine="450"/>
        <w:jc w:val="center"/>
        <w:rPr>
          <w:rFonts w:ascii="Lato" w:hAnsi="Lato" w:cs="Lato"/>
          <w:sz w:val="20"/>
          <w:szCs w:val="20"/>
        </w:rPr>
      </w:pPr>
      <w:r w:rsidRPr="000C0A62">
        <w:rPr>
          <w:rFonts w:ascii="Lato" w:hAnsi="Lato" w:cs="Lato"/>
          <w:b/>
          <w:color w:val="20344B"/>
          <w:sz w:val="16"/>
          <w:szCs w:val="16"/>
        </w:rPr>
        <w:lastRenderedPageBreak/>
        <w:t>Figure 4. Scholarly publishing options.</w:t>
      </w:r>
      <w:r w:rsidRPr="000C0A62">
        <w:rPr>
          <w:rFonts w:ascii="Lato" w:hAnsi="Lato" w:cs="Lato"/>
          <w:noProof/>
        </w:rPr>
        <w:drawing>
          <wp:anchor distT="114300" distB="114300" distL="114300" distR="114300" simplePos="0" relativeHeight="251660288" behindDoc="0" locked="0" layoutInCell="1" hidden="0" allowOverlap="1" wp14:anchorId="4F245EE2" wp14:editId="00FA7D64">
            <wp:simplePos x="0" y="0"/>
            <wp:positionH relativeFrom="column">
              <wp:posOffset>1023938</wp:posOffset>
            </wp:positionH>
            <wp:positionV relativeFrom="paragraph">
              <wp:posOffset>114300</wp:posOffset>
            </wp:positionV>
            <wp:extent cx="4710113" cy="3128860"/>
            <wp:effectExtent l="0" t="0" r="0" b="0"/>
            <wp:wrapTopAndBottom distT="114300" distB="114300"/>
            <wp:docPr id="8" name="image6.jpg" descr="Infographic about the four different types of scholarly publishing – traditional publishing, hybrid publishing, green (institutional repository) OA publishing, and gold OA publishing." title="Scholarly Publishing Options"/>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60"/>
                    <a:srcRect/>
                    <a:stretch>
                      <a:fillRect/>
                    </a:stretch>
                  </pic:blipFill>
                  <pic:spPr>
                    <a:xfrm>
                      <a:off x="0" y="0"/>
                      <a:ext cx="4710113" cy="3128860"/>
                    </a:xfrm>
                    <a:prstGeom prst="rect">
                      <a:avLst/>
                    </a:prstGeom>
                    <a:ln/>
                  </pic:spPr>
                </pic:pic>
              </a:graphicData>
            </a:graphic>
          </wp:anchor>
        </w:drawing>
      </w:r>
    </w:p>
    <w:p w14:paraId="3F47FF49" w14:textId="77777777" w:rsidR="00F614BC" w:rsidRPr="000C0A62" w:rsidRDefault="00F614BC">
      <w:pPr>
        <w:rPr>
          <w:rFonts w:ascii="Lato" w:hAnsi="Lato" w:cs="Lato"/>
        </w:rPr>
      </w:pPr>
    </w:p>
    <w:p w14:paraId="4819657E" w14:textId="77777777" w:rsidR="00F614BC" w:rsidRPr="000C0A62" w:rsidRDefault="00854443" w:rsidP="00C41391">
      <w:pPr>
        <w:ind w:left="450"/>
        <w:jc w:val="center"/>
        <w:rPr>
          <w:rFonts w:ascii="Lato" w:hAnsi="Lato" w:cs="Lato"/>
          <w:sz w:val="16"/>
          <w:szCs w:val="16"/>
        </w:rPr>
      </w:pPr>
      <w:r w:rsidRPr="000C0A62">
        <w:rPr>
          <w:rFonts w:ascii="Lato" w:hAnsi="Lato" w:cs="Lato"/>
          <w:b/>
          <w:color w:val="20344B"/>
          <w:sz w:val="16"/>
          <w:szCs w:val="16"/>
        </w:rPr>
        <w:t>Figure 5. Rise in Open Access publications.</w:t>
      </w:r>
      <w:r w:rsidRPr="000C0A62">
        <w:rPr>
          <w:rFonts w:ascii="Lato" w:hAnsi="Lato" w:cs="Lato"/>
          <w:color w:val="20344B"/>
          <w:sz w:val="16"/>
          <w:szCs w:val="16"/>
        </w:rPr>
        <w:t xml:space="preserve"> Source: DOI: </w:t>
      </w:r>
      <w:hyperlink r:id="rId61">
        <w:r w:rsidRPr="000C0A62">
          <w:rPr>
            <w:rFonts w:ascii="Lato" w:hAnsi="Lato" w:cs="Lato"/>
            <w:color w:val="1155CC"/>
            <w:sz w:val="16"/>
            <w:szCs w:val="16"/>
            <w:u w:val="single"/>
          </w:rPr>
          <w:t>10.12688/f1000res</w:t>
        </w:r>
        <w:r w:rsidRPr="000C0A62">
          <w:rPr>
            <w:rFonts w:ascii="Lato" w:hAnsi="Lato" w:cs="Lato"/>
            <w:color w:val="1155CC"/>
            <w:sz w:val="16"/>
            <w:szCs w:val="16"/>
            <w:u w:val="single"/>
          </w:rPr>
          <w:t>e</w:t>
        </w:r>
        <w:r w:rsidRPr="000C0A62">
          <w:rPr>
            <w:rFonts w:ascii="Lato" w:hAnsi="Lato" w:cs="Lato"/>
            <w:color w:val="1155CC"/>
            <w:sz w:val="16"/>
            <w:szCs w:val="16"/>
            <w:u w:val="single"/>
          </w:rPr>
          <w:t>arch.8460.3</w:t>
        </w:r>
      </w:hyperlink>
      <w:r w:rsidRPr="000C0A62">
        <w:rPr>
          <w:rFonts w:ascii="Lato" w:hAnsi="Lato" w:cs="Lato"/>
          <w:sz w:val="16"/>
          <w:szCs w:val="16"/>
        </w:rPr>
        <w:t>.</w:t>
      </w:r>
      <w:r w:rsidRPr="000C0A62">
        <w:rPr>
          <w:rFonts w:ascii="Lato" w:hAnsi="Lato" w:cs="Lato"/>
          <w:noProof/>
        </w:rPr>
        <w:drawing>
          <wp:anchor distT="114300" distB="114300" distL="114300" distR="114300" simplePos="0" relativeHeight="251661312" behindDoc="0" locked="0" layoutInCell="1" hidden="0" allowOverlap="1" wp14:anchorId="080546B6" wp14:editId="4AF69F4C">
            <wp:simplePos x="0" y="0"/>
            <wp:positionH relativeFrom="column">
              <wp:posOffset>667512</wp:posOffset>
            </wp:positionH>
            <wp:positionV relativeFrom="paragraph">
              <wp:posOffset>114300</wp:posOffset>
            </wp:positionV>
            <wp:extent cx="4791075" cy="3194050"/>
            <wp:effectExtent l="0" t="0" r="0" b="0"/>
            <wp:wrapTopAndBottom distT="114300" distB="114300"/>
            <wp:docPr id="6" name="image4.jpg" descr="Graph shows the compares the increase in non-open access and open access articles as the cululative number of PubMed articles relative to 2000. " title="Rise in Open Access publications"/>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2"/>
                    <a:srcRect/>
                    <a:stretch>
                      <a:fillRect/>
                    </a:stretch>
                  </pic:blipFill>
                  <pic:spPr>
                    <a:xfrm>
                      <a:off x="0" y="0"/>
                      <a:ext cx="4791075" cy="3194050"/>
                    </a:xfrm>
                    <a:prstGeom prst="rect">
                      <a:avLst/>
                    </a:prstGeom>
                    <a:ln/>
                  </pic:spPr>
                </pic:pic>
              </a:graphicData>
            </a:graphic>
          </wp:anchor>
        </w:drawing>
      </w:r>
    </w:p>
    <w:p w14:paraId="115761AD" w14:textId="77777777" w:rsidR="00F614BC" w:rsidRPr="000C0A62" w:rsidRDefault="00854443">
      <w:pPr>
        <w:pStyle w:val="Heading5"/>
        <w:numPr>
          <w:ilvl w:val="0"/>
          <w:numId w:val="4"/>
        </w:numPr>
        <w:rPr>
          <w:rFonts w:ascii="Lato" w:hAnsi="Lato" w:cs="Lato"/>
          <w:color w:val="737373"/>
        </w:rPr>
      </w:pPr>
      <w:bookmarkStart w:id="14" w:name="_39ejtytsd8lq" w:colFirst="0" w:colLast="0"/>
      <w:bookmarkEnd w:id="14"/>
      <w:r w:rsidRPr="000C0A62">
        <w:rPr>
          <w:rFonts w:ascii="Lato" w:hAnsi="Lato" w:cs="Lato"/>
          <w:color w:val="737373"/>
        </w:rPr>
        <w:t>Institutional or Disciplinary Repositories</w:t>
      </w:r>
    </w:p>
    <w:p w14:paraId="604AE796" w14:textId="77777777" w:rsidR="00F614BC" w:rsidRPr="000C0A62" w:rsidRDefault="00854443">
      <w:pPr>
        <w:ind w:left="450"/>
        <w:rPr>
          <w:rFonts w:ascii="Lato" w:hAnsi="Lato" w:cs="Lato"/>
          <w:color w:val="20344B"/>
          <w:sz w:val="20"/>
          <w:szCs w:val="20"/>
        </w:rPr>
      </w:pPr>
      <w:r w:rsidRPr="000C0A62">
        <w:rPr>
          <w:rFonts w:ascii="Lato" w:hAnsi="Lato" w:cs="Lato"/>
          <w:color w:val="20344B"/>
          <w:sz w:val="20"/>
          <w:szCs w:val="20"/>
        </w:rPr>
        <w:t xml:space="preserve">Authors can choose to deposit their articles in institutional repositories, which enable readers to freely access the article text. This practice allows any author to make their work openly available regardless of the journal in which the article was published. OU’s institutional repository, </w:t>
      </w:r>
      <w:hyperlink r:id="rId63">
        <w:r w:rsidRPr="000C0A62">
          <w:rPr>
            <w:rFonts w:ascii="Lato" w:hAnsi="Lato" w:cs="Lato"/>
            <w:color w:val="1155CC"/>
            <w:sz w:val="20"/>
            <w:szCs w:val="20"/>
            <w:u w:val="single"/>
          </w:rPr>
          <w:t>SHAREOK</w:t>
        </w:r>
      </w:hyperlink>
      <w:r w:rsidRPr="000C0A62">
        <w:rPr>
          <w:rFonts w:ascii="Lato" w:hAnsi="Lato" w:cs="Lato"/>
          <w:color w:val="20344B"/>
          <w:sz w:val="20"/>
          <w:szCs w:val="20"/>
        </w:rPr>
        <w:t>,</w:t>
      </w:r>
      <w:r w:rsidRPr="000C0A62">
        <w:rPr>
          <w:rFonts w:ascii="Lato" w:hAnsi="Lato" w:cs="Lato"/>
          <w:color w:val="20344B"/>
          <w:sz w:val="20"/>
          <w:szCs w:val="20"/>
          <w:vertAlign w:val="superscript"/>
        </w:rPr>
        <w:t>38</w:t>
      </w:r>
      <w:r w:rsidRPr="000C0A62">
        <w:rPr>
          <w:rFonts w:ascii="Lato" w:hAnsi="Lato" w:cs="Lato"/>
          <w:color w:val="20344B"/>
          <w:sz w:val="20"/>
          <w:szCs w:val="20"/>
        </w:rPr>
        <w:t xml:space="preserve"> serves as the home for the </w:t>
      </w:r>
      <w:r w:rsidRPr="000C0A62">
        <w:rPr>
          <w:rFonts w:ascii="Lato" w:hAnsi="Lato" w:cs="Lato"/>
          <w:color w:val="20344B"/>
          <w:sz w:val="20"/>
          <w:szCs w:val="20"/>
        </w:rPr>
        <w:lastRenderedPageBreak/>
        <w:t>intellectual output of its faculty, students, and staff, holding and making available digital theses, dissertations, faculty publications, datasets, and much more. Institutional repositories are indexed by major search engines and other aggregators so that works deposited in a repository are findable across the internet. Because libraries’ missions include the preservation and dissemination of information, institutional repositories are most often maintained by academic libraries. Disciplinary repositories, covered in more detail later in this report, serve a similar function.</w:t>
      </w:r>
    </w:p>
    <w:p w14:paraId="34A3591C" w14:textId="77777777" w:rsidR="00F614BC" w:rsidRPr="000C0A62" w:rsidRDefault="00F614BC">
      <w:pPr>
        <w:ind w:left="450"/>
        <w:rPr>
          <w:rFonts w:ascii="Lato" w:hAnsi="Lato" w:cs="Lato"/>
          <w:color w:val="20344B"/>
          <w:sz w:val="20"/>
          <w:szCs w:val="20"/>
        </w:rPr>
      </w:pPr>
    </w:p>
    <w:p w14:paraId="799E450F" w14:textId="77777777" w:rsidR="00F614BC" w:rsidRPr="000C0A62" w:rsidRDefault="00854443">
      <w:pPr>
        <w:ind w:left="450"/>
        <w:rPr>
          <w:rFonts w:ascii="Lato" w:hAnsi="Lato" w:cs="Lato"/>
          <w:color w:val="20344B"/>
          <w:sz w:val="20"/>
          <w:szCs w:val="20"/>
        </w:rPr>
      </w:pPr>
      <w:r w:rsidRPr="000C0A62">
        <w:rPr>
          <w:rFonts w:ascii="Lato" w:hAnsi="Lato" w:cs="Lato"/>
          <w:color w:val="20344B"/>
          <w:sz w:val="20"/>
          <w:szCs w:val="20"/>
        </w:rPr>
        <w:t xml:space="preserve">Depositing work in an institutional repository such as SHAREOK has two major caveats: embargo periods, and the inability to upload the publisher’s pdf of an article. Often publishers’ restrictions </w:t>
      </w:r>
    </w:p>
    <w:p w14:paraId="47CC5200" w14:textId="77777777" w:rsidR="00F614BC" w:rsidRPr="000C0A62" w:rsidRDefault="00854443">
      <w:pPr>
        <w:ind w:left="450"/>
        <w:rPr>
          <w:rFonts w:ascii="Lato" w:hAnsi="Lato" w:cs="Lato"/>
          <w:color w:val="20344B"/>
          <w:sz w:val="20"/>
          <w:szCs w:val="20"/>
        </w:rPr>
      </w:pPr>
      <w:r w:rsidRPr="000C0A62">
        <w:rPr>
          <w:rFonts w:ascii="Lato" w:hAnsi="Lato" w:cs="Lato"/>
          <w:color w:val="20344B"/>
          <w:sz w:val="20"/>
          <w:szCs w:val="20"/>
        </w:rPr>
        <w:t xml:space="preserve">mean authors must wait one to three (1 – 3) years to make their work available via an institutional repository, leading to delays in the dissemination of their work. Additionally, most publishers do not allow authors to upload the publisher’s pdf. Instead they allow uploading the </w:t>
      </w:r>
      <w:proofErr w:type="spellStart"/>
      <w:r w:rsidRPr="000C0A62">
        <w:rPr>
          <w:rFonts w:ascii="Lato" w:hAnsi="Lato" w:cs="Lato"/>
          <w:color w:val="20344B"/>
          <w:sz w:val="20"/>
          <w:szCs w:val="20"/>
        </w:rPr>
        <w:t>postprint</w:t>
      </w:r>
      <w:proofErr w:type="spellEnd"/>
      <w:r w:rsidRPr="000C0A62">
        <w:rPr>
          <w:rFonts w:ascii="Lato" w:hAnsi="Lato" w:cs="Lato"/>
          <w:color w:val="20344B"/>
          <w:sz w:val="20"/>
          <w:szCs w:val="20"/>
        </w:rPr>
        <w:t xml:space="preserve"> (author’s final, submitted manuscript after all peer review and revisions, but before copy editing and layout) or a preprint (authors final draft before peer review). Still, uploading a </w:t>
      </w:r>
      <w:proofErr w:type="spellStart"/>
      <w:r w:rsidRPr="000C0A62">
        <w:rPr>
          <w:rFonts w:ascii="Lato" w:hAnsi="Lato" w:cs="Lato"/>
          <w:color w:val="20344B"/>
          <w:sz w:val="20"/>
          <w:szCs w:val="20"/>
        </w:rPr>
        <w:t>postprint</w:t>
      </w:r>
      <w:proofErr w:type="spellEnd"/>
      <w:r w:rsidRPr="000C0A62">
        <w:rPr>
          <w:rFonts w:ascii="Lato" w:hAnsi="Lato" w:cs="Lato"/>
          <w:color w:val="20344B"/>
          <w:sz w:val="20"/>
          <w:szCs w:val="20"/>
        </w:rPr>
        <w:t xml:space="preserve"> to an institutional repository allows readers without a journal subscription to access and read the content.</w:t>
      </w:r>
    </w:p>
    <w:p w14:paraId="0472A617" w14:textId="77777777" w:rsidR="00F614BC" w:rsidRPr="000C0A62" w:rsidRDefault="00854443">
      <w:pPr>
        <w:pStyle w:val="Heading5"/>
        <w:numPr>
          <w:ilvl w:val="0"/>
          <w:numId w:val="4"/>
        </w:numPr>
        <w:rPr>
          <w:rFonts w:ascii="Lato" w:hAnsi="Lato" w:cs="Lato"/>
          <w:color w:val="737373"/>
        </w:rPr>
      </w:pPr>
      <w:bookmarkStart w:id="15" w:name="_5ucyjs330x4s" w:colFirst="0" w:colLast="0"/>
      <w:bookmarkEnd w:id="15"/>
      <w:r w:rsidRPr="000C0A62">
        <w:rPr>
          <w:rFonts w:ascii="Lato" w:hAnsi="Lato" w:cs="Lato"/>
          <w:color w:val="737373"/>
        </w:rPr>
        <w:t>Author Rights</w:t>
      </w:r>
    </w:p>
    <w:p w14:paraId="3D5A7CE6" w14:textId="77777777" w:rsidR="00F614BC" w:rsidRPr="000C0A62" w:rsidRDefault="00854443">
      <w:pPr>
        <w:ind w:left="450"/>
        <w:rPr>
          <w:rFonts w:ascii="Lato" w:hAnsi="Lato" w:cs="Lato"/>
          <w:color w:val="20344B"/>
          <w:sz w:val="20"/>
          <w:szCs w:val="20"/>
        </w:rPr>
      </w:pPr>
      <w:r w:rsidRPr="000C0A62">
        <w:rPr>
          <w:rFonts w:ascii="Lato" w:hAnsi="Lato" w:cs="Lato"/>
          <w:color w:val="20344B"/>
          <w:sz w:val="20"/>
          <w:szCs w:val="20"/>
        </w:rPr>
        <w:t>Authors at OU who write manuscripts for peer-reviewed, scholarly journals generally own the full copyrights to their works. When authors publish in an open access journal, they retain their full copyrights even after the article has been published. However, when authors choose to publish in a traditional, subscription access journal, they are almost always required to sign a form transferring some or all of their copyrights to the publisher. These forms go by different names – publishing agreements, copyright transfer agreements, publication agreements, journal publishing agreements, etc. – and these legally binding contracts outline exactly what authors can and cannot do with the articles they have written. Moreover, after transferring copyright to a publisher, authors generally have very little say in how their work may be used later and often have to request permission from the publisher to reproduce or otherwise use aspects of their own scholarly work. Ultimately, these publishing agreements can restrict dissemination of scholarship, thereby lessening its impact.</w:t>
      </w:r>
    </w:p>
    <w:p w14:paraId="53765467" w14:textId="77777777" w:rsidR="00F614BC" w:rsidRPr="000C0A62" w:rsidRDefault="00F614BC">
      <w:pPr>
        <w:ind w:left="450"/>
        <w:rPr>
          <w:rFonts w:ascii="Lato" w:hAnsi="Lato" w:cs="Lato"/>
          <w:color w:val="20344B"/>
          <w:sz w:val="20"/>
          <w:szCs w:val="20"/>
        </w:rPr>
      </w:pPr>
    </w:p>
    <w:p w14:paraId="7D90CCE1" w14:textId="77777777" w:rsidR="00F614BC" w:rsidRPr="000C0A62" w:rsidRDefault="00854443">
      <w:pPr>
        <w:ind w:left="450"/>
        <w:rPr>
          <w:rFonts w:ascii="Lato" w:hAnsi="Lato" w:cs="Lato"/>
          <w:sz w:val="20"/>
          <w:szCs w:val="20"/>
        </w:rPr>
      </w:pPr>
      <w:r w:rsidRPr="000C0A62">
        <w:rPr>
          <w:rFonts w:ascii="Lato" w:hAnsi="Lato" w:cs="Lato"/>
          <w:color w:val="20344B"/>
          <w:sz w:val="20"/>
          <w:szCs w:val="20"/>
        </w:rPr>
        <w:t xml:space="preserve">Authors of research papers have the ability to ensure their articles can be accessed and used by the widest possible audience by managing their rights </w:t>
      </w:r>
      <w:r w:rsidRPr="000C0A62">
        <w:rPr>
          <w:rFonts w:ascii="Lato" w:hAnsi="Lato" w:cs="Lato"/>
          <w:i/>
          <w:color w:val="20344B"/>
          <w:sz w:val="20"/>
          <w:szCs w:val="20"/>
        </w:rPr>
        <w:t>prior</w:t>
      </w:r>
      <w:r w:rsidRPr="000C0A62">
        <w:rPr>
          <w:rFonts w:ascii="Lato" w:hAnsi="Lato" w:cs="Lato"/>
          <w:color w:val="20344B"/>
          <w:sz w:val="20"/>
          <w:szCs w:val="20"/>
        </w:rPr>
        <w:t xml:space="preserve"> to signing a copyright transfer agreement. One effective tool for this purpose is an open access policy, covered in more detail in the next section. Besides an open access policy, other means for creating addenda to traditional copyright transfer forms are readily available, including proven resources to help </w:t>
      </w:r>
      <w:hyperlink r:id="rId64">
        <w:r w:rsidRPr="000C0A62">
          <w:rPr>
            <w:rFonts w:ascii="Lato" w:hAnsi="Lato" w:cs="Lato"/>
            <w:color w:val="1155CC"/>
            <w:sz w:val="20"/>
            <w:szCs w:val="20"/>
            <w:u w:val="single"/>
          </w:rPr>
          <w:t>authors maintain the rights</w:t>
        </w:r>
      </w:hyperlink>
      <w:r w:rsidRPr="000C0A62">
        <w:rPr>
          <w:rFonts w:ascii="Lato" w:hAnsi="Lato" w:cs="Lato"/>
          <w:color w:val="20344B"/>
          <w:sz w:val="20"/>
          <w:szCs w:val="20"/>
          <w:vertAlign w:val="superscript"/>
        </w:rPr>
        <w:t xml:space="preserve">39 </w:t>
      </w:r>
      <w:r w:rsidRPr="000C0A62">
        <w:rPr>
          <w:rFonts w:ascii="Lato" w:hAnsi="Lato" w:cs="Lato"/>
          <w:color w:val="20344B"/>
          <w:sz w:val="20"/>
          <w:szCs w:val="20"/>
        </w:rPr>
        <w:t xml:space="preserve">important to them – such as the ability to upload their work to an institutional repository or another openly available option. More specifically, </w:t>
      </w:r>
      <w:hyperlink r:id="rId65">
        <w:r w:rsidRPr="000C0A62">
          <w:rPr>
            <w:rFonts w:ascii="Lato" w:hAnsi="Lato" w:cs="Lato"/>
            <w:color w:val="1155CC"/>
            <w:sz w:val="20"/>
            <w:szCs w:val="20"/>
            <w:u w:val="single"/>
          </w:rPr>
          <w:t>OU Libraries</w:t>
        </w:r>
      </w:hyperlink>
      <w:hyperlink r:id="rId66">
        <w:r w:rsidRPr="000C0A62">
          <w:rPr>
            <w:rFonts w:ascii="Lato" w:hAnsi="Lato" w:cs="Lato"/>
            <w:color w:val="1155CC"/>
            <w:sz w:val="20"/>
            <w:szCs w:val="20"/>
            <w:u w:val="single"/>
          </w:rPr>
          <w:t xml:space="preserve"> Office of Open Initiatives and Scholarly Communication</w:t>
        </w:r>
      </w:hyperlink>
      <w:r w:rsidRPr="000C0A62">
        <w:rPr>
          <w:rFonts w:ascii="Lato" w:hAnsi="Lato" w:cs="Lato"/>
          <w:color w:val="20344B"/>
          <w:sz w:val="20"/>
          <w:szCs w:val="20"/>
          <w:vertAlign w:val="superscript"/>
        </w:rPr>
        <w:t>40</w:t>
      </w:r>
      <w:r w:rsidRPr="000C0A62">
        <w:rPr>
          <w:rFonts w:ascii="Lato" w:hAnsi="Lato" w:cs="Lato"/>
          <w:color w:val="20344B"/>
          <w:sz w:val="20"/>
          <w:szCs w:val="20"/>
        </w:rPr>
        <w:t xml:space="preserve"> provides services to assist authors in understanding their contracts and publishing under the most favorable conditions.</w:t>
      </w:r>
    </w:p>
    <w:p w14:paraId="3710CF4C" w14:textId="77777777" w:rsidR="00F614BC" w:rsidRPr="000C0A62" w:rsidRDefault="00854443">
      <w:pPr>
        <w:pStyle w:val="Heading5"/>
        <w:numPr>
          <w:ilvl w:val="0"/>
          <w:numId w:val="4"/>
        </w:numPr>
        <w:rPr>
          <w:rFonts w:ascii="Lato" w:hAnsi="Lato" w:cs="Lato"/>
          <w:color w:val="20344B"/>
        </w:rPr>
      </w:pPr>
      <w:bookmarkStart w:id="16" w:name="_syrh7zr0dck6" w:colFirst="0" w:colLast="0"/>
      <w:bookmarkEnd w:id="16"/>
      <w:r w:rsidRPr="000C0A62">
        <w:rPr>
          <w:rFonts w:ascii="Lato" w:hAnsi="Lato" w:cs="Lato"/>
          <w:color w:val="20344B"/>
        </w:rPr>
        <w:t>Open Access Policies</w:t>
      </w:r>
    </w:p>
    <w:p w14:paraId="1AED5E51" w14:textId="77777777" w:rsidR="00F614BC" w:rsidRPr="000C0A62" w:rsidRDefault="00854443">
      <w:pPr>
        <w:ind w:left="450"/>
        <w:rPr>
          <w:rFonts w:ascii="Lato" w:hAnsi="Lato" w:cs="Lato"/>
          <w:color w:val="20344B"/>
          <w:sz w:val="20"/>
          <w:szCs w:val="20"/>
          <w:highlight w:val="white"/>
        </w:rPr>
      </w:pPr>
      <w:r w:rsidRPr="000C0A62">
        <w:rPr>
          <w:rFonts w:ascii="Lato" w:hAnsi="Lato" w:cs="Lato"/>
          <w:color w:val="20344B"/>
          <w:sz w:val="20"/>
          <w:szCs w:val="20"/>
        </w:rPr>
        <w:t xml:space="preserve">Academic institutions have implemented effective policies that support making open access to scholarly research articles (however, not books and monographs, which are addressed later in this document) the default mode for their faculty. Open access policies </w:t>
      </w:r>
      <w:r w:rsidRPr="000C0A62">
        <w:rPr>
          <w:rFonts w:ascii="Lato" w:hAnsi="Lato" w:cs="Lato"/>
          <w:color w:val="20344B"/>
          <w:sz w:val="20"/>
          <w:szCs w:val="20"/>
          <w:highlight w:val="white"/>
        </w:rPr>
        <w:t>provide for open dissemination of scholarly activity by faculty and define guidelines for that dissemination, typically through the campus institutional repository.</w:t>
      </w:r>
    </w:p>
    <w:p w14:paraId="1F481CC0" w14:textId="77777777" w:rsidR="00F614BC" w:rsidRPr="000C0A62" w:rsidRDefault="00F614BC">
      <w:pPr>
        <w:ind w:left="450"/>
        <w:rPr>
          <w:rFonts w:ascii="Lato" w:hAnsi="Lato" w:cs="Lato"/>
          <w:color w:val="20344B"/>
          <w:sz w:val="20"/>
          <w:szCs w:val="20"/>
          <w:highlight w:val="white"/>
        </w:rPr>
      </w:pPr>
    </w:p>
    <w:p w14:paraId="2C83A4A1" w14:textId="77777777" w:rsidR="00F614BC" w:rsidRPr="00F07CE4" w:rsidRDefault="00854443">
      <w:pPr>
        <w:ind w:left="450"/>
        <w:rPr>
          <w:color w:val="20344B"/>
          <w:sz w:val="20"/>
          <w:szCs w:val="20"/>
        </w:rPr>
      </w:pPr>
      <w:r w:rsidRPr="000C0A62">
        <w:rPr>
          <w:rFonts w:ascii="Lato" w:hAnsi="Lato" w:cs="Lato"/>
          <w:color w:val="20344B"/>
          <w:sz w:val="20"/>
          <w:szCs w:val="20"/>
          <w:highlight w:val="white"/>
        </w:rPr>
        <w:lastRenderedPageBreak/>
        <w:t xml:space="preserve">There are at least </w:t>
      </w:r>
      <w:hyperlink w:anchor="_j396u3hnprzb">
        <w:r w:rsidRPr="000C0A62">
          <w:rPr>
            <w:rFonts w:ascii="Lato" w:hAnsi="Lato" w:cs="Lato"/>
            <w:color w:val="1155CC"/>
            <w:sz w:val="20"/>
            <w:szCs w:val="20"/>
            <w:highlight w:val="white"/>
            <w:u w:val="single"/>
          </w:rPr>
          <w:t>111 academic institutions</w:t>
        </w:r>
      </w:hyperlink>
      <w:r w:rsidRPr="000C0A62">
        <w:rPr>
          <w:rFonts w:ascii="Lato" w:hAnsi="Lato" w:cs="Lato"/>
          <w:sz w:val="20"/>
          <w:szCs w:val="20"/>
          <w:highlight w:val="white"/>
        </w:rPr>
        <w:t xml:space="preserve"> </w:t>
      </w:r>
      <w:r w:rsidRPr="000C0A62">
        <w:rPr>
          <w:rFonts w:ascii="Lato" w:hAnsi="Lato" w:cs="Lato"/>
          <w:color w:val="20344B"/>
          <w:sz w:val="20"/>
          <w:szCs w:val="20"/>
          <w:highlight w:val="white"/>
        </w:rPr>
        <w:t xml:space="preserve">(Appendix A) in the United States that have implemented an open access policy, which is typically enacted by a faculty governing body, such as the faculty senate. These policies allow authors to grant a license to the university to upload their scholarly articles to the university’s institutional repository </w:t>
      </w:r>
      <w:r w:rsidRPr="000C0A62">
        <w:rPr>
          <w:rFonts w:ascii="Lato" w:hAnsi="Lato" w:cs="Lato"/>
          <w:i/>
          <w:color w:val="20344B"/>
          <w:sz w:val="20"/>
          <w:szCs w:val="20"/>
          <w:highlight w:val="white"/>
        </w:rPr>
        <w:t xml:space="preserve">prior </w:t>
      </w:r>
      <w:r w:rsidRPr="000C0A62">
        <w:rPr>
          <w:rFonts w:ascii="Lato" w:hAnsi="Lato" w:cs="Lato"/>
          <w:color w:val="20344B"/>
          <w:sz w:val="20"/>
          <w:szCs w:val="20"/>
          <w:highlight w:val="white"/>
        </w:rPr>
        <w:t>to the rights being given to a publisher in an author agreement. Open access policies facilitate the widest dissemination of scholarly output, while still allowing authors to publish in the journals of their choice. Most academic open access policies allow authors an opt-out mechanism for specific papers under various circumstances.</w:t>
      </w:r>
    </w:p>
    <w:p w14:paraId="514F74C7" w14:textId="5FBF0530" w:rsidR="00F614BC" w:rsidRPr="007418D4" w:rsidRDefault="00067C41">
      <w:pPr>
        <w:pStyle w:val="Heading3"/>
        <w:rPr>
          <w:rFonts w:ascii="League Spartan" w:hAnsi="League Spartan"/>
          <w:b/>
          <w:bCs/>
          <w:color w:val="20344B"/>
          <w:spacing w:val="20"/>
        </w:rPr>
      </w:pPr>
      <w:bookmarkStart w:id="17" w:name="_qqz3fv6bc590" w:colFirst="0" w:colLast="0"/>
      <w:bookmarkEnd w:id="17"/>
      <w:r w:rsidRPr="007418D4">
        <w:rPr>
          <w:rFonts w:ascii="League Spartan" w:hAnsi="League Spartan"/>
          <w:b/>
          <w:bCs/>
          <w:color w:val="20344B"/>
          <w:spacing w:val="20"/>
        </w:rPr>
        <w:t>SCHOLARLY COMMUNICATION PRACTICES / OA AMONG DIFFERENT DISCIPLINES</w:t>
      </w:r>
    </w:p>
    <w:p w14:paraId="703FCA49"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The rise of open access in scholarly communication benefits scholars in all disciplines, so scholars across all fields should acquaint themselves with the advantages available to them. However, bibliometric studies indicate the uptake, attitude, and practice of open access tends to vary across disciplines due to a number of factors, some of which may include:</w:t>
      </w:r>
    </w:p>
    <w:p w14:paraId="5A40441C" w14:textId="77777777" w:rsidR="00F614BC" w:rsidRPr="00894BEF" w:rsidRDefault="00F614BC">
      <w:pPr>
        <w:rPr>
          <w:rFonts w:ascii="Lato" w:hAnsi="Lato" w:cs="Lato"/>
          <w:color w:val="20344B"/>
          <w:sz w:val="20"/>
          <w:szCs w:val="20"/>
        </w:rPr>
      </w:pPr>
    </w:p>
    <w:p w14:paraId="6E81CE18" w14:textId="77777777" w:rsidR="00F614BC" w:rsidRPr="00894BEF" w:rsidRDefault="00854443">
      <w:pPr>
        <w:numPr>
          <w:ilvl w:val="0"/>
          <w:numId w:val="6"/>
        </w:numPr>
        <w:spacing w:after="200"/>
        <w:rPr>
          <w:rFonts w:ascii="Lato" w:hAnsi="Lato" w:cs="Lato"/>
          <w:color w:val="20344B"/>
          <w:sz w:val="20"/>
          <w:szCs w:val="20"/>
        </w:rPr>
      </w:pPr>
      <w:r w:rsidRPr="00894BEF">
        <w:rPr>
          <w:rFonts w:ascii="Lato" w:hAnsi="Lato" w:cs="Lato"/>
          <w:color w:val="20344B"/>
          <w:sz w:val="20"/>
          <w:szCs w:val="20"/>
        </w:rPr>
        <w:t>Disciplinary heritage/history</w:t>
      </w:r>
    </w:p>
    <w:p w14:paraId="04CC6C74" w14:textId="77777777" w:rsidR="00F614BC" w:rsidRPr="00894BEF" w:rsidRDefault="00854443">
      <w:pPr>
        <w:numPr>
          <w:ilvl w:val="0"/>
          <w:numId w:val="6"/>
        </w:numPr>
        <w:spacing w:after="200"/>
        <w:rPr>
          <w:rFonts w:ascii="Lato" w:hAnsi="Lato" w:cs="Lato"/>
          <w:color w:val="20344B"/>
          <w:sz w:val="20"/>
          <w:szCs w:val="20"/>
        </w:rPr>
      </w:pPr>
      <w:r w:rsidRPr="00894BEF">
        <w:rPr>
          <w:rFonts w:ascii="Lato" w:hAnsi="Lato" w:cs="Lato"/>
          <w:color w:val="20344B"/>
          <w:sz w:val="20"/>
          <w:szCs w:val="20"/>
        </w:rPr>
        <w:t>Disciplinary culture and norms, including publishing channels</w:t>
      </w:r>
    </w:p>
    <w:p w14:paraId="316949D3" w14:textId="77777777" w:rsidR="00F614BC" w:rsidRPr="00894BEF" w:rsidRDefault="00854443">
      <w:pPr>
        <w:numPr>
          <w:ilvl w:val="0"/>
          <w:numId w:val="6"/>
        </w:numPr>
        <w:spacing w:after="200"/>
        <w:rPr>
          <w:rFonts w:ascii="Lato" w:hAnsi="Lato" w:cs="Lato"/>
          <w:color w:val="20344B"/>
          <w:sz w:val="20"/>
          <w:szCs w:val="20"/>
        </w:rPr>
      </w:pPr>
      <w:r w:rsidRPr="00894BEF">
        <w:rPr>
          <w:rFonts w:ascii="Lato" w:hAnsi="Lato" w:cs="Lato"/>
          <w:color w:val="20344B"/>
          <w:sz w:val="20"/>
          <w:szCs w:val="20"/>
        </w:rPr>
        <w:t>Disciplinary barriers to open access, including publisher policies</w:t>
      </w:r>
    </w:p>
    <w:p w14:paraId="2F41F986" w14:textId="77777777" w:rsidR="00F614BC" w:rsidRPr="00894BEF" w:rsidRDefault="00854443">
      <w:pPr>
        <w:numPr>
          <w:ilvl w:val="0"/>
          <w:numId w:val="6"/>
        </w:numPr>
        <w:spacing w:after="200"/>
        <w:rPr>
          <w:rFonts w:ascii="Lato" w:hAnsi="Lato" w:cs="Lato"/>
          <w:color w:val="20344B"/>
          <w:sz w:val="20"/>
          <w:szCs w:val="20"/>
        </w:rPr>
      </w:pPr>
      <w:r w:rsidRPr="00894BEF">
        <w:rPr>
          <w:rFonts w:ascii="Lato" w:hAnsi="Lato" w:cs="Lato"/>
          <w:color w:val="20344B"/>
          <w:sz w:val="20"/>
          <w:szCs w:val="20"/>
        </w:rPr>
        <w:t>Funding mechanisms available to different disciplines and those funders’ requirements</w:t>
      </w:r>
    </w:p>
    <w:p w14:paraId="110E434E" w14:textId="77777777" w:rsidR="00F614BC" w:rsidRPr="00894BEF" w:rsidRDefault="00854443">
      <w:pPr>
        <w:numPr>
          <w:ilvl w:val="0"/>
          <w:numId w:val="6"/>
        </w:numPr>
        <w:spacing w:after="200"/>
        <w:rPr>
          <w:rFonts w:ascii="Lato" w:hAnsi="Lato" w:cs="Lato"/>
          <w:color w:val="20344B"/>
          <w:sz w:val="20"/>
          <w:szCs w:val="20"/>
        </w:rPr>
      </w:pPr>
      <w:r w:rsidRPr="00894BEF">
        <w:rPr>
          <w:rFonts w:ascii="Lato" w:hAnsi="Lato" w:cs="Lato"/>
          <w:color w:val="20344B"/>
          <w:sz w:val="20"/>
          <w:szCs w:val="20"/>
        </w:rPr>
        <w:t>Influence of promotion and tenure among different disciplines (covered below)</w:t>
      </w:r>
    </w:p>
    <w:p w14:paraId="6B38AE99" w14:textId="77777777" w:rsidR="00F614BC" w:rsidRPr="00894BEF" w:rsidRDefault="00854443">
      <w:pPr>
        <w:numPr>
          <w:ilvl w:val="0"/>
          <w:numId w:val="6"/>
        </w:numPr>
        <w:rPr>
          <w:rFonts w:ascii="Lato" w:hAnsi="Lato" w:cs="Lato"/>
          <w:color w:val="20344B"/>
          <w:sz w:val="20"/>
          <w:szCs w:val="20"/>
        </w:rPr>
      </w:pPr>
      <w:r w:rsidRPr="00894BEF">
        <w:rPr>
          <w:rFonts w:ascii="Lato" w:hAnsi="Lato" w:cs="Lato"/>
          <w:color w:val="20344B"/>
          <w:sz w:val="20"/>
          <w:szCs w:val="20"/>
        </w:rPr>
        <w:t>Scholars’ perceptions of the above</w:t>
      </w:r>
    </w:p>
    <w:p w14:paraId="788F0450" w14:textId="77777777" w:rsidR="00F614BC" w:rsidRPr="00894BEF" w:rsidRDefault="00F614BC">
      <w:pPr>
        <w:rPr>
          <w:rFonts w:ascii="Lato" w:hAnsi="Lato" w:cs="Lato"/>
          <w:color w:val="20344B"/>
          <w:sz w:val="20"/>
          <w:szCs w:val="20"/>
        </w:rPr>
      </w:pPr>
    </w:p>
    <w:p w14:paraId="21A55E16"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 xml:space="preserve">Furthermore, among </w:t>
      </w:r>
      <w:r w:rsidRPr="00894BEF">
        <w:rPr>
          <w:rFonts w:ascii="Lato" w:hAnsi="Lato" w:cs="Lato"/>
          <w:i/>
          <w:color w:val="20344B"/>
          <w:sz w:val="20"/>
          <w:szCs w:val="20"/>
        </w:rPr>
        <w:t>individual</w:t>
      </w:r>
      <w:r w:rsidRPr="00894BEF">
        <w:rPr>
          <w:rFonts w:ascii="Lato" w:hAnsi="Lato" w:cs="Lato"/>
          <w:color w:val="20344B"/>
          <w:sz w:val="20"/>
          <w:szCs w:val="20"/>
        </w:rPr>
        <w:t xml:space="preserve"> scholars there are a variety of attitudes and practices based on additional variables beyond the scope of this report, such as: position; rank; tenure; personal attitudes, interests, and comfort with technology.</w:t>
      </w:r>
    </w:p>
    <w:p w14:paraId="6017308E"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 xml:space="preserve"> </w:t>
      </w:r>
    </w:p>
    <w:p w14:paraId="74AEAB1F"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 xml:space="preserve">Several fields are considered to have had a pioneering role in implementing open access, most notably mathematics, physics, and astronomy. In fact, the foundation for open access was laid with the creation of </w:t>
      </w:r>
      <w:hyperlink r:id="rId67">
        <w:r w:rsidRPr="00894BEF">
          <w:rPr>
            <w:rFonts w:ascii="Lato" w:hAnsi="Lato" w:cs="Lato"/>
            <w:color w:val="1155CC"/>
            <w:sz w:val="20"/>
            <w:szCs w:val="20"/>
            <w:u w:val="single"/>
          </w:rPr>
          <w:t>arXiv</w:t>
        </w:r>
      </w:hyperlink>
      <w:r w:rsidRPr="00894BEF">
        <w:rPr>
          <w:rFonts w:ascii="Lato" w:hAnsi="Lato" w:cs="Lato"/>
          <w:color w:val="20344B"/>
          <w:sz w:val="20"/>
          <w:szCs w:val="20"/>
        </w:rPr>
        <w:t>,</w:t>
      </w:r>
      <w:r w:rsidRPr="00894BEF">
        <w:rPr>
          <w:rFonts w:ascii="Lato" w:hAnsi="Lato" w:cs="Lato"/>
          <w:color w:val="20344B"/>
          <w:sz w:val="20"/>
          <w:szCs w:val="20"/>
          <w:vertAlign w:val="superscript"/>
        </w:rPr>
        <w:t>41</w:t>
      </w:r>
      <w:r w:rsidRPr="00894BEF">
        <w:rPr>
          <w:rFonts w:ascii="Lato" w:hAnsi="Lato" w:cs="Lato"/>
          <w:color w:val="20344B"/>
          <w:sz w:val="20"/>
          <w:szCs w:val="20"/>
        </w:rPr>
        <w:t xml:space="preserve"> the open repository for physics established in 1991. Medical, natural, and technical sciences have also taken leading roles in embracing open access. The exceptions to this are the fields of engineering and chemistry, which have open access prevalence rates </w:t>
      </w:r>
      <w:hyperlink r:id="rId68">
        <w:r w:rsidRPr="00894BEF">
          <w:rPr>
            <w:rFonts w:ascii="Lato" w:hAnsi="Lato" w:cs="Lato"/>
            <w:color w:val="1155CC"/>
            <w:sz w:val="20"/>
            <w:szCs w:val="20"/>
            <w:u w:val="single"/>
          </w:rPr>
          <w:t>lower than most other disciplines</w:t>
        </w:r>
      </w:hyperlink>
      <w:r w:rsidRPr="00894BEF">
        <w:rPr>
          <w:rFonts w:ascii="Lato" w:hAnsi="Lato" w:cs="Lato"/>
          <w:color w:val="20344B"/>
          <w:sz w:val="20"/>
          <w:szCs w:val="20"/>
        </w:rPr>
        <w:t>,</w:t>
      </w:r>
      <w:r w:rsidRPr="00894BEF">
        <w:rPr>
          <w:rFonts w:ascii="Lato" w:hAnsi="Lato" w:cs="Lato"/>
          <w:color w:val="20344B"/>
          <w:sz w:val="20"/>
          <w:szCs w:val="20"/>
          <w:vertAlign w:val="superscript"/>
        </w:rPr>
        <w:t>42</w:t>
      </w:r>
      <w:r w:rsidRPr="00894BEF">
        <w:rPr>
          <w:rFonts w:ascii="Lato" w:hAnsi="Lato" w:cs="Lato"/>
          <w:color w:val="20344B"/>
          <w:sz w:val="20"/>
          <w:szCs w:val="20"/>
        </w:rPr>
        <w:t xml:space="preserve"> including those in the social sciences and humanities. Open access uptake in the social sciences is close behind the natural sciences; however, law, arts, and the humanities show the lowest uptake across all disciplines. </w:t>
      </w:r>
    </w:p>
    <w:p w14:paraId="6BE7C7E9" w14:textId="77777777" w:rsidR="00F614BC" w:rsidRPr="00894BEF" w:rsidRDefault="00F614BC">
      <w:pPr>
        <w:rPr>
          <w:rFonts w:ascii="Lato" w:hAnsi="Lato" w:cs="Lato"/>
          <w:color w:val="20344B"/>
          <w:sz w:val="20"/>
          <w:szCs w:val="20"/>
        </w:rPr>
      </w:pPr>
    </w:p>
    <w:p w14:paraId="35ED1507"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 xml:space="preserve">As noted above, the spectrum of open access practice is due to a number of factors, although it can </w:t>
      </w:r>
      <w:r w:rsidRPr="00894BEF">
        <w:rPr>
          <w:rFonts w:ascii="Lato" w:hAnsi="Lato" w:cs="Lato"/>
          <w:i/>
          <w:color w:val="20344B"/>
          <w:sz w:val="20"/>
          <w:szCs w:val="20"/>
        </w:rPr>
        <w:t>generally</w:t>
      </w:r>
      <w:r w:rsidRPr="00894BEF">
        <w:rPr>
          <w:rFonts w:ascii="Lato" w:hAnsi="Lato" w:cs="Lato"/>
          <w:color w:val="20344B"/>
          <w:sz w:val="20"/>
          <w:szCs w:val="20"/>
        </w:rPr>
        <w:t xml:space="preserve"> be encapsulated by the following:</w:t>
      </w:r>
    </w:p>
    <w:p w14:paraId="634C9039" w14:textId="77777777" w:rsidR="00F614BC" w:rsidRPr="00894BEF" w:rsidRDefault="00F614BC">
      <w:pPr>
        <w:rPr>
          <w:rFonts w:ascii="Lato" w:hAnsi="Lato" w:cs="Lato"/>
          <w:color w:val="20344B"/>
          <w:sz w:val="20"/>
          <w:szCs w:val="20"/>
        </w:rPr>
      </w:pPr>
    </w:p>
    <w:p w14:paraId="0B45BD04" w14:textId="77777777" w:rsidR="00F614BC" w:rsidRPr="00894BEF" w:rsidRDefault="00854443">
      <w:pPr>
        <w:numPr>
          <w:ilvl w:val="0"/>
          <w:numId w:val="7"/>
        </w:numPr>
        <w:spacing w:after="200"/>
        <w:rPr>
          <w:rFonts w:ascii="Lato" w:hAnsi="Lato" w:cs="Lato"/>
          <w:color w:val="20344B"/>
          <w:sz w:val="20"/>
          <w:szCs w:val="20"/>
        </w:rPr>
      </w:pPr>
      <w:r w:rsidRPr="00894BEF">
        <w:rPr>
          <w:rFonts w:ascii="Lato" w:hAnsi="Lato" w:cs="Lato"/>
          <w:color w:val="20344B"/>
          <w:sz w:val="20"/>
          <w:szCs w:val="20"/>
        </w:rPr>
        <w:t xml:space="preserve">U.S. governmental funding policies, such as the </w:t>
      </w:r>
      <w:hyperlink r:id="rId69">
        <w:r w:rsidRPr="00894BEF">
          <w:rPr>
            <w:rFonts w:ascii="Lato" w:hAnsi="Lato" w:cs="Lato"/>
            <w:color w:val="1155CC"/>
            <w:sz w:val="20"/>
            <w:szCs w:val="20"/>
            <w:u w:val="single"/>
          </w:rPr>
          <w:t>public access policies</w:t>
        </w:r>
      </w:hyperlink>
      <w:r w:rsidRPr="00894BEF">
        <w:rPr>
          <w:rFonts w:ascii="Lato" w:hAnsi="Lato" w:cs="Lato"/>
          <w:color w:val="20344B"/>
          <w:sz w:val="20"/>
          <w:szCs w:val="20"/>
          <w:vertAlign w:val="superscript"/>
        </w:rPr>
        <w:t>43</w:t>
      </w:r>
      <w:r w:rsidRPr="00894BEF">
        <w:rPr>
          <w:rFonts w:ascii="Lato" w:hAnsi="Lato" w:cs="Lato"/>
          <w:color w:val="20344B"/>
          <w:sz w:val="20"/>
          <w:szCs w:val="20"/>
        </w:rPr>
        <w:t xml:space="preserve"> implemented by the NSF, NIH, and other funding agencies require scholars to make the results of their funded research openly available. Most of these agencies are critical for STEM and social science funding.</w:t>
      </w:r>
    </w:p>
    <w:p w14:paraId="0D7101EC" w14:textId="77777777" w:rsidR="00F614BC" w:rsidRPr="00894BEF" w:rsidRDefault="00854443">
      <w:pPr>
        <w:numPr>
          <w:ilvl w:val="0"/>
          <w:numId w:val="7"/>
        </w:numPr>
        <w:shd w:val="clear" w:color="auto" w:fill="FFFFFF"/>
        <w:spacing w:after="200"/>
        <w:rPr>
          <w:rFonts w:ascii="Lato" w:hAnsi="Lato" w:cs="Lato"/>
          <w:color w:val="20344B"/>
          <w:sz w:val="20"/>
          <w:szCs w:val="20"/>
        </w:rPr>
      </w:pPr>
      <w:r w:rsidRPr="00894BEF">
        <w:rPr>
          <w:rFonts w:ascii="Lato" w:hAnsi="Lato" w:cs="Lato"/>
          <w:color w:val="20344B"/>
          <w:sz w:val="20"/>
          <w:szCs w:val="20"/>
        </w:rPr>
        <w:lastRenderedPageBreak/>
        <w:t xml:space="preserve">The </w:t>
      </w:r>
      <w:hyperlink r:id="rId70">
        <w:r w:rsidRPr="00894BEF">
          <w:rPr>
            <w:rFonts w:ascii="Lato" w:hAnsi="Lato" w:cs="Lato"/>
            <w:color w:val="1155CC"/>
            <w:sz w:val="20"/>
            <w:szCs w:val="20"/>
            <w:u w:val="single"/>
          </w:rPr>
          <w:t>high costs of producing monographs</w:t>
        </w:r>
      </w:hyperlink>
      <w:r w:rsidRPr="00894BEF">
        <w:rPr>
          <w:rFonts w:ascii="Lato" w:hAnsi="Lato" w:cs="Lato"/>
          <w:color w:val="20344B"/>
          <w:sz w:val="20"/>
          <w:szCs w:val="20"/>
          <w:vertAlign w:val="superscript"/>
        </w:rPr>
        <w:t>44</w:t>
      </w:r>
      <w:r w:rsidRPr="00894BEF">
        <w:rPr>
          <w:rFonts w:ascii="Lato" w:hAnsi="Lato" w:cs="Lato"/>
          <w:color w:val="20344B"/>
          <w:sz w:val="20"/>
          <w:szCs w:val="20"/>
        </w:rPr>
        <w:t xml:space="preserve"> are a key structural factor currently </w:t>
      </w:r>
      <w:hyperlink r:id="rId71" w:anchor=".X4ShnpNKjR2">
        <w:r w:rsidRPr="00894BEF">
          <w:rPr>
            <w:rFonts w:ascii="Lato" w:hAnsi="Lato" w:cs="Lato"/>
            <w:color w:val="1155CC"/>
            <w:sz w:val="20"/>
            <w:szCs w:val="20"/>
            <w:u w:val="single"/>
          </w:rPr>
          <w:t xml:space="preserve">limiting open access in the </w:t>
        </w:r>
      </w:hyperlink>
      <w:hyperlink r:id="rId72" w:anchor=".X4ShnpNKjR2">
        <w:r w:rsidRPr="00894BEF">
          <w:rPr>
            <w:rFonts w:ascii="Lato" w:hAnsi="Lato" w:cs="Lato"/>
            <w:color w:val="1155CC"/>
            <w:sz w:val="20"/>
            <w:szCs w:val="20"/>
            <w:u w:val="single"/>
          </w:rPr>
          <w:t>humanities</w:t>
        </w:r>
      </w:hyperlink>
      <w:r w:rsidRPr="00894BEF">
        <w:rPr>
          <w:rFonts w:ascii="Lato" w:hAnsi="Lato" w:cs="Lato"/>
          <w:color w:val="20344B"/>
          <w:sz w:val="20"/>
          <w:szCs w:val="20"/>
          <w:vertAlign w:val="superscript"/>
        </w:rPr>
        <w:t>45</w:t>
      </w:r>
      <w:r w:rsidRPr="00894BEF">
        <w:rPr>
          <w:rFonts w:ascii="Lato" w:hAnsi="Lato" w:cs="Lato"/>
          <w:color w:val="20344B"/>
          <w:sz w:val="20"/>
          <w:szCs w:val="20"/>
        </w:rPr>
        <w:t>. Moreover, most research work in the humanities does not receive project-specific funding, making it difficult to integrate APCs or open access funds into a grant. However, many university presses are creating and evolving innovative options for open access monograph publishing.</w:t>
      </w:r>
    </w:p>
    <w:p w14:paraId="43636871" w14:textId="77777777" w:rsidR="00F614BC" w:rsidRPr="00894BEF" w:rsidRDefault="00854443">
      <w:pPr>
        <w:numPr>
          <w:ilvl w:val="0"/>
          <w:numId w:val="7"/>
        </w:numPr>
        <w:rPr>
          <w:rFonts w:ascii="Lato" w:hAnsi="Lato" w:cs="Lato"/>
          <w:color w:val="20344B"/>
        </w:rPr>
      </w:pPr>
      <w:r w:rsidRPr="00894BEF">
        <w:rPr>
          <w:rFonts w:ascii="Lato" w:hAnsi="Lato" w:cs="Lato"/>
          <w:color w:val="20344B"/>
          <w:sz w:val="20"/>
          <w:szCs w:val="20"/>
        </w:rPr>
        <w:t>Many humanities, social science, and professional fields use an informal hierarchy to evaluate publications rather than quantitative methods often used by STEM disciplines.</w:t>
      </w:r>
      <w:r w:rsidRPr="00894BEF">
        <w:rPr>
          <w:rFonts w:ascii="Lato" w:hAnsi="Lato" w:cs="Lato"/>
          <w:color w:val="20344B"/>
        </w:rPr>
        <w:t xml:space="preserve"> </w:t>
      </w:r>
    </w:p>
    <w:p w14:paraId="57AA893F" w14:textId="799CB652" w:rsidR="00F614BC" w:rsidRPr="007418D4" w:rsidRDefault="00894BEF">
      <w:pPr>
        <w:pStyle w:val="Heading3"/>
        <w:rPr>
          <w:rFonts w:ascii="League Spartan" w:hAnsi="League Spartan"/>
          <w:b/>
          <w:bCs/>
          <w:color w:val="20344B"/>
          <w:spacing w:val="20"/>
        </w:rPr>
      </w:pPr>
      <w:bookmarkStart w:id="18" w:name="_l7on7a75uva4" w:colFirst="0" w:colLast="0"/>
      <w:bookmarkEnd w:id="18"/>
      <w:r w:rsidRPr="007418D4">
        <w:rPr>
          <w:rFonts w:ascii="League Spartan" w:hAnsi="League Spartan"/>
          <w:b/>
          <w:bCs/>
          <w:color w:val="20344B"/>
          <w:spacing w:val="20"/>
        </w:rPr>
        <w:t>IMPACT ON SCHOLARLY SOCIETIES / STRATEGIES ENACTED BY SCHOLARLY SOCIETIES</w:t>
      </w:r>
    </w:p>
    <w:p w14:paraId="446019B1"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Scholarly and professional societies vary enormously in culture and scale, yet they play an important role in the scholarly communication landscape. Most scholarly societies work to advance research and connect scholars within a specific discipline or field, and the ways in which they do so are varied: publications, conferences, meetings, discipline-specific resources, professional services, awareness programs, advocacy, etc. Frequently, scholarly societies invest their profits back into the academic community, although when they outsource journal publishing to a publicly-held, commercial publisher a large portion of the profits flow to the publishing company.</w:t>
      </w:r>
    </w:p>
    <w:p w14:paraId="35C6730B" w14:textId="77777777" w:rsidR="00F614BC" w:rsidRPr="00894BEF" w:rsidRDefault="00F614BC">
      <w:pPr>
        <w:rPr>
          <w:rFonts w:ascii="Lato" w:hAnsi="Lato" w:cs="Lato"/>
          <w:color w:val="20344B"/>
          <w:sz w:val="20"/>
          <w:szCs w:val="20"/>
        </w:rPr>
      </w:pPr>
    </w:p>
    <w:p w14:paraId="19383B60" w14:textId="77777777" w:rsidR="00F614BC" w:rsidRPr="00894BEF" w:rsidRDefault="00854443">
      <w:pPr>
        <w:rPr>
          <w:rFonts w:ascii="Lato" w:hAnsi="Lato" w:cs="Lato"/>
          <w:color w:val="20344B"/>
          <w:sz w:val="20"/>
          <w:szCs w:val="20"/>
        </w:rPr>
      </w:pPr>
      <w:r w:rsidRPr="00894BEF">
        <w:rPr>
          <w:rFonts w:ascii="Lato" w:hAnsi="Lato" w:cs="Lato"/>
          <w:color w:val="20344B"/>
          <w:sz w:val="20"/>
          <w:szCs w:val="20"/>
          <w:highlight w:val="white"/>
        </w:rPr>
        <w:t>Many scholarly societies are facing challenging times. Maintaining a membership in one’s disciplinary organization was once thought of as vital, but the changing funding environment, the increasing “</w:t>
      </w:r>
      <w:proofErr w:type="spellStart"/>
      <w:r w:rsidRPr="00894BEF">
        <w:rPr>
          <w:rFonts w:ascii="Lato" w:hAnsi="Lato" w:cs="Lato"/>
          <w:color w:val="20344B"/>
          <w:sz w:val="20"/>
          <w:szCs w:val="20"/>
          <w:highlight w:val="white"/>
        </w:rPr>
        <w:t>adjunctification</w:t>
      </w:r>
      <w:proofErr w:type="spellEnd"/>
      <w:r w:rsidRPr="00894BEF">
        <w:rPr>
          <w:rFonts w:ascii="Lato" w:hAnsi="Lato" w:cs="Lato"/>
          <w:color w:val="20344B"/>
          <w:sz w:val="20"/>
          <w:szCs w:val="20"/>
          <w:highlight w:val="white"/>
        </w:rPr>
        <w:t xml:space="preserve">” of the academic workforce, and the ease of creating direct ties among individual colleagues in online social networking systems have contributed to the ambivalence many scholars feel toward these societies today. Scholarly societies thus face rising costs and declining memberships, causing them to rely increasingly on income from publications — at precisely the same time they face increasing expectations among scholars that information and communication will exist in open spaces online. </w:t>
      </w:r>
      <w:hyperlink r:id="rId73">
        <w:r w:rsidRPr="00894BEF">
          <w:rPr>
            <w:rFonts w:ascii="Lato" w:hAnsi="Lato" w:cs="Lato"/>
            <w:color w:val="1155CC"/>
            <w:sz w:val="20"/>
            <w:szCs w:val="20"/>
            <w:highlight w:val="white"/>
            <w:u w:val="single"/>
          </w:rPr>
          <w:t>Increasing calls for open access to scholarship are posing serious challenges</w:t>
        </w:r>
      </w:hyperlink>
      <w:r w:rsidRPr="00894BEF">
        <w:rPr>
          <w:rFonts w:ascii="Lato" w:hAnsi="Lato" w:cs="Lato"/>
          <w:color w:val="20344B"/>
          <w:sz w:val="20"/>
          <w:szCs w:val="20"/>
          <w:highlight w:val="white"/>
          <w:vertAlign w:val="superscript"/>
        </w:rPr>
        <w:t>46</w:t>
      </w:r>
      <w:r w:rsidRPr="00894BEF">
        <w:rPr>
          <w:rFonts w:ascii="Lato" w:hAnsi="Lato" w:cs="Lato"/>
          <w:color w:val="20344B"/>
          <w:sz w:val="20"/>
          <w:szCs w:val="20"/>
          <w:highlight w:val="white"/>
        </w:rPr>
        <w:t xml:space="preserve"> </w:t>
      </w:r>
      <w:r w:rsidRPr="007418D4">
        <w:rPr>
          <w:rFonts w:ascii="Lato" w:hAnsi="Lato" w:cs="Lato"/>
          <w:color w:val="20344B"/>
          <w:sz w:val="20"/>
          <w:szCs w:val="20"/>
          <w:highlight w:val="white"/>
        </w:rPr>
        <w:t xml:space="preserve">to the financial models that have allowed scholarly societies to fund the </w:t>
      </w:r>
      <w:proofErr w:type="spellStart"/>
      <w:r w:rsidRPr="007418D4">
        <w:rPr>
          <w:rFonts w:ascii="Lato" w:hAnsi="Lato" w:cs="Lato"/>
          <w:color w:val="20344B"/>
          <w:sz w:val="20"/>
          <w:szCs w:val="20"/>
          <w:highlight w:val="white"/>
        </w:rPr>
        <w:t>non revenue</w:t>
      </w:r>
      <w:proofErr w:type="spellEnd"/>
      <w:r w:rsidRPr="007418D4">
        <w:rPr>
          <w:rFonts w:ascii="Lato" w:hAnsi="Lato" w:cs="Lato"/>
          <w:color w:val="20344B"/>
          <w:sz w:val="20"/>
          <w:szCs w:val="20"/>
          <w:highlight w:val="white"/>
        </w:rPr>
        <w:t xml:space="preserve"> generating </w:t>
      </w:r>
      <w:r w:rsidRPr="00894BEF">
        <w:rPr>
          <w:rFonts w:ascii="Lato" w:hAnsi="Lato" w:cs="Lato"/>
          <w:color w:val="20344B"/>
          <w:sz w:val="20"/>
          <w:szCs w:val="20"/>
          <w:highlight w:val="white"/>
        </w:rPr>
        <w:t>projects they have established on behalf of their members.</w:t>
      </w:r>
    </w:p>
    <w:p w14:paraId="1D4A8534" w14:textId="77777777" w:rsidR="00F614BC" w:rsidRPr="00894BEF" w:rsidRDefault="00F614BC">
      <w:pPr>
        <w:rPr>
          <w:rFonts w:ascii="Lato" w:hAnsi="Lato" w:cs="Lato"/>
          <w:color w:val="20344B"/>
          <w:sz w:val="20"/>
          <w:szCs w:val="20"/>
        </w:rPr>
      </w:pPr>
    </w:p>
    <w:p w14:paraId="4EE4DFA0" w14:textId="77777777" w:rsidR="00F614BC" w:rsidRPr="00894BEF" w:rsidRDefault="00854443">
      <w:pPr>
        <w:rPr>
          <w:rFonts w:ascii="Lato" w:hAnsi="Lato" w:cs="Lato"/>
          <w:color w:val="20344B"/>
          <w:sz w:val="20"/>
          <w:szCs w:val="20"/>
        </w:rPr>
      </w:pPr>
      <w:r w:rsidRPr="00894BEF">
        <w:rPr>
          <w:rFonts w:ascii="Lato" w:hAnsi="Lato" w:cs="Lato"/>
          <w:color w:val="20344B"/>
          <w:sz w:val="20"/>
          <w:szCs w:val="20"/>
        </w:rPr>
        <w:t xml:space="preserve">Some scholarly societies have responded by establishing open access journals to generate revenue by charging open access fees paid by the author(s). However, due to differing imperatives and realities among various disciplines, an author-pays publishing model may not always be feasible. Academic libraries, including OU Libraries, are increasingly partnering with scholarly societies to provide open access journal publishing services and platforms at no cost. Additionally, organizations such as </w:t>
      </w:r>
      <w:hyperlink r:id="rId74">
        <w:r w:rsidRPr="00894BEF">
          <w:rPr>
            <w:rFonts w:ascii="Lato" w:hAnsi="Lato" w:cs="Lato"/>
            <w:color w:val="1155CC"/>
            <w:sz w:val="20"/>
            <w:szCs w:val="20"/>
            <w:u w:val="single"/>
          </w:rPr>
          <w:t>TSPOA</w:t>
        </w:r>
      </w:hyperlink>
      <w:r w:rsidRPr="00894BEF">
        <w:rPr>
          <w:rFonts w:ascii="Lato" w:hAnsi="Lato" w:cs="Lato"/>
          <w:color w:val="20344B"/>
          <w:sz w:val="20"/>
          <w:szCs w:val="20"/>
          <w:vertAlign w:val="superscript"/>
        </w:rPr>
        <w:t>47</w:t>
      </w:r>
      <w:hyperlink r:id="rId75">
        <w:r w:rsidRPr="00894BEF">
          <w:rPr>
            <w:rFonts w:ascii="Lato" w:hAnsi="Lato" w:cs="Lato"/>
            <w:color w:val="20344B"/>
            <w:sz w:val="20"/>
            <w:szCs w:val="20"/>
            <w:u w:val="single"/>
          </w:rPr>
          <w:t xml:space="preserve"> </w:t>
        </w:r>
      </w:hyperlink>
      <w:r w:rsidRPr="00894BEF">
        <w:rPr>
          <w:rFonts w:ascii="Lato" w:hAnsi="Lato" w:cs="Lato"/>
          <w:color w:val="20344B"/>
          <w:sz w:val="20"/>
          <w:szCs w:val="20"/>
        </w:rPr>
        <w:t xml:space="preserve">(Transitioning Society Publications to Open Access) and </w:t>
      </w:r>
      <w:hyperlink r:id="rId76">
        <w:r w:rsidRPr="00894BEF">
          <w:rPr>
            <w:rFonts w:ascii="Lato" w:hAnsi="Lato" w:cs="Lato"/>
            <w:color w:val="1155CC"/>
            <w:sz w:val="20"/>
            <w:szCs w:val="20"/>
            <w:u w:val="single"/>
          </w:rPr>
          <w:t>OASPA</w:t>
        </w:r>
      </w:hyperlink>
      <w:r w:rsidRPr="00894BEF">
        <w:rPr>
          <w:rFonts w:ascii="Lato" w:hAnsi="Lato" w:cs="Lato"/>
          <w:color w:val="20344B"/>
          <w:sz w:val="20"/>
          <w:szCs w:val="20"/>
          <w:vertAlign w:val="superscript"/>
        </w:rPr>
        <w:t>48</w:t>
      </w:r>
      <w:r w:rsidRPr="00894BEF">
        <w:rPr>
          <w:rFonts w:ascii="Lato" w:hAnsi="Lato" w:cs="Lato"/>
          <w:color w:val="20344B"/>
          <w:sz w:val="20"/>
          <w:szCs w:val="20"/>
        </w:rPr>
        <w:t xml:space="preserve"> (Open Access Scholarly Publishing Association) are actively supporting society journal publications in their shift to open access. Indeed, a recent report </w:t>
      </w:r>
      <w:hyperlink r:id="rId77">
        <w:r w:rsidRPr="00894BEF">
          <w:rPr>
            <w:rFonts w:ascii="Lato" w:hAnsi="Lato" w:cs="Lato"/>
            <w:color w:val="1155CC"/>
            <w:sz w:val="20"/>
            <w:szCs w:val="20"/>
            <w:u w:val="single"/>
          </w:rPr>
          <w:t xml:space="preserve">identified </w:t>
        </w:r>
      </w:hyperlink>
      <w:hyperlink r:id="rId78">
        <w:r w:rsidRPr="00894BEF">
          <w:rPr>
            <w:rFonts w:ascii="Lato" w:hAnsi="Lato" w:cs="Lato"/>
            <w:color w:val="1155CC"/>
            <w:sz w:val="20"/>
            <w:szCs w:val="20"/>
            <w:u w:val="single"/>
          </w:rPr>
          <w:t>seven different approaches</w:t>
        </w:r>
      </w:hyperlink>
      <w:hyperlink r:id="rId79">
        <w:r w:rsidRPr="00894BEF">
          <w:rPr>
            <w:rFonts w:ascii="Lato" w:hAnsi="Lato" w:cs="Lato"/>
            <w:color w:val="1155CC"/>
            <w:sz w:val="20"/>
            <w:szCs w:val="20"/>
            <w:u w:val="single"/>
          </w:rPr>
          <w:t xml:space="preserve"> and models</w:t>
        </w:r>
      </w:hyperlink>
      <w:r w:rsidRPr="00894BEF">
        <w:rPr>
          <w:rFonts w:ascii="Lato" w:hAnsi="Lato" w:cs="Lato"/>
          <w:color w:val="20344B"/>
          <w:sz w:val="20"/>
          <w:szCs w:val="20"/>
        </w:rPr>
        <w:t>,</w:t>
      </w:r>
      <w:r w:rsidRPr="00894BEF">
        <w:rPr>
          <w:rFonts w:ascii="Lato" w:hAnsi="Lato" w:cs="Lato"/>
          <w:color w:val="20344B"/>
          <w:sz w:val="20"/>
          <w:szCs w:val="20"/>
          <w:vertAlign w:val="superscript"/>
        </w:rPr>
        <w:t xml:space="preserve">49 </w:t>
      </w:r>
      <w:r w:rsidRPr="00894BEF">
        <w:rPr>
          <w:rFonts w:ascii="Lato" w:hAnsi="Lato" w:cs="Lato"/>
          <w:color w:val="20344B"/>
          <w:sz w:val="20"/>
          <w:szCs w:val="20"/>
        </w:rPr>
        <w:t>for use alone or in combination, effective in transitioning scholarly society publications to open access.</w:t>
      </w:r>
    </w:p>
    <w:p w14:paraId="3D63DEC2" w14:textId="77777777" w:rsidR="00F614BC" w:rsidRPr="00894BEF" w:rsidRDefault="00854443">
      <w:pPr>
        <w:rPr>
          <w:rFonts w:ascii="Lato" w:hAnsi="Lato" w:cs="Lato"/>
          <w:color w:val="20344B"/>
          <w:sz w:val="20"/>
          <w:szCs w:val="20"/>
        </w:rPr>
      </w:pPr>
      <w:r w:rsidRPr="00894BEF">
        <w:rPr>
          <w:rFonts w:ascii="Lato" w:hAnsi="Lato" w:cs="Lato"/>
          <w:noProof/>
          <w:color w:val="20344B"/>
        </w:rPr>
        <w:lastRenderedPageBreak/>
        <w:drawing>
          <wp:anchor distT="114300" distB="114300" distL="114300" distR="114300" simplePos="0" relativeHeight="251662336" behindDoc="0" locked="0" layoutInCell="1" hidden="0" allowOverlap="1" wp14:anchorId="528DC299" wp14:editId="6C7F5EEF">
            <wp:simplePos x="0" y="0"/>
            <wp:positionH relativeFrom="column">
              <wp:posOffset>3448050</wp:posOffset>
            </wp:positionH>
            <wp:positionV relativeFrom="paragraph">
              <wp:posOffset>238125</wp:posOffset>
            </wp:positionV>
            <wp:extent cx="2732207" cy="3095625"/>
            <wp:effectExtent l="0" t="0" r="0" b="0"/>
            <wp:wrapSquare wrapText="bothSides" distT="114300" distB="114300" distL="114300" distR="114300"/>
            <wp:docPr id="4" name="image3.jpg" descr="Two graphs side by side show the increase in biology preprints at PrePubmed and the increase in the number of preprints hosted by the Open Science Framework." title="Preprints over time"/>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0"/>
                    <a:srcRect/>
                    <a:stretch>
                      <a:fillRect/>
                    </a:stretch>
                  </pic:blipFill>
                  <pic:spPr>
                    <a:xfrm>
                      <a:off x="0" y="0"/>
                      <a:ext cx="2732207" cy="3095625"/>
                    </a:xfrm>
                    <a:prstGeom prst="rect">
                      <a:avLst/>
                    </a:prstGeom>
                    <a:ln/>
                  </pic:spPr>
                </pic:pic>
              </a:graphicData>
            </a:graphic>
          </wp:anchor>
        </w:drawing>
      </w:r>
    </w:p>
    <w:p w14:paraId="3B6585F4" w14:textId="3CFA380E" w:rsidR="00F614BC" w:rsidRPr="00894BEF" w:rsidRDefault="00854443">
      <w:pPr>
        <w:rPr>
          <w:rFonts w:ascii="Lato" w:hAnsi="Lato" w:cs="Lato"/>
          <w:color w:val="20344B"/>
          <w:sz w:val="20"/>
          <w:szCs w:val="20"/>
        </w:rPr>
      </w:pPr>
      <w:r w:rsidRPr="00894BEF">
        <w:rPr>
          <w:rFonts w:ascii="Lato" w:hAnsi="Lato" w:cs="Lato"/>
          <w:color w:val="20344B"/>
          <w:sz w:val="20"/>
          <w:szCs w:val="20"/>
        </w:rPr>
        <w:t xml:space="preserve">Yet journal publication represents only one mode for increasing public access to scholarship. For example, some societies have worked to make their publication agreements more open-friendly so their authors may retain their rights to deposit articles in institutional and disciplinary repositories. Many societies have gone a step further and created disciplinary repositories where authors can deposit preprints, </w:t>
      </w:r>
      <w:proofErr w:type="spellStart"/>
      <w:r w:rsidRPr="00894BEF">
        <w:rPr>
          <w:rFonts w:ascii="Lato" w:hAnsi="Lato" w:cs="Lato"/>
          <w:color w:val="20344B"/>
          <w:sz w:val="20"/>
          <w:szCs w:val="20"/>
        </w:rPr>
        <w:t>postprints</w:t>
      </w:r>
      <w:proofErr w:type="spellEnd"/>
      <w:r w:rsidRPr="00894BEF">
        <w:rPr>
          <w:rFonts w:ascii="Lato" w:hAnsi="Lato" w:cs="Lato"/>
          <w:color w:val="20344B"/>
          <w:sz w:val="20"/>
          <w:szCs w:val="20"/>
        </w:rPr>
        <w:t>, data sets, gray literature, and other scholarly outputs (Figure 6</w:t>
      </w:r>
      <w:hyperlink r:id="rId81" w:history="1">
        <w:r w:rsidRPr="00A01B95">
          <w:rPr>
            <w:rStyle w:val="Hyperlink"/>
            <w:rFonts w:ascii="Lato" w:hAnsi="Lato" w:cs="Lato"/>
            <w:color w:val="1155CC"/>
            <w:sz w:val="20"/>
            <w:szCs w:val="20"/>
            <w:vertAlign w:val="superscript"/>
          </w:rPr>
          <w:t>50</w:t>
        </w:r>
      </w:hyperlink>
      <w:r w:rsidRPr="00894BEF">
        <w:rPr>
          <w:rFonts w:ascii="Lato" w:hAnsi="Lato" w:cs="Lato"/>
          <w:color w:val="20344B"/>
          <w:sz w:val="20"/>
          <w:szCs w:val="20"/>
        </w:rPr>
        <w:t>). There are many others, but a few of these include:</w:t>
      </w:r>
    </w:p>
    <w:p w14:paraId="40D0B470" w14:textId="77777777" w:rsidR="00F614BC" w:rsidRPr="00894BEF" w:rsidRDefault="00F614BC">
      <w:pPr>
        <w:rPr>
          <w:rFonts w:ascii="Lato" w:hAnsi="Lato" w:cs="Lato"/>
          <w:color w:val="20344B"/>
        </w:rPr>
      </w:pPr>
    </w:p>
    <w:p w14:paraId="21A6FB84" w14:textId="77777777" w:rsidR="00F614BC" w:rsidRPr="00894BEF" w:rsidRDefault="00854443">
      <w:pPr>
        <w:numPr>
          <w:ilvl w:val="0"/>
          <w:numId w:val="2"/>
        </w:numPr>
        <w:rPr>
          <w:rFonts w:ascii="Lato" w:hAnsi="Lato" w:cs="Lato"/>
          <w:color w:val="20344B"/>
          <w:sz w:val="20"/>
          <w:szCs w:val="20"/>
        </w:rPr>
      </w:pPr>
      <w:proofErr w:type="spellStart"/>
      <w:r w:rsidRPr="00894BEF">
        <w:rPr>
          <w:rFonts w:ascii="Lato" w:hAnsi="Lato" w:cs="Lato"/>
          <w:color w:val="20344B"/>
          <w:sz w:val="20"/>
          <w:szCs w:val="20"/>
        </w:rPr>
        <w:t>arXiv</w:t>
      </w:r>
      <w:proofErr w:type="spellEnd"/>
      <w:r w:rsidRPr="00894BEF">
        <w:rPr>
          <w:rFonts w:ascii="Lato" w:hAnsi="Lato" w:cs="Lato"/>
          <w:color w:val="20344B"/>
          <w:sz w:val="20"/>
          <w:szCs w:val="20"/>
        </w:rPr>
        <w:t xml:space="preserve"> (physics, mathematics, astronomy, computational science)</w:t>
      </w:r>
    </w:p>
    <w:p w14:paraId="1E0BADBA" w14:textId="77777777" w:rsidR="00F614BC" w:rsidRPr="00894BEF" w:rsidRDefault="00854443">
      <w:pPr>
        <w:numPr>
          <w:ilvl w:val="0"/>
          <w:numId w:val="2"/>
        </w:numPr>
        <w:rPr>
          <w:rFonts w:ascii="Lato" w:hAnsi="Lato" w:cs="Lato"/>
          <w:color w:val="20344B"/>
          <w:sz w:val="20"/>
          <w:szCs w:val="20"/>
        </w:rPr>
      </w:pPr>
      <w:proofErr w:type="spellStart"/>
      <w:r w:rsidRPr="00894BEF">
        <w:rPr>
          <w:rFonts w:ascii="Lato" w:hAnsi="Lato" w:cs="Lato"/>
          <w:color w:val="20344B"/>
          <w:sz w:val="20"/>
          <w:szCs w:val="20"/>
        </w:rPr>
        <w:t>bioRxiv</w:t>
      </w:r>
      <w:proofErr w:type="spellEnd"/>
      <w:r w:rsidRPr="00894BEF">
        <w:rPr>
          <w:rFonts w:ascii="Lato" w:hAnsi="Lato" w:cs="Lato"/>
          <w:color w:val="20344B"/>
          <w:sz w:val="20"/>
          <w:szCs w:val="20"/>
        </w:rPr>
        <w:t xml:space="preserve"> (life sciences)</w:t>
      </w:r>
    </w:p>
    <w:p w14:paraId="411489F1" w14:textId="77777777" w:rsidR="00F614BC" w:rsidRPr="00894BEF" w:rsidRDefault="00854443">
      <w:pPr>
        <w:numPr>
          <w:ilvl w:val="0"/>
          <w:numId w:val="2"/>
        </w:numPr>
        <w:rPr>
          <w:rFonts w:ascii="Lato" w:hAnsi="Lato" w:cs="Lato"/>
          <w:color w:val="20344B"/>
          <w:sz w:val="20"/>
          <w:szCs w:val="20"/>
        </w:rPr>
      </w:pPr>
      <w:proofErr w:type="spellStart"/>
      <w:r w:rsidRPr="00894BEF">
        <w:rPr>
          <w:rFonts w:ascii="Lato" w:hAnsi="Lato" w:cs="Lato"/>
          <w:color w:val="20344B"/>
          <w:sz w:val="20"/>
          <w:szCs w:val="20"/>
        </w:rPr>
        <w:t>engrXiv</w:t>
      </w:r>
      <w:proofErr w:type="spellEnd"/>
      <w:r w:rsidRPr="00894BEF">
        <w:rPr>
          <w:rFonts w:ascii="Lato" w:hAnsi="Lato" w:cs="Lato"/>
          <w:color w:val="20344B"/>
          <w:sz w:val="20"/>
          <w:szCs w:val="20"/>
        </w:rPr>
        <w:t xml:space="preserve"> (engineering)</w:t>
      </w:r>
    </w:p>
    <w:p w14:paraId="4BFCC66E" w14:textId="695EDA34" w:rsidR="00F614BC" w:rsidRPr="00894BEF" w:rsidRDefault="00ED6EE4">
      <w:pPr>
        <w:numPr>
          <w:ilvl w:val="0"/>
          <w:numId w:val="2"/>
        </w:numPr>
        <w:rPr>
          <w:rFonts w:ascii="Lato" w:hAnsi="Lato" w:cs="Lato"/>
          <w:color w:val="20344B"/>
          <w:sz w:val="20"/>
          <w:szCs w:val="20"/>
        </w:rPr>
      </w:pPr>
      <w:r w:rsidRPr="00894BEF">
        <w:rPr>
          <w:rFonts w:ascii="Lato" w:hAnsi="Lato" w:cs="Lato"/>
          <w:noProof/>
          <w:color w:val="20344B"/>
        </w:rPr>
        <mc:AlternateContent>
          <mc:Choice Requires="wps">
            <w:drawing>
              <wp:anchor distT="114300" distB="114300" distL="114300" distR="114300" simplePos="0" relativeHeight="251663360" behindDoc="0" locked="0" layoutInCell="1" hidden="0" allowOverlap="1" wp14:anchorId="7DAF2398" wp14:editId="515F6FC6">
                <wp:simplePos x="0" y="0"/>
                <wp:positionH relativeFrom="column">
                  <wp:posOffset>3314700</wp:posOffset>
                </wp:positionH>
                <wp:positionV relativeFrom="paragraph">
                  <wp:posOffset>159386</wp:posOffset>
                </wp:positionV>
                <wp:extent cx="3538855" cy="666750"/>
                <wp:effectExtent l="0" t="0" r="4445" b="0"/>
                <wp:wrapSquare wrapText="bothSides" distT="114300" distB="114300" distL="114300" distR="114300"/>
                <wp:docPr id="1" name="Text Box 1"/>
                <wp:cNvGraphicFramePr/>
                <a:graphic xmlns:a="http://schemas.openxmlformats.org/drawingml/2006/main">
                  <a:graphicData uri="http://schemas.microsoft.com/office/word/2010/wordprocessingShape">
                    <wps:wsp>
                      <wps:cNvSpPr txBox="1"/>
                      <wps:spPr>
                        <a:xfrm>
                          <a:off x="0" y="0"/>
                          <a:ext cx="3538855" cy="666750"/>
                        </a:xfrm>
                        <a:prstGeom prst="rect">
                          <a:avLst/>
                        </a:prstGeom>
                        <a:solidFill>
                          <a:srgbClr val="FFFFFF"/>
                        </a:solidFill>
                        <a:ln>
                          <a:noFill/>
                        </a:ln>
                      </wps:spPr>
                      <wps:txbx>
                        <w:txbxContent>
                          <w:p w14:paraId="20AD874B" w14:textId="7BBFF2DB" w:rsidR="00B24445" w:rsidRPr="00894BEF" w:rsidRDefault="00B24445">
                            <w:pPr>
                              <w:spacing w:line="240" w:lineRule="auto"/>
                              <w:textDirection w:val="btLr"/>
                              <w:rPr>
                                <w:rFonts w:ascii="Lato" w:hAnsi="Lato" w:cs="Lato"/>
                                <w:color w:val="20344B"/>
                              </w:rPr>
                            </w:pPr>
                            <w:r w:rsidRPr="00894BEF">
                              <w:rPr>
                                <w:rFonts w:ascii="Lato" w:hAnsi="Lato" w:cs="Lato"/>
                                <w:b/>
                                <w:color w:val="20344B"/>
                                <w:sz w:val="16"/>
                              </w:rPr>
                              <w:t>Figure 6. The rise in OA biomedical preprints over time</w:t>
                            </w:r>
                            <w:r>
                              <w:rPr>
                                <w:rFonts w:ascii="Lato" w:hAnsi="Lato" w:cs="Lato"/>
                                <w:b/>
                                <w:color w:val="20344B"/>
                                <w:sz w:val="16"/>
                              </w:rPr>
                              <w:t xml:space="preserve"> (</w:t>
                            </w:r>
                            <w:hyperlink r:id="rId82" w:history="1">
                              <w:r w:rsidRPr="006B7017">
                                <w:rPr>
                                  <w:rStyle w:val="Hyperlink"/>
                                  <w:rFonts w:ascii="Lato" w:hAnsi="Lato" w:cs="Lato"/>
                                  <w:b/>
                                  <w:color w:val="1155CC"/>
                                  <w:sz w:val="16"/>
                                </w:rPr>
                                <w:t>50</w:t>
                              </w:r>
                            </w:hyperlink>
                            <w:r>
                              <w:rPr>
                                <w:rFonts w:ascii="Lato" w:hAnsi="Lato" w:cs="Lato"/>
                                <w:b/>
                                <w:color w:val="20344B"/>
                                <w:sz w:val="16"/>
                              </w:rPr>
                              <w:t>)</w:t>
                            </w:r>
                            <w:r w:rsidRPr="00894BEF">
                              <w:rPr>
                                <w:rFonts w:ascii="Lato" w:hAnsi="Lato" w:cs="Lato"/>
                                <w:b/>
                                <w:color w:val="20344B"/>
                                <w:sz w:val="16"/>
                              </w:rPr>
                              <w:t>.</w:t>
                            </w:r>
                            <w:r w:rsidR="00601D0F">
                              <w:rPr>
                                <w:rFonts w:ascii="Lato" w:hAnsi="Lato" w:cs="Lato"/>
                                <w:b/>
                                <w:color w:val="20344B"/>
                                <w:sz w:val="16"/>
                              </w:rPr>
                              <w:t xml:space="preserve"> Image © Vox</w:t>
                            </w:r>
                          </w:p>
                          <w:p w14:paraId="3C2C1DD1" w14:textId="77777777" w:rsidR="00B24445" w:rsidRDefault="00B24445">
                            <w:pPr>
                              <w:spacing w:line="240" w:lineRule="auto"/>
                              <w:textDirection w:val="btLr"/>
                            </w:pPr>
                            <w:r>
                              <w:rPr>
                                <w:color w:val="000000"/>
                                <w:sz w:val="20"/>
                              </w:rPr>
                              <w:t xml:space="preserve"> </w:t>
                            </w: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7DAF2398" id="Text Box 1" o:spid="_x0000_s1029" type="#_x0000_t202" style="position:absolute;left:0;text-align:left;margin-left:261pt;margin-top:12.55pt;width:278.65pt;height:52.5pt;z-index:251663360;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" stroked="f">
                <v:textbox inset="2.53958mm,2.53958mm,2.53958mm,2.53958mm">
                  <w:txbxContent>
                    <w:p w14:paraId="20AD874B" w14:textId="7BBFF2DB" w:rsidR="00B24445" w:rsidRPr="00894BEF" w:rsidRDefault="00B24445">
                      <w:pPr>
                        <w:spacing w:line="240" w:lineRule="auto"/>
                        <w:textDirection w:val="btLr"/>
                        <w:rPr>
                          <w:rFonts w:ascii="Lato" w:hAnsi="Lato" w:cs="Lato"/>
                          <w:color w:val="20344B"/>
                        </w:rPr>
                      </w:pPr>
                      <w:r w:rsidRPr="00894BEF">
                        <w:rPr>
                          <w:rFonts w:ascii="Lato" w:hAnsi="Lato" w:cs="Lato"/>
                          <w:b/>
                          <w:color w:val="20344B"/>
                          <w:sz w:val="16"/>
                        </w:rPr>
                        <w:t>Figure 6. The rise in OA biomedical preprints over time</w:t>
                      </w:r>
                      <w:r>
                        <w:rPr>
                          <w:rFonts w:ascii="Lato" w:hAnsi="Lato" w:cs="Lato"/>
                          <w:b/>
                          <w:color w:val="20344B"/>
                          <w:sz w:val="16"/>
                        </w:rPr>
                        <w:t xml:space="preserve"> (</w:t>
                      </w:r>
                      <w:hyperlink r:id="rId83" w:history="1">
                        <w:r w:rsidRPr="006B7017">
                          <w:rPr>
                            <w:rStyle w:val="Hyperlink"/>
                            <w:rFonts w:ascii="Lato" w:hAnsi="Lato" w:cs="Lato"/>
                            <w:b/>
                            <w:color w:val="1155CC"/>
                            <w:sz w:val="16"/>
                          </w:rPr>
                          <w:t>50</w:t>
                        </w:r>
                      </w:hyperlink>
                      <w:r>
                        <w:rPr>
                          <w:rFonts w:ascii="Lato" w:hAnsi="Lato" w:cs="Lato"/>
                          <w:b/>
                          <w:color w:val="20344B"/>
                          <w:sz w:val="16"/>
                        </w:rPr>
                        <w:t>)</w:t>
                      </w:r>
                      <w:r w:rsidRPr="00894BEF">
                        <w:rPr>
                          <w:rFonts w:ascii="Lato" w:hAnsi="Lato" w:cs="Lato"/>
                          <w:b/>
                          <w:color w:val="20344B"/>
                          <w:sz w:val="16"/>
                        </w:rPr>
                        <w:t>.</w:t>
                      </w:r>
                      <w:r w:rsidR="00601D0F">
                        <w:rPr>
                          <w:rFonts w:ascii="Lato" w:hAnsi="Lato" w:cs="Lato"/>
                          <w:b/>
                          <w:color w:val="20344B"/>
                          <w:sz w:val="16"/>
                        </w:rPr>
                        <w:t xml:space="preserve"> Image © Vox</w:t>
                      </w:r>
                    </w:p>
                    <w:p w14:paraId="3C2C1DD1" w14:textId="77777777" w:rsidR="00B24445" w:rsidRDefault="00B24445">
                      <w:pPr>
                        <w:spacing w:line="240" w:lineRule="auto"/>
                        <w:textDirection w:val="btLr"/>
                      </w:pPr>
                      <w:r>
                        <w:rPr>
                          <w:color w:val="000000"/>
                          <w:sz w:val="20"/>
                        </w:rPr>
                        <w:t xml:space="preserve"> </w:t>
                      </w:r>
                    </w:p>
                  </w:txbxContent>
                </v:textbox>
                <w10:wrap type="square"/>
              </v:shape>
            </w:pict>
          </mc:Fallback>
        </mc:AlternateContent>
      </w:r>
      <w:r w:rsidR="00854443" w:rsidRPr="00894BEF">
        <w:rPr>
          <w:rFonts w:ascii="Lato" w:hAnsi="Lato" w:cs="Lato"/>
          <w:color w:val="20344B"/>
          <w:sz w:val="20"/>
          <w:szCs w:val="20"/>
        </w:rPr>
        <w:t>Humanities Commons</w:t>
      </w:r>
    </w:p>
    <w:p w14:paraId="3B5548AC" w14:textId="77777777" w:rsidR="00F614BC" w:rsidRPr="00894BEF" w:rsidRDefault="00854443">
      <w:pPr>
        <w:numPr>
          <w:ilvl w:val="0"/>
          <w:numId w:val="2"/>
        </w:numPr>
        <w:rPr>
          <w:rFonts w:ascii="Lato" w:hAnsi="Lato" w:cs="Lato"/>
          <w:color w:val="20344B"/>
          <w:sz w:val="20"/>
          <w:szCs w:val="20"/>
        </w:rPr>
      </w:pPr>
      <w:r w:rsidRPr="00894BEF">
        <w:rPr>
          <w:rFonts w:ascii="Lato" w:hAnsi="Lato" w:cs="Lato"/>
          <w:color w:val="20344B"/>
          <w:sz w:val="20"/>
          <w:szCs w:val="20"/>
        </w:rPr>
        <w:t>MLA Commons</w:t>
      </w:r>
    </w:p>
    <w:p w14:paraId="51D1B8BD" w14:textId="77777777" w:rsidR="00F614BC" w:rsidRPr="00894BEF" w:rsidRDefault="00854443">
      <w:pPr>
        <w:numPr>
          <w:ilvl w:val="0"/>
          <w:numId w:val="2"/>
        </w:numPr>
        <w:rPr>
          <w:rFonts w:ascii="Lato" w:hAnsi="Lato" w:cs="Lato"/>
          <w:color w:val="20344B"/>
          <w:sz w:val="20"/>
          <w:szCs w:val="20"/>
        </w:rPr>
      </w:pPr>
      <w:proofErr w:type="spellStart"/>
      <w:r w:rsidRPr="00894BEF">
        <w:rPr>
          <w:rFonts w:ascii="Lato" w:hAnsi="Lato" w:cs="Lato"/>
          <w:color w:val="20344B"/>
          <w:sz w:val="20"/>
          <w:szCs w:val="20"/>
        </w:rPr>
        <w:t>SocArXiv</w:t>
      </w:r>
      <w:proofErr w:type="spellEnd"/>
      <w:r w:rsidRPr="00894BEF">
        <w:rPr>
          <w:rFonts w:ascii="Lato" w:hAnsi="Lato" w:cs="Lato"/>
          <w:color w:val="20344B"/>
          <w:sz w:val="20"/>
          <w:szCs w:val="20"/>
        </w:rPr>
        <w:t xml:space="preserve"> (social sciences)</w:t>
      </w:r>
    </w:p>
    <w:p w14:paraId="75A904B9" w14:textId="77777777" w:rsidR="00F614BC" w:rsidRPr="00894BEF" w:rsidRDefault="00854443">
      <w:pPr>
        <w:numPr>
          <w:ilvl w:val="0"/>
          <w:numId w:val="2"/>
        </w:numPr>
        <w:rPr>
          <w:rFonts w:ascii="Lato" w:hAnsi="Lato" w:cs="Lato"/>
          <w:color w:val="20344B"/>
          <w:sz w:val="20"/>
          <w:szCs w:val="20"/>
        </w:rPr>
      </w:pPr>
      <w:proofErr w:type="spellStart"/>
      <w:r w:rsidRPr="00894BEF">
        <w:rPr>
          <w:rFonts w:ascii="Lato" w:hAnsi="Lato" w:cs="Lato"/>
          <w:color w:val="20344B"/>
          <w:sz w:val="20"/>
          <w:szCs w:val="20"/>
        </w:rPr>
        <w:t>PsyArXiv</w:t>
      </w:r>
      <w:proofErr w:type="spellEnd"/>
      <w:r w:rsidRPr="00894BEF">
        <w:rPr>
          <w:rFonts w:ascii="Lato" w:hAnsi="Lato" w:cs="Lato"/>
          <w:color w:val="20344B"/>
          <w:sz w:val="20"/>
          <w:szCs w:val="20"/>
        </w:rPr>
        <w:t xml:space="preserve"> (psychology)</w:t>
      </w:r>
    </w:p>
    <w:p w14:paraId="785BEB49" w14:textId="77777777" w:rsidR="00DB1134" w:rsidRDefault="00854443" w:rsidP="00DB1134">
      <w:pPr>
        <w:numPr>
          <w:ilvl w:val="0"/>
          <w:numId w:val="2"/>
        </w:numPr>
        <w:rPr>
          <w:rFonts w:ascii="Lato" w:hAnsi="Lato" w:cs="Lato"/>
          <w:color w:val="20344B"/>
          <w:sz w:val="20"/>
          <w:szCs w:val="20"/>
        </w:rPr>
      </w:pPr>
      <w:proofErr w:type="spellStart"/>
      <w:r w:rsidRPr="00894BEF">
        <w:rPr>
          <w:rFonts w:ascii="Lato" w:hAnsi="Lato" w:cs="Lato"/>
          <w:color w:val="20344B"/>
          <w:sz w:val="20"/>
          <w:szCs w:val="20"/>
        </w:rPr>
        <w:t>RePEc</w:t>
      </w:r>
      <w:proofErr w:type="spellEnd"/>
      <w:r w:rsidRPr="00894BEF">
        <w:rPr>
          <w:rFonts w:ascii="Lato" w:hAnsi="Lato" w:cs="Lato"/>
          <w:color w:val="20344B"/>
          <w:sz w:val="20"/>
          <w:szCs w:val="20"/>
        </w:rPr>
        <w:t xml:space="preserve"> (economics)</w:t>
      </w:r>
      <w:bookmarkStart w:id="19" w:name="_qfffh2v7jskp" w:colFirst="0" w:colLast="0"/>
      <w:bookmarkEnd w:id="19"/>
    </w:p>
    <w:p w14:paraId="3B0A0F25" w14:textId="77777777" w:rsidR="00DB1134" w:rsidRDefault="00DB1134" w:rsidP="00DB1134">
      <w:pPr>
        <w:rPr>
          <w:rFonts w:ascii="Lato" w:hAnsi="Lato" w:cs="Lato"/>
          <w:color w:val="20344B"/>
          <w:sz w:val="20"/>
          <w:szCs w:val="20"/>
        </w:rPr>
      </w:pPr>
    </w:p>
    <w:p w14:paraId="3A7A6D27" w14:textId="6F25A13E" w:rsidR="00DB1134" w:rsidRPr="007418D4" w:rsidRDefault="00ED6EE4" w:rsidP="00DB1134">
      <w:pPr>
        <w:spacing w:line="360" w:lineRule="auto"/>
        <w:rPr>
          <w:rFonts w:ascii="Lato" w:hAnsi="Lato" w:cs="Lato"/>
          <w:color w:val="20344B"/>
          <w:spacing w:val="20"/>
          <w:sz w:val="24"/>
          <w:szCs w:val="24"/>
        </w:rPr>
      </w:pPr>
      <w:r w:rsidRPr="007418D4">
        <w:rPr>
          <w:rFonts w:ascii="League Spartan" w:hAnsi="League Spartan"/>
          <w:b/>
          <w:bCs/>
          <w:color w:val="20344B"/>
          <w:spacing w:val="20"/>
          <w:sz w:val="28"/>
          <w:szCs w:val="28"/>
        </w:rPr>
        <w:t>PROMOTION AND TENURE CONSIDERATIONS</w:t>
      </w:r>
    </w:p>
    <w:p w14:paraId="6D6622A7" w14:textId="28F78372" w:rsidR="00F614BC" w:rsidRPr="00DB1134" w:rsidRDefault="00854443">
      <w:pPr>
        <w:rPr>
          <w:rFonts w:ascii="Lato" w:hAnsi="Lato" w:cs="Lato"/>
          <w:sz w:val="20"/>
          <w:szCs w:val="20"/>
        </w:rPr>
      </w:pPr>
      <w:r w:rsidRPr="00DB1134">
        <w:rPr>
          <w:rFonts w:ascii="Lato" w:hAnsi="Lato" w:cs="Lato"/>
          <w:color w:val="20344B"/>
          <w:sz w:val="20"/>
          <w:szCs w:val="20"/>
        </w:rPr>
        <w:t xml:space="preserve">Promotion, tenure, and review processes play a significant role in scholarly communication. Faculty seek to publish in venues which are valued by their professional peers. </w:t>
      </w:r>
      <w:hyperlink r:id="rId84">
        <w:r w:rsidRPr="00DB1134">
          <w:rPr>
            <w:rFonts w:ascii="Lato" w:hAnsi="Lato" w:cs="Lato"/>
            <w:color w:val="1155CC"/>
            <w:sz w:val="20"/>
            <w:szCs w:val="20"/>
            <w:u w:val="single"/>
          </w:rPr>
          <w:t xml:space="preserve">One recent </w:t>
        </w:r>
      </w:hyperlink>
      <w:hyperlink r:id="rId85">
        <w:r w:rsidRPr="00DB1134">
          <w:rPr>
            <w:rFonts w:ascii="Lato" w:hAnsi="Lato" w:cs="Lato"/>
            <w:color w:val="1155CC"/>
            <w:sz w:val="20"/>
            <w:szCs w:val="20"/>
            <w:u w:val="single"/>
          </w:rPr>
          <w:t>researc</w:t>
        </w:r>
      </w:hyperlink>
      <w:hyperlink r:id="rId86">
        <w:r w:rsidRPr="00DB1134">
          <w:rPr>
            <w:rFonts w:ascii="Lato" w:hAnsi="Lato" w:cs="Lato"/>
            <w:color w:val="1155CC"/>
            <w:sz w:val="20"/>
            <w:szCs w:val="20"/>
            <w:u w:val="single"/>
          </w:rPr>
          <w:t>h study</w:t>
        </w:r>
      </w:hyperlink>
      <w:r w:rsidRPr="00DB1134">
        <w:rPr>
          <w:rFonts w:ascii="Lato" w:hAnsi="Lato" w:cs="Lato"/>
          <w:color w:val="20344B"/>
          <w:sz w:val="20"/>
          <w:szCs w:val="20"/>
          <w:vertAlign w:val="superscript"/>
        </w:rPr>
        <w:t>51</w:t>
      </w:r>
      <w:r w:rsidRPr="00DB1134">
        <w:rPr>
          <w:rFonts w:ascii="Lato" w:hAnsi="Lato" w:cs="Lato"/>
          <w:color w:val="20344B"/>
          <w:sz w:val="20"/>
          <w:szCs w:val="20"/>
        </w:rPr>
        <w:t xml:space="preserve"> indicated scholars most value journal readership, while believing their peers most value prestige and related metrics such as impact factor. The impact factor, in turn, is also under the microscope; in 2012 the San Francisco Declaration on Research Assessment (</w:t>
      </w:r>
      <w:hyperlink r:id="rId87">
        <w:r w:rsidRPr="00DB1134">
          <w:rPr>
            <w:rFonts w:ascii="Lato" w:hAnsi="Lato" w:cs="Lato"/>
            <w:color w:val="20344B"/>
            <w:sz w:val="20"/>
            <w:szCs w:val="20"/>
            <w:u w:val="single"/>
          </w:rPr>
          <w:t>DORA</w:t>
        </w:r>
      </w:hyperlink>
      <w:r w:rsidRPr="00DB1134">
        <w:rPr>
          <w:rFonts w:ascii="Lato" w:hAnsi="Lato" w:cs="Lato"/>
          <w:color w:val="20344B"/>
          <w:sz w:val="20"/>
          <w:szCs w:val="20"/>
          <w:vertAlign w:val="superscript"/>
        </w:rPr>
        <w:t>52</w:t>
      </w:r>
      <w:r w:rsidRPr="00DB1134">
        <w:rPr>
          <w:rFonts w:ascii="Lato" w:hAnsi="Lato" w:cs="Lato"/>
          <w:color w:val="20344B"/>
          <w:sz w:val="20"/>
          <w:szCs w:val="20"/>
        </w:rPr>
        <w:t xml:space="preserve">) called into question the Journal Impact Factor (JIF) for “a number of well-documented deficiencies as a tool for research assessment” and urged the elimination “of journal-based metrics in funding, appointment, and promotion considerations” and “the need to assess research on its own merits rather than on the basis of the journal in which the research is published.” Echoing this last point, </w:t>
      </w:r>
      <w:hyperlink r:id="rId88">
        <w:r w:rsidRPr="00DB1134">
          <w:rPr>
            <w:rFonts w:ascii="Lato" w:hAnsi="Lato" w:cs="Lato"/>
            <w:color w:val="1155CC"/>
            <w:sz w:val="20"/>
            <w:szCs w:val="20"/>
            <w:u w:val="single"/>
          </w:rPr>
          <w:t xml:space="preserve">another </w:t>
        </w:r>
      </w:hyperlink>
      <w:hyperlink r:id="rId89">
        <w:r w:rsidRPr="00DB1134">
          <w:rPr>
            <w:rFonts w:ascii="Lato" w:hAnsi="Lato" w:cs="Lato"/>
            <w:color w:val="1155CC"/>
            <w:sz w:val="20"/>
            <w:szCs w:val="20"/>
            <w:u w:val="single"/>
          </w:rPr>
          <w:t>recent study</w:t>
        </w:r>
      </w:hyperlink>
      <w:r w:rsidRPr="00DB1134">
        <w:rPr>
          <w:rFonts w:ascii="Lato" w:hAnsi="Lato" w:cs="Lato"/>
          <w:color w:val="20344B"/>
          <w:sz w:val="20"/>
          <w:szCs w:val="20"/>
          <w:vertAlign w:val="superscript"/>
        </w:rPr>
        <w:t>53</w:t>
      </w:r>
      <w:r w:rsidRPr="00DB1134">
        <w:rPr>
          <w:rFonts w:ascii="Lato" w:hAnsi="Lato" w:cs="Lato"/>
          <w:color w:val="20344B"/>
          <w:sz w:val="20"/>
          <w:szCs w:val="20"/>
        </w:rPr>
        <w:t xml:space="preserve"> indicated most scholars agree that high-quality peer reviewed works should be encouraged via promotion and tenure processes, whereas in practice the publication venue is frequently used as a proxy for quality and rigorous peer review. Findings such as these highlight the academy’s need to respond more agilely to new publication venues, some of which offer the ability to support more open and diverse ways to make research public while addressing the economics of scholarly publishing.</w:t>
      </w:r>
    </w:p>
    <w:p w14:paraId="024C4B12" w14:textId="53A7CEA9" w:rsidR="00F614BC" w:rsidRPr="007418D4" w:rsidRDefault="00DB1134">
      <w:pPr>
        <w:pStyle w:val="Heading3"/>
        <w:rPr>
          <w:rFonts w:ascii="League Spartan" w:hAnsi="League Spartan"/>
          <w:b/>
          <w:bCs/>
          <w:color w:val="20344B"/>
          <w:spacing w:val="20"/>
        </w:rPr>
      </w:pPr>
      <w:bookmarkStart w:id="20" w:name="_eqt301gr5zk4" w:colFirst="0" w:colLast="0"/>
      <w:bookmarkEnd w:id="20"/>
      <w:r w:rsidRPr="007418D4">
        <w:rPr>
          <w:rFonts w:ascii="League Spartan" w:hAnsi="League Spartan"/>
          <w:b/>
          <w:bCs/>
          <w:color w:val="20344B"/>
          <w:spacing w:val="20"/>
        </w:rPr>
        <w:t xml:space="preserve">SHARING OF ITEMS OTHER THAN SCHOLARLY ARTICLES </w:t>
      </w:r>
    </w:p>
    <w:p w14:paraId="43E8A251" w14:textId="77777777" w:rsidR="00F614BC" w:rsidRPr="008D4087" w:rsidRDefault="00854443">
      <w:pPr>
        <w:rPr>
          <w:rFonts w:ascii="Lato" w:hAnsi="Lato" w:cs="Lato"/>
          <w:color w:val="20344B"/>
        </w:rPr>
      </w:pPr>
      <w:r w:rsidRPr="008D4087">
        <w:rPr>
          <w:rFonts w:ascii="Lato" w:hAnsi="Lato" w:cs="Lato"/>
          <w:color w:val="20344B"/>
          <w:sz w:val="20"/>
          <w:szCs w:val="20"/>
        </w:rPr>
        <w:t xml:space="preserve">The scholarly landscape has evolved in recent years to include not just formal publications such as books and articles, but a wide range of other valuable research achievements, such as digital scholarship projects, datasets, and software. In a networked scholarly communication environment, these research outputs merit serious attention. Digital scholarship projects combine the power of technologies such as GIS, linked open data, data and text analysis with traditional and rigorous research materials and techniques to create new ways to explore and understand the past, present, and future. Datasets of all varieties (images, audio, topological, numerical, etc.) hold value for current and future users; a dataset used by a climatologist may also be of value to a public policy analyst, </w:t>
      </w:r>
      <w:r w:rsidRPr="008D4087">
        <w:rPr>
          <w:rFonts w:ascii="Lato" w:hAnsi="Lato" w:cs="Lato"/>
          <w:color w:val="20344B"/>
          <w:sz w:val="20"/>
          <w:szCs w:val="20"/>
        </w:rPr>
        <w:lastRenderedPageBreak/>
        <w:t>political scientist, or a historian. Software to interact with information, facilitate queries, or create visualizations has clear applications in the scholarly landscape and beyond. The availability of data and code allows for the important work of examining research for validity and rigor. Although it is essential to have access to basic data to verify and reproduce the results of articles in peer-reviewed journals, it is frequently unavailable. Determining how to assess, provide credit for, utilize, maintain and preserve these research outputs holds both challenge and promise.</w:t>
      </w:r>
    </w:p>
    <w:p w14:paraId="4EA7E0C8" w14:textId="11B4FA10" w:rsidR="00F614BC" w:rsidRPr="00E74F00" w:rsidRDefault="00E74F00">
      <w:pPr>
        <w:pStyle w:val="Heading2"/>
        <w:rPr>
          <w:rFonts w:ascii="League Spartan" w:hAnsi="League Spartan"/>
          <w:b/>
          <w:bCs/>
          <w:color w:val="20344B"/>
        </w:rPr>
      </w:pPr>
      <w:bookmarkStart w:id="21" w:name="_1hvq1ldjhgsm" w:colFirst="0" w:colLast="0"/>
      <w:bookmarkEnd w:id="21"/>
      <w:r w:rsidRPr="00E74F00">
        <w:rPr>
          <w:rFonts w:ascii="League Spartan" w:hAnsi="League Spartan"/>
          <w:b/>
          <w:bCs/>
          <w:color w:val="20344B"/>
        </w:rPr>
        <w:t>RECOMMENDATIONS OF THE SCHOLARLY COMMUNICATION TASKFORCE</w:t>
      </w:r>
    </w:p>
    <w:p w14:paraId="196743F5" w14:textId="77777777" w:rsidR="00F614BC" w:rsidRPr="00830ED3" w:rsidRDefault="00854443">
      <w:pPr>
        <w:rPr>
          <w:rFonts w:ascii="Lato" w:hAnsi="Lato" w:cs="Lato"/>
          <w:color w:val="20344B"/>
          <w:sz w:val="20"/>
          <w:szCs w:val="20"/>
        </w:rPr>
      </w:pPr>
      <w:r w:rsidRPr="00830ED3">
        <w:rPr>
          <w:rFonts w:ascii="Lato" w:hAnsi="Lato" w:cs="Lato"/>
          <w:color w:val="20344B"/>
          <w:sz w:val="20"/>
          <w:szCs w:val="20"/>
        </w:rPr>
        <w:t>After reviewing, considering, and discussing the</w:t>
      </w:r>
      <w:r w:rsidRPr="00830ED3">
        <w:rPr>
          <w:rFonts w:ascii="Lato" w:hAnsi="Lato" w:cs="Lato"/>
          <w:sz w:val="20"/>
          <w:szCs w:val="20"/>
        </w:rPr>
        <w:t xml:space="preserve"> </w:t>
      </w:r>
      <w:hyperlink r:id="rId90">
        <w:r w:rsidRPr="00830ED3">
          <w:rPr>
            <w:rFonts w:ascii="Lato" w:hAnsi="Lato" w:cs="Lato"/>
            <w:color w:val="1155CC"/>
            <w:sz w:val="20"/>
            <w:szCs w:val="20"/>
            <w:u w:val="single"/>
          </w:rPr>
          <w:t>relevant literature</w:t>
        </w:r>
      </w:hyperlink>
      <w:r w:rsidRPr="00830ED3">
        <w:rPr>
          <w:rFonts w:ascii="Lato" w:hAnsi="Lato" w:cs="Lato"/>
          <w:color w:val="20344B"/>
          <w:sz w:val="20"/>
          <w:szCs w:val="20"/>
          <w:vertAlign w:val="superscript"/>
        </w:rPr>
        <w:t>54</w:t>
      </w:r>
      <w:r w:rsidRPr="00830ED3">
        <w:rPr>
          <w:rFonts w:ascii="Lato" w:hAnsi="Lato" w:cs="Lato"/>
          <w:color w:val="20344B"/>
          <w:sz w:val="20"/>
          <w:szCs w:val="20"/>
        </w:rPr>
        <w:t xml:space="preserve"> and associated best practices the  University Libraries Committee Scholarly Communication Taskforce recommends the stakeholders identified below take the following actions to have the most positive impact upon the creation of an open and sustainable system of scholarly communication at OU: </w:t>
      </w:r>
    </w:p>
    <w:p w14:paraId="29A6C5AD" w14:textId="77777777" w:rsidR="00F614BC" w:rsidRPr="00830ED3" w:rsidRDefault="00F614BC">
      <w:pPr>
        <w:rPr>
          <w:rFonts w:ascii="Lato" w:hAnsi="Lato" w:cs="Lato"/>
          <w:color w:val="20344B"/>
        </w:rPr>
      </w:pPr>
    </w:p>
    <w:p w14:paraId="7DFA561C" w14:textId="77777777" w:rsidR="00F614BC" w:rsidRPr="00830ED3" w:rsidRDefault="00854443">
      <w:pPr>
        <w:numPr>
          <w:ilvl w:val="0"/>
          <w:numId w:val="9"/>
        </w:numPr>
        <w:spacing w:after="200"/>
        <w:rPr>
          <w:rFonts w:ascii="Lato" w:hAnsi="Lato" w:cs="Lato"/>
          <w:sz w:val="20"/>
          <w:szCs w:val="20"/>
        </w:rPr>
      </w:pPr>
      <w:r w:rsidRPr="00830ED3">
        <w:rPr>
          <w:rFonts w:ascii="Lato" w:hAnsi="Lato" w:cs="Lato"/>
          <w:b/>
          <w:color w:val="20344B"/>
          <w:sz w:val="20"/>
          <w:szCs w:val="20"/>
        </w:rPr>
        <w:t xml:space="preserve">OU Faculty Senate begins the preparatory steps necessary to pass a university Open Access Policy based on the </w:t>
      </w:r>
      <w:hyperlink r:id="rId91">
        <w:r w:rsidRPr="00830ED3">
          <w:rPr>
            <w:rFonts w:ascii="Lato" w:hAnsi="Lato" w:cs="Lato"/>
            <w:b/>
            <w:color w:val="1155CC"/>
            <w:sz w:val="20"/>
            <w:szCs w:val="20"/>
            <w:u w:val="single"/>
          </w:rPr>
          <w:t>Harvard model policy</w:t>
        </w:r>
      </w:hyperlink>
      <w:r w:rsidRPr="00830ED3">
        <w:rPr>
          <w:rFonts w:ascii="Lato" w:hAnsi="Lato" w:cs="Lato"/>
          <w:b/>
          <w:color w:val="20344B"/>
          <w:sz w:val="20"/>
          <w:szCs w:val="20"/>
          <w:vertAlign w:val="superscript"/>
        </w:rPr>
        <w:t xml:space="preserve">1 </w:t>
      </w:r>
      <w:r w:rsidRPr="00830ED3">
        <w:rPr>
          <w:rFonts w:ascii="Lato" w:hAnsi="Lato" w:cs="Lato"/>
          <w:b/>
          <w:color w:val="20344B"/>
          <w:sz w:val="20"/>
          <w:szCs w:val="20"/>
        </w:rPr>
        <w:t>language.</w:t>
      </w:r>
      <w:r w:rsidRPr="00830ED3">
        <w:rPr>
          <w:rFonts w:ascii="Lato" w:hAnsi="Lato" w:cs="Lato"/>
          <w:color w:val="20344B"/>
          <w:sz w:val="20"/>
          <w:szCs w:val="20"/>
        </w:rPr>
        <w:t xml:space="preserve"> An open access policy encourages and facilitates the wider circulation of scholarship created at OU. Many peer and aspirational-peer institutions have already developed such policies (</w:t>
      </w:r>
      <w:hyperlink w:anchor="_j396u3hnprzb">
        <w:r w:rsidRPr="00830ED3">
          <w:rPr>
            <w:rFonts w:ascii="Lato" w:hAnsi="Lato" w:cs="Lato"/>
            <w:color w:val="1155CC"/>
            <w:sz w:val="20"/>
            <w:szCs w:val="20"/>
            <w:u w:val="single"/>
          </w:rPr>
          <w:t>Appendix A</w:t>
        </w:r>
      </w:hyperlink>
      <w:r w:rsidRPr="00830ED3">
        <w:rPr>
          <w:rFonts w:ascii="Lato" w:hAnsi="Lato" w:cs="Lato"/>
          <w:color w:val="20344B"/>
          <w:sz w:val="20"/>
          <w:szCs w:val="20"/>
        </w:rPr>
        <w:t>).</w:t>
      </w:r>
    </w:p>
    <w:p w14:paraId="07C66F54" w14:textId="77777777" w:rsidR="00F614BC" w:rsidRPr="00830ED3" w:rsidRDefault="00854443">
      <w:pPr>
        <w:numPr>
          <w:ilvl w:val="0"/>
          <w:numId w:val="9"/>
        </w:numPr>
        <w:spacing w:after="200"/>
        <w:rPr>
          <w:rFonts w:ascii="Lato" w:hAnsi="Lato" w:cs="Lato"/>
          <w:color w:val="20344B"/>
          <w:sz w:val="20"/>
          <w:szCs w:val="20"/>
        </w:rPr>
      </w:pPr>
      <w:r w:rsidRPr="00830ED3">
        <w:rPr>
          <w:rFonts w:ascii="Lato" w:hAnsi="Lato" w:cs="Lato"/>
          <w:b/>
          <w:color w:val="20344B"/>
          <w:sz w:val="20"/>
          <w:szCs w:val="20"/>
        </w:rPr>
        <w:t xml:space="preserve">Scholars at OU seek to </w:t>
      </w:r>
      <w:hyperlink r:id="rId92">
        <w:r w:rsidRPr="00830ED3">
          <w:rPr>
            <w:rFonts w:ascii="Lato" w:hAnsi="Lato" w:cs="Lato"/>
            <w:b/>
            <w:color w:val="1155CC"/>
            <w:sz w:val="20"/>
            <w:szCs w:val="20"/>
            <w:u w:val="single"/>
          </w:rPr>
          <w:t xml:space="preserve">retain their rights as </w:t>
        </w:r>
      </w:hyperlink>
      <w:hyperlink r:id="rId93">
        <w:r w:rsidRPr="00830ED3">
          <w:rPr>
            <w:rFonts w:ascii="Lato" w:hAnsi="Lato" w:cs="Lato"/>
            <w:b/>
            <w:color w:val="1155CC"/>
            <w:sz w:val="20"/>
            <w:szCs w:val="20"/>
            <w:u w:val="single"/>
          </w:rPr>
          <w:t>authors</w:t>
        </w:r>
      </w:hyperlink>
      <w:r w:rsidRPr="00830ED3">
        <w:rPr>
          <w:rFonts w:ascii="Lato" w:hAnsi="Lato" w:cs="Lato"/>
          <w:b/>
          <w:color w:val="20344B"/>
          <w:sz w:val="20"/>
          <w:szCs w:val="20"/>
          <w:vertAlign w:val="superscript"/>
        </w:rPr>
        <w:t>2</w:t>
      </w:r>
      <w:r w:rsidRPr="00830ED3">
        <w:rPr>
          <w:rFonts w:ascii="Lato" w:hAnsi="Lato" w:cs="Lato"/>
          <w:b/>
          <w:color w:val="20344B"/>
          <w:sz w:val="20"/>
          <w:szCs w:val="20"/>
        </w:rPr>
        <w:t xml:space="preserve"> when possible.</w:t>
      </w:r>
      <w:r w:rsidRPr="00830ED3">
        <w:rPr>
          <w:rFonts w:ascii="Lato" w:hAnsi="Lato" w:cs="Lato"/>
          <w:color w:val="20344B"/>
          <w:sz w:val="20"/>
          <w:szCs w:val="20"/>
        </w:rPr>
        <w:t xml:space="preserve"> Strategies to address this can be provided through websites, workshops and presentations, videos, individual consultations with liaison librarians, and other means. </w:t>
      </w:r>
    </w:p>
    <w:p w14:paraId="62A9A66E" w14:textId="77777777" w:rsidR="00F614BC" w:rsidRPr="00830ED3" w:rsidRDefault="00854443">
      <w:pPr>
        <w:numPr>
          <w:ilvl w:val="0"/>
          <w:numId w:val="9"/>
        </w:numPr>
        <w:spacing w:after="200"/>
        <w:rPr>
          <w:rFonts w:ascii="Lato" w:hAnsi="Lato" w:cs="Lato"/>
          <w:sz w:val="20"/>
          <w:szCs w:val="20"/>
        </w:rPr>
      </w:pPr>
      <w:r w:rsidRPr="00830ED3">
        <w:rPr>
          <w:rFonts w:ascii="Lato" w:hAnsi="Lato" w:cs="Lato"/>
          <w:b/>
          <w:color w:val="20344B"/>
          <w:sz w:val="20"/>
          <w:szCs w:val="20"/>
        </w:rPr>
        <w:t xml:space="preserve">The University, through the University Libraries, promotes and supports mediated deposit of scholarly and research materials into OU’s institutional repository, </w:t>
      </w:r>
      <w:hyperlink r:id="rId94">
        <w:r w:rsidRPr="00830ED3">
          <w:rPr>
            <w:rFonts w:ascii="Lato" w:hAnsi="Lato" w:cs="Lato"/>
            <w:b/>
            <w:color w:val="1155CC"/>
            <w:sz w:val="20"/>
            <w:szCs w:val="20"/>
            <w:u w:val="single"/>
          </w:rPr>
          <w:t>SHAREOK</w:t>
        </w:r>
      </w:hyperlink>
      <w:r w:rsidRPr="00830ED3">
        <w:rPr>
          <w:rFonts w:ascii="Lato" w:hAnsi="Lato" w:cs="Lato"/>
          <w:b/>
          <w:color w:val="20344B"/>
          <w:sz w:val="20"/>
          <w:szCs w:val="20"/>
          <w:vertAlign w:val="superscript"/>
        </w:rPr>
        <w:t>3</w:t>
      </w:r>
      <w:r w:rsidRPr="00830ED3">
        <w:rPr>
          <w:rFonts w:ascii="Lato" w:hAnsi="Lato" w:cs="Lato"/>
          <w:b/>
          <w:color w:val="20344B"/>
          <w:sz w:val="20"/>
          <w:szCs w:val="20"/>
        </w:rPr>
        <w:t>.</w:t>
      </w:r>
      <w:r w:rsidRPr="00830ED3">
        <w:rPr>
          <w:rFonts w:ascii="Lato" w:hAnsi="Lato" w:cs="Lato"/>
          <w:color w:val="20344B"/>
          <w:sz w:val="20"/>
          <w:szCs w:val="20"/>
        </w:rPr>
        <w:t xml:space="preserve"> SHAREOK provides the necessary infrastructure for OU stakeholders to share scholarship on a stable, open platform that facilitates interoperability with major search engines and harvesting initiatives. </w:t>
      </w:r>
    </w:p>
    <w:p w14:paraId="2162BDA7" w14:textId="77777777" w:rsidR="00F614BC" w:rsidRPr="00830ED3" w:rsidRDefault="00854443">
      <w:pPr>
        <w:numPr>
          <w:ilvl w:val="0"/>
          <w:numId w:val="9"/>
        </w:numPr>
        <w:spacing w:after="200"/>
        <w:rPr>
          <w:rFonts w:ascii="Lato" w:hAnsi="Lato" w:cs="Lato"/>
          <w:color w:val="20344B"/>
          <w:sz w:val="20"/>
          <w:szCs w:val="20"/>
        </w:rPr>
      </w:pPr>
      <w:r w:rsidRPr="00830ED3">
        <w:rPr>
          <w:rFonts w:ascii="Lato" w:hAnsi="Lato" w:cs="Lato"/>
          <w:b/>
          <w:color w:val="20344B"/>
          <w:sz w:val="20"/>
          <w:szCs w:val="20"/>
        </w:rPr>
        <w:t>University Libraries provides tools and resources to assist scholars in identifying quality outlets for publishing their work and serving in editorial capacities</w:t>
      </w:r>
      <w:r w:rsidRPr="00830ED3">
        <w:rPr>
          <w:rFonts w:ascii="Lato" w:hAnsi="Lato" w:cs="Lato"/>
          <w:color w:val="20344B"/>
          <w:sz w:val="20"/>
          <w:szCs w:val="20"/>
        </w:rPr>
        <w:t xml:space="preserve">; tools to provide this information are available at OU Libraries </w:t>
      </w:r>
      <w:hyperlink r:id="rId95">
        <w:r w:rsidRPr="00830ED3">
          <w:rPr>
            <w:rFonts w:ascii="Lato" w:hAnsi="Lato" w:cs="Lato"/>
            <w:color w:val="1155CC"/>
            <w:sz w:val="20"/>
            <w:szCs w:val="20"/>
            <w:u w:val="single"/>
          </w:rPr>
          <w:t>Evaluating Publishers web page</w:t>
        </w:r>
      </w:hyperlink>
      <w:r w:rsidRPr="00830ED3">
        <w:rPr>
          <w:rFonts w:ascii="Lato" w:hAnsi="Lato" w:cs="Lato"/>
          <w:color w:val="20344B"/>
          <w:sz w:val="20"/>
          <w:szCs w:val="20"/>
          <w:vertAlign w:val="superscript"/>
        </w:rPr>
        <w:t>4</w:t>
      </w:r>
      <w:r w:rsidRPr="00830ED3">
        <w:rPr>
          <w:rFonts w:ascii="Lato" w:hAnsi="Lato" w:cs="Lato"/>
          <w:color w:val="20344B"/>
          <w:sz w:val="20"/>
          <w:szCs w:val="20"/>
        </w:rPr>
        <w:t xml:space="preserve">. Quality of publication venues is important for tenure and promotion as well as for ensuring the quality and reliability of open access scholarship; these tools and resources will help scholars choose the most advantageous outlets for their work and avoid questionable publishers and journals. </w:t>
      </w:r>
    </w:p>
    <w:p w14:paraId="64127486" w14:textId="77777777" w:rsidR="00F614BC" w:rsidRPr="00830ED3" w:rsidRDefault="00854443">
      <w:pPr>
        <w:numPr>
          <w:ilvl w:val="0"/>
          <w:numId w:val="9"/>
        </w:numPr>
        <w:spacing w:after="200"/>
        <w:rPr>
          <w:rFonts w:ascii="Lato" w:hAnsi="Lato" w:cs="Lato"/>
          <w:sz w:val="20"/>
          <w:szCs w:val="20"/>
        </w:rPr>
      </w:pPr>
      <w:r w:rsidRPr="00830ED3">
        <w:rPr>
          <w:rFonts w:ascii="Lato" w:hAnsi="Lato" w:cs="Lato"/>
          <w:b/>
          <w:color w:val="20344B"/>
          <w:sz w:val="20"/>
          <w:szCs w:val="20"/>
        </w:rPr>
        <w:t>OU Faculty Senate considers a</w:t>
      </w:r>
      <w:hyperlink r:id="rId96">
        <w:r w:rsidRPr="00830ED3">
          <w:rPr>
            <w:rFonts w:ascii="Lato" w:hAnsi="Lato" w:cs="Lato"/>
            <w:b/>
            <w:sz w:val="20"/>
            <w:szCs w:val="20"/>
          </w:rPr>
          <w:t xml:space="preserve"> </w:t>
        </w:r>
      </w:hyperlink>
      <w:hyperlink r:id="rId97">
        <w:r w:rsidRPr="00830ED3">
          <w:rPr>
            <w:rFonts w:ascii="Lato" w:hAnsi="Lato" w:cs="Lato"/>
            <w:b/>
            <w:color w:val="1155CC"/>
            <w:sz w:val="20"/>
            <w:szCs w:val="20"/>
            <w:u w:val="single"/>
          </w:rPr>
          <w:t>resolution</w:t>
        </w:r>
      </w:hyperlink>
      <w:r w:rsidRPr="00830ED3">
        <w:rPr>
          <w:rFonts w:ascii="Lato" w:hAnsi="Lato" w:cs="Lato"/>
          <w:b/>
          <w:color w:val="20344B"/>
          <w:sz w:val="20"/>
          <w:szCs w:val="20"/>
          <w:vertAlign w:val="superscript"/>
        </w:rPr>
        <w:t>5</w:t>
      </w:r>
      <w:r w:rsidRPr="00830ED3">
        <w:rPr>
          <w:rFonts w:ascii="Lato" w:hAnsi="Lato" w:cs="Lato"/>
          <w:b/>
          <w:color w:val="20344B"/>
          <w:sz w:val="20"/>
          <w:szCs w:val="20"/>
        </w:rPr>
        <w:t xml:space="preserve"> promoting principles for advancing openness, and open access rights to University personnel-authored works, through University Libraries journal negotiations.</w:t>
      </w:r>
      <w:r w:rsidRPr="00830ED3">
        <w:rPr>
          <w:rFonts w:ascii="Lato" w:hAnsi="Lato" w:cs="Lato"/>
          <w:color w:val="20344B"/>
          <w:sz w:val="20"/>
          <w:szCs w:val="20"/>
        </w:rPr>
        <w:t xml:space="preserve"> </w:t>
      </w:r>
      <w:r w:rsidRPr="00830ED3">
        <w:rPr>
          <w:rFonts w:ascii="Lato" w:hAnsi="Lato" w:cs="Lato"/>
          <w:color w:val="20344B"/>
          <w:sz w:val="20"/>
          <w:szCs w:val="20"/>
          <w:highlight w:val="white"/>
        </w:rPr>
        <w:t>As the representative body where issues of critical importance for the University of Oklahoma’s community of scholars are deliberated, resolutions adopted by the Faculty Senate serve as authoritative statements of the will of the faculty. The resolution process provides an essential forum in which to give due deliberation to the principles for advancing openness.</w:t>
      </w:r>
    </w:p>
    <w:p w14:paraId="330D361C" w14:textId="77777777" w:rsidR="00F614BC" w:rsidRPr="00830ED3" w:rsidRDefault="00854443">
      <w:pPr>
        <w:numPr>
          <w:ilvl w:val="0"/>
          <w:numId w:val="9"/>
        </w:numPr>
        <w:spacing w:after="200"/>
        <w:rPr>
          <w:rFonts w:ascii="Lato" w:hAnsi="Lato" w:cs="Lato"/>
          <w:color w:val="20344B"/>
          <w:sz w:val="20"/>
          <w:szCs w:val="20"/>
        </w:rPr>
      </w:pPr>
      <w:r w:rsidRPr="00830ED3">
        <w:rPr>
          <w:rFonts w:ascii="Lato" w:hAnsi="Lato" w:cs="Lato"/>
          <w:b/>
          <w:color w:val="20344B"/>
          <w:sz w:val="20"/>
          <w:szCs w:val="20"/>
        </w:rPr>
        <w:t xml:space="preserve">Scholars choose outlets for their publications with an awareness of fair pricing and open access; tools to provide this information are available at web pages for the </w:t>
      </w:r>
      <w:hyperlink r:id="rId98">
        <w:r w:rsidRPr="00830ED3">
          <w:rPr>
            <w:rFonts w:ascii="Lato" w:hAnsi="Lato" w:cs="Lato"/>
            <w:b/>
            <w:color w:val="1155CC"/>
            <w:sz w:val="20"/>
            <w:szCs w:val="20"/>
            <w:u w:val="single"/>
          </w:rPr>
          <w:t>OU Libraries Serial Projects</w:t>
        </w:r>
      </w:hyperlink>
      <w:r w:rsidRPr="00830ED3">
        <w:rPr>
          <w:rFonts w:ascii="Lato" w:hAnsi="Lato" w:cs="Lato"/>
          <w:b/>
          <w:color w:val="20344B"/>
          <w:sz w:val="20"/>
          <w:szCs w:val="20"/>
          <w:vertAlign w:val="superscript"/>
        </w:rPr>
        <w:t>6</w:t>
      </w:r>
      <w:r w:rsidRPr="00830ED3">
        <w:rPr>
          <w:rFonts w:ascii="Lato" w:hAnsi="Lato" w:cs="Lato"/>
          <w:b/>
          <w:color w:val="20344B"/>
          <w:sz w:val="20"/>
          <w:szCs w:val="20"/>
        </w:rPr>
        <w:t xml:space="preserve"> and </w:t>
      </w:r>
      <w:hyperlink r:id="rId99">
        <w:r w:rsidRPr="00830ED3">
          <w:rPr>
            <w:rFonts w:ascii="Lato" w:hAnsi="Lato" w:cs="Lato"/>
            <w:b/>
            <w:color w:val="1155CC"/>
            <w:sz w:val="20"/>
            <w:szCs w:val="20"/>
            <w:u w:val="single"/>
          </w:rPr>
          <w:t>Open Access</w:t>
        </w:r>
      </w:hyperlink>
      <w:r w:rsidRPr="00830ED3">
        <w:rPr>
          <w:rFonts w:ascii="Lato" w:hAnsi="Lato" w:cs="Lato"/>
          <w:b/>
          <w:color w:val="20344B"/>
          <w:sz w:val="20"/>
          <w:szCs w:val="20"/>
          <w:vertAlign w:val="superscript"/>
        </w:rPr>
        <w:t>7</w:t>
      </w:r>
      <w:r w:rsidRPr="00830ED3">
        <w:rPr>
          <w:rFonts w:ascii="Lato" w:hAnsi="Lato" w:cs="Lato"/>
          <w:b/>
          <w:color w:val="20344B"/>
          <w:sz w:val="20"/>
          <w:szCs w:val="20"/>
        </w:rPr>
        <w:t xml:space="preserve">. </w:t>
      </w:r>
      <w:r w:rsidRPr="00830ED3">
        <w:rPr>
          <w:rFonts w:ascii="Lato" w:hAnsi="Lato" w:cs="Lato"/>
          <w:color w:val="20344B"/>
          <w:sz w:val="20"/>
          <w:szCs w:val="20"/>
        </w:rPr>
        <w:t xml:space="preserve">Many factors contribute to a scholar’s decisions on which publication venues are consistent with </w:t>
      </w:r>
      <w:r w:rsidRPr="00830ED3">
        <w:rPr>
          <w:rFonts w:ascii="Lato" w:hAnsi="Lato" w:cs="Lato"/>
          <w:color w:val="20344B"/>
          <w:sz w:val="20"/>
          <w:szCs w:val="20"/>
        </w:rPr>
        <w:lastRenderedPageBreak/>
        <w:t xml:space="preserve">their professional development. To support consideration of open access options as part of this determinative process, scholars must be provided with accessible and reliable information. </w:t>
      </w:r>
    </w:p>
    <w:p w14:paraId="1CE1AC90" w14:textId="77777777" w:rsidR="00F614BC" w:rsidRPr="00830ED3" w:rsidRDefault="00854443">
      <w:pPr>
        <w:numPr>
          <w:ilvl w:val="0"/>
          <w:numId w:val="9"/>
        </w:numPr>
        <w:spacing w:after="200"/>
        <w:rPr>
          <w:rFonts w:ascii="Lato" w:hAnsi="Lato" w:cs="Lato"/>
          <w:color w:val="20344B"/>
          <w:sz w:val="20"/>
          <w:szCs w:val="20"/>
        </w:rPr>
      </w:pPr>
      <w:r w:rsidRPr="00830ED3">
        <w:rPr>
          <w:rFonts w:ascii="Lato" w:hAnsi="Lato" w:cs="Lato"/>
          <w:b/>
          <w:color w:val="20344B"/>
          <w:sz w:val="20"/>
          <w:szCs w:val="20"/>
        </w:rPr>
        <w:t>The Provost’s Office and the OVPRP develop guidelines for preparing and reviewing promotion and tenure documents that affirm a commitment to disseminating research and scholarly activity outputs as widely as possible by supporting faculty participation in open access distribution of their scholarship.</w:t>
      </w:r>
      <w:r w:rsidRPr="00830ED3">
        <w:rPr>
          <w:rFonts w:ascii="Lato" w:hAnsi="Lato" w:cs="Lato"/>
          <w:color w:val="20344B"/>
          <w:sz w:val="20"/>
          <w:szCs w:val="20"/>
        </w:rPr>
        <w:t xml:space="preserve"> </w:t>
      </w:r>
      <w:r w:rsidRPr="00830ED3">
        <w:rPr>
          <w:rFonts w:ascii="Lato" w:hAnsi="Lato" w:cs="Lato"/>
          <w:color w:val="20344B"/>
          <w:sz w:val="20"/>
          <w:szCs w:val="20"/>
          <w:highlight w:val="white"/>
        </w:rPr>
        <w:t>Such guidelines will confirm the centrality of open access principles to the research mission of the University and provide structural support for how evaluative bodies should best proceed within a framework that respects both university-wide principles and departmental-level disciplinary considerations.</w:t>
      </w:r>
    </w:p>
    <w:p w14:paraId="18A5C25E" w14:textId="77777777" w:rsidR="00F614BC" w:rsidRPr="00830ED3" w:rsidRDefault="00854443">
      <w:pPr>
        <w:numPr>
          <w:ilvl w:val="0"/>
          <w:numId w:val="9"/>
        </w:numPr>
        <w:spacing w:after="200"/>
        <w:rPr>
          <w:rFonts w:ascii="Lato" w:hAnsi="Lato" w:cs="Lato"/>
          <w:color w:val="20344B"/>
          <w:sz w:val="20"/>
          <w:szCs w:val="20"/>
        </w:rPr>
      </w:pPr>
      <w:r w:rsidRPr="00830ED3">
        <w:rPr>
          <w:rFonts w:ascii="Lato" w:hAnsi="Lato" w:cs="Lato"/>
          <w:b/>
          <w:color w:val="20344B"/>
          <w:sz w:val="20"/>
          <w:szCs w:val="20"/>
        </w:rPr>
        <w:t xml:space="preserve">Academic departments apply consistent criteria for assessing the quality of published work, including traditional (fee-based) </w:t>
      </w:r>
      <w:r w:rsidRPr="00830ED3">
        <w:rPr>
          <w:rFonts w:ascii="Lato" w:hAnsi="Lato" w:cs="Lato"/>
          <w:b/>
          <w:i/>
          <w:color w:val="20344B"/>
          <w:sz w:val="20"/>
          <w:szCs w:val="20"/>
        </w:rPr>
        <w:t xml:space="preserve">and </w:t>
      </w:r>
      <w:r w:rsidRPr="00830ED3">
        <w:rPr>
          <w:rFonts w:ascii="Lato" w:hAnsi="Lato" w:cs="Lato"/>
          <w:b/>
          <w:color w:val="20344B"/>
          <w:sz w:val="20"/>
          <w:szCs w:val="20"/>
        </w:rPr>
        <w:t>open access publications, in the tenure and promotion process.</w:t>
      </w:r>
      <w:r w:rsidRPr="00830ED3">
        <w:rPr>
          <w:rFonts w:ascii="Lato" w:hAnsi="Lato" w:cs="Lato"/>
          <w:color w:val="20344B"/>
          <w:sz w:val="20"/>
          <w:szCs w:val="20"/>
        </w:rPr>
        <w:t xml:space="preserve"> </w:t>
      </w:r>
      <w:r w:rsidRPr="00830ED3">
        <w:rPr>
          <w:rFonts w:ascii="Lato" w:hAnsi="Lato" w:cs="Lato"/>
          <w:color w:val="20344B"/>
          <w:sz w:val="20"/>
          <w:szCs w:val="20"/>
          <w:highlight w:val="white"/>
        </w:rPr>
        <w:t>Establishing consistent criteria in the tenure and promotion process that apply to open access options will resolve ambiguities about the status of these new scholarly venues for candidates and evaluators and will eliminate approaching these instances in an ad hoc manner.</w:t>
      </w:r>
    </w:p>
    <w:p w14:paraId="2A1E5083" w14:textId="77777777" w:rsidR="00F614BC" w:rsidRPr="00830ED3" w:rsidRDefault="00854443">
      <w:pPr>
        <w:numPr>
          <w:ilvl w:val="0"/>
          <w:numId w:val="9"/>
        </w:numPr>
        <w:spacing w:after="200"/>
        <w:rPr>
          <w:rFonts w:ascii="Lato" w:hAnsi="Lato" w:cs="Lato"/>
          <w:b/>
          <w:color w:val="20344B"/>
          <w:sz w:val="20"/>
          <w:szCs w:val="20"/>
        </w:rPr>
      </w:pPr>
      <w:r w:rsidRPr="00830ED3">
        <w:rPr>
          <w:rFonts w:ascii="Lato" w:hAnsi="Lato" w:cs="Lato"/>
          <w:b/>
          <w:color w:val="20344B"/>
          <w:sz w:val="20"/>
          <w:szCs w:val="20"/>
        </w:rPr>
        <w:t xml:space="preserve">The University implements procedures to support the ability of university research and operational units to license software they develop under open licenses and contribute to open-source projects when possible. </w:t>
      </w:r>
      <w:r w:rsidRPr="00830ED3">
        <w:rPr>
          <w:rFonts w:ascii="Lato" w:hAnsi="Lato" w:cs="Lato"/>
          <w:color w:val="20344B"/>
          <w:sz w:val="20"/>
          <w:szCs w:val="20"/>
        </w:rPr>
        <w:t xml:space="preserve">The scholarly and research lifecycle includes important outputs in addition to scholarly articles, and the principles of openness extend to these outputs as well. </w:t>
      </w:r>
    </w:p>
    <w:p w14:paraId="68038C8D" w14:textId="77777777" w:rsidR="00F614BC" w:rsidRPr="00C24CB4" w:rsidRDefault="00854443">
      <w:pPr>
        <w:numPr>
          <w:ilvl w:val="0"/>
          <w:numId w:val="9"/>
        </w:numPr>
        <w:rPr>
          <w:color w:val="20344B"/>
          <w:sz w:val="20"/>
          <w:szCs w:val="20"/>
        </w:rPr>
      </w:pPr>
      <w:r w:rsidRPr="00830ED3">
        <w:rPr>
          <w:rFonts w:ascii="Lato" w:hAnsi="Lato" w:cs="Lato"/>
          <w:b/>
          <w:color w:val="20344B"/>
          <w:sz w:val="20"/>
          <w:szCs w:val="20"/>
        </w:rPr>
        <w:t>The University standardizes and streamlines administrative procedures related to scholarly communication issues to minimize individual researcher time: permissions, available licenses, and Article Processing Charges (APC) payments or Open Access Fees</w:t>
      </w:r>
      <w:r w:rsidRPr="00830ED3">
        <w:rPr>
          <w:rFonts w:ascii="Lato" w:hAnsi="Lato" w:cs="Lato"/>
          <w:color w:val="20344B"/>
          <w:sz w:val="20"/>
          <w:szCs w:val="20"/>
        </w:rPr>
        <w:t>.</w:t>
      </w:r>
    </w:p>
    <w:p w14:paraId="6B33EAB1" w14:textId="6303019E" w:rsidR="00F614BC" w:rsidRPr="00830ED3" w:rsidRDefault="00830ED3">
      <w:pPr>
        <w:pStyle w:val="Heading2"/>
        <w:rPr>
          <w:rFonts w:ascii="League Spartan" w:hAnsi="League Spartan"/>
          <w:b/>
          <w:bCs/>
          <w:color w:val="20344B"/>
        </w:rPr>
      </w:pPr>
      <w:bookmarkStart w:id="22" w:name="_s4osgh65va2d" w:colFirst="0" w:colLast="0"/>
      <w:bookmarkEnd w:id="22"/>
      <w:r w:rsidRPr="00830ED3">
        <w:rPr>
          <w:rFonts w:ascii="League Spartan" w:hAnsi="League Spartan"/>
          <w:b/>
          <w:bCs/>
          <w:color w:val="20344B"/>
        </w:rPr>
        <w:t>COMMUNICATION AND OUTREACH FRAMEWORK</w:t>
      </w:r>
    </w:p>
    <w:p w14:paraId="41BF709A" w14:textId="77777777" w:rsidR="00F614BC" w:rsidRPr="00830ED3" w:rsidRDefault="00854443">
      <w:pPr>
        <w:rPr>
          <w:rFonts w:ascii="Lato" w:hAnsi="Lato" w:cs="Lato"/>
          <w:color w:val="20344B"/>
          <w:sz w:val="20"/>
          <w:szCs w:val="20"/>
        </w:rPr>
      </w:pPr>
      <w:r w:rsidRPr="00830ED3">
        <w:rPr>
          <w:rFonts w:ascii="Lato" w:hAnsi="Lato" w:cs="Lato"/>
          <w:color w:val="20344B"/>
          <w:sz w:val="20"/>
          <w:szCs w:val="20"/>
        </w:rPr>
        <w:t>The ULC Scholarly Communication Taskforce developed a framework for communicating findings to the OU community of scholars, which includes the following recommendations:</w:t>
      </w:r>
    </w:p>
    <w:p w14:paraId="684F97CA" w14:textId="77777777" w:rsidR="00F614BC" w:rsidRPr="00830ED3" w:rsidRDefault="00F614BC">
      <w:pPr>
        <w:rPr>
          <w:rFonts w:ascii="Lato" w:hAnsi="Lato" w:cs="Lato"/>
          <w:color w:val="20344B"/>
          <w:sz w:val="20"/>
          <w:szCs w:val="20"/>
        </w:rPr>
      </w:pPr>
    </w:p>
    <w:p w14:paraId="507F0409" w14:textId="77777777" w:rsidR="00F614BC" w:rsidRPr="00830ED3" w:rsidRDefault="00854443">
      <w:pPr>
        <w:numPr>
          <w:ilvl w:val="0"/>
          <w:numId w:val="3"/>
        </w:numPr>
        <w:spacing w:after="200"/>
        <w:rPr>
          <w:rFonts w:ascii="Lato" w:hAnsi="Lato" w:cs="Lato"/>
          <w:color w:val="20344B"/>
          <w:sz w:val="20"/>
          <w:szCs w:val="20"/>
          <w:highlight w:val="white"/>
        </w:rPr>
      </w:pPr>
      <w:r w:rsidRPr="00830ED3">
        <w:rPr>
          <w:rFonts w:ascii="Lato" w:hAnsi="Lato" w:cs="Lato"/>
          <w:color w:val="20344B"/>
          <w:sz w:val="20"/>
          <w:szCs w:val="20"/>
          <w:highlight w:val="white"/>
        </w:rPr>
        <w:t xml:space="preserve">The ULC Scholarly Communication Taskforce, in partnership with the University Libraries, create </w:t>
      </w:r>
      <w:r w:rsidRPr="00830ED3">
        <w:rPr>
          <w:rFonts w:ascii="Lato" w:hAnsi="Lato" w:cs="Lato"/>
          <w:color w:val="20344B"/>
          <w:sz w:val="20"/>
          <w:szCs w:val="20"/>
        </w:rPr>
        <w:t>online guides, workshops and presentations, videos, news items, and other means to communicate this report and facilitate campus discussion among faculty and graduate students.</w:t>
      </w:r>
    </w:p>
    <w:p w14:paraId="33CABD70" w14:textId="77777777" w:rsidR="00F614BC" w:rsidRPr="00830ED3" w:rsidRDefault="00854443">
      <w:pPr>
        <w:numPr>
          <w:ilvl w:val="0"/>
          <w:numId w:val="3"/>
        </w:numPr>
        <w:spacing w:after="200"/>
        <w:rPr>
          <w:rFonts w:ascii="Lato" w:hAnsi="Lato" w:cs="Lato"/>
          <w:color w:val="20344B"/>
          <w:sz w:val="20"/>
          <w:szCs w:val="20"/>
        </w:rPr>
      </w:pPr>
      <w:r w:rsidRPr="00830ED3">
        <w:rPr>
          <w:rFonts w:ascii="Lato" w:hAnsi="Lato" w:cs="Lato"/>
          <w:color w:val="20344B"/>
          <w:sz w:val="20"/>
          <w:szCs w:val="20"/>
        </w:rPr>
        <w:t>The ULC Scholarly Communication Taskforce utilizes established campus communication channels, such as (but not limited to) the Provost’s Bulletin, the CFE website, and the Libraries’ monthly newsletter, to share this report.</w:t>
      </w:r>
    </w:p>
    <w:p w14:paraId="03D2484F" w14:textId="77777777" w:rsidR="00F614BC" w:rsidRPr="00830ED3" w:rsidRDefault="00854443">
      <w:pPr>
        <w:numPr>
          <w:ilvl w:val="0"/>
          <w:numId w:val="3"/>
        </w:numPr>
        <w:rPr>
          <w:rFonts w:ascii="Lato" w:hAnsi="Lato" w:cs="Lato"/>
          <w:color w:val="20344B"/>
          <w:sz w:val="20"/>
          <w:szCs w:val="20"/>
          <w:highlight w:val="white"/>
        </w:rPr>
        <w:sectPr w:rsidR="00F614BC" w:rsidRPr="00830ED3">
          <w:type w:val="continuous"/>
          <w:pgSz w:w="12240" w:h="15840"/>
          <w:pgMar w:top="1440" w:right="1440" w:bottom="1440" w:left="1440" w:header="720" w:footer="720" w:gutter="0"/>
          <w:cols w:space="720"/>
        </w:sectPr>
      </w:pPr>
      <w:r w:rsidRPr="00830ED3">
        <w:rPr>
          <w:rFonts w:ascii="Lato" w:hAnsi="Lato" w:cs="Lato"/>
          <w:color w:val="20344B"/>
          <w:sz w:val="20"/>
          <w:szCs w:val="20"/>
        </w:rPr>
        <w:t>Members of the ULC Scholarly Communication Taskforce share and present this report to, at a minimum, the following:</w:t>
      </w:r>
    </w:p>
    <w:p w14:paraId="352CB147" w14:textId="77777777" w:rsidR="00F614BC" w:rsidRPr="00830ED3" w:rsidRDefault="00F614BC">
      <w:pPr>
        <w:rPr>
          <w:rFonts w:ascii="Lato" w:hAnsi="Lato" w:cs="Lato"/>
          <w:color w:val="20344B"/>
          <w:sz w:val="20"/>
          <w:szCs w:val="20"/>
        </w:rPr>
        <w:sectPr w:rsidR="00F614BC" w:rsidRPr="00830ED3">
          <w:type w:val="continuous"/>
          <w:pgSz w:w="12240" w:h="15840"/>
          <w:pgMar w:top="1440" w:right="1440" w:bottom="1440" w:left="1440" w:header="720" w:footer="720" w:gutter="0"/>
          <w:cols w:space="720"/>
        </w:sectPr>
      </w:pPr>
    </w:p>
    <w:p w14:paraId="0E99BB93"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University Libraries Committee</w:t>
      </w:r>
    </w:p>
    <w:p w14:paraId="3ABDB485"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Faculty Senate Executive Committee</w:t>
      </w:r>
    </w:p>
    <w:p w14:paraId="1AC31C0C"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Graduate Student Senate Executive Committee</w:t>
      </w:r>
    </w:p>
    <w:p w14:paraId="4A17C802"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Faculty Senate</w:t>
      </w:r>
    </w:p>
    <w:p w14:paraId="0D60D1CA"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Graduate Student Senate</w:t>
      </w:r>
    </w:p>
    <w:p w14:paraId="565CFCC9"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Office of the Vice President for Research and Partnerships</w:t>
      </w:r>
    </w:p>
    <w:p w14:paraId="485A9305"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Provost’s Office</w:t>
      </w:r>
    </w:p>
    <w:p w14:paraId="55C70526"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lastRenderedPageBreak/>
        <w:t>Research Council</w:t>
      </w:r>
    </w:p>
    <w:p w14:paraId="4F1D76F1"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Dean’s Council</w:t>
      </w:r>
    </w:p>
    <w:p w14:paraId="3868EA38"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President’s Office</w:t>
      </w:r>
    </w:p>
    <w:p w14:paraId="2BEE4B0D"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Center for Faculty Excellence</w:t>
      </w:r>
    </w:p>
    <w:p w14:paraId="6FC1E9FE"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Associate Deans for Research</w:t>
      </w:r>
    </w:p>
    <w:p w14:paraId="7D3A9EEB"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 xml:space="preserve">College-based meetings of Chairs and Directors </w:t>
      </w:r>
    </w:p>
    <w:p w14:paraId="4CEFA212" w14:textId="77777777" w:rsidR="00F614BC" w:rsidRPr="00830ED3" w:rsidRDefault="00854443">
      <w:pPr>
        <w:numPr>
          <w:ilvl w:val="1"/>
          <w:numId w:val="3"/>
        </w:numPr>
        <w:rPr>
          <w:rFonts w:ascii="Lato" w:hAnsi="Lato" w:cs="Lato"/>
          <w:color w:val="20344B"/>
          <w:sz w:val="20"/>
          <w:szCs w:val="20"/>
        </w:rPr>
      </w:pPr>
      <w:r w:rsidRPr="00830ED3">
        <w:rPr>
          <w:rFonts w:ascii="Lato" w:hAnsi="Lato" w:cs="Lato"/>
          <w:color w:val="20344B"/>
          <w:sz w:val="20"/>
          <w:szCs w:val="20"/>
        </w:rPr>
        <w:t>Departmental faculty meetings</w:t>
      </w:r>
    </w:p>
    <w:p w14:paraId="20295A64" w14:textId="77777777" w:rsidR="00F614BC" w:rsidRPr="00830ED3" w:rsidRDefault="00854443">
      <w:pPr>
        <w:numPr>
          <w:ilvl w:val="1"/>
          <w:numId w:val="3"/>
        </w:numPr>
        <w:rPr>
          <w:rFonts w:ascii="Lato" w:hAnsi="Lato" w:cs="Lato"/>
          <w:color w:val="20344B"/>
          <w:sz w:val="20"/>
          <w:szCs w:val="20"/>
        </w:rPr>
        <w:sectPr w:rsidR="00F614BC" w:rsidRPr="00830ED3">
          <w:type w:val="continuous"/>
          <w:pgSz w:w="12240" w:h="15840"/>
          <w:pgMar w:top="1440" w:right="1440" w:bottom="1440" w:left="1440" w:header="720" w:footer="720" w:gutter="0"/>
          <w:cols w:num="2" w:space="720" w:equalWidth="0">
            <w:col w:w="4320" w:space="720"/>
            <w:col w:w="4320" w:space="0"/>
          </w:cols>
        </w:sectPr>
      </w:pPr>
      <w:r w:rsidRPr="00830ED3">
        <w:rPr>
          <w:rFonts w:ascii="Lato" w:hAnsi="Lato" w:cs="Lato"/>
          <w:color w:val="20344B"/>
          <w:sz w:val="20"/>
          <w:szCs w:val="20"/>
        </w:rPr>
        <w:t>University Libraries’ liaison librarians</w:t>
      </w:r>
    </w:p>
    <w:p w14:paraId="6D7D7D9A" w14:textId="19BF9FB7" w:rsidR="00F614BC" w:rsidRPr="00830ED3" w:rsidRDefault="00830ED3">
      <w:pPr>
        <w:pStyle w:val="Heading2"/>
        <w:rPr>
          <w:rFonts w:ascii="League Spartan" w:hAnsi="League Spartan"/>
          <w:b/>
          <w:bCs/>
          <w:color w:val="20344B"/>
        </w:rPr>
      </w:pPr>
      <w:bookmarkStart w:id="23" w:name="_z1satk5ro33r" w:colFirst="0" w:colLast="0"/>
      <w:bookmarkEnd w:id="23"/>
      <w:r w:rsidRPr="00830ED3">
        <w:rPr>
          <w:rFonts w:ascii="League Spartan" w:hAnsi="League Spartan"/>
          <w:b/>
          <w:bCs/>
          <w:color w:val="20344B"/>
        </w:rPr>
        <w:t>ADDITIONAL INFORMATION</w:t>
      </w:r>
    </w:p>
    <w:p w14:paraId="02485D88" w14:textId="6EF0B71A" w:rsidR="00F614BC" w:rsidRDefault="00854443">
      <w:pPr>
        <w:rPr>
          <w:rFonts w:ascii="Lato" w:hAnsi="Lato" w:cs="Lato"/>
          <w:color w:val="20344B"/>
          <w:sz w:val="20"/>
          <w:szCs w:val="20"/>
        </w:rPr>
      </w:pPr>
      <w:r w:rsidRPr="00830ED3">
        <w:rPr>
          <w:rFonts w:ascii="Lato" w:hAnsi="Lato" w:cs="Lato"/>
          <w:color w:val="20344B"/>
          <w:sz w:val="20"/>
          <w:szCs w:val="20"/>
        </w:rPr>
        <w:t xml:space="preserve">Additional information about the University Libraries Committee Scholarly Communication Taskforce, including this report’s full bibliography is available on the </w:t>
      </w:r>
      <w:hyperlink r:id="rId100">
        <w:r w:rsidRPr="00830ED3">
          <w:rPr>
            <w:rFonts w:ascii="Lato" w:hAnsi="Lato" w:cs="Lato"/>
            <w:color w:val="1155CC"/>
            <w:sz w:val="20"/>
            <w:szCs w:val="20"/>
            <w:u w:val="single"/>
          </w:rPr>
          <w:t>Taskforce</w:t>
        </w:r>
      </w:hyperlink>
      <w:hyperlink r:id="rId101">
        <w:r w:rsidRPr="00830ED3">
          <w:rPr>
            <w:rFonts w:ascii="Lato" w:hAnsi="Lato" w:cs="Lato"/>
            <w:color w:val="1155CC"/>
            <w:sz w:val="20"/>
            <w:szCs w:val="20"/>
            <w:u w:val="single"/>
          </w:rPr>
          <w:t xml:space="preserve"> website</w:t>
        </w:r>
      </w:hyperlink>
      <w:r w:rsidRPr="00830ED3">
        <w:rPr>
          <w:rFonts w:ascii="Lato" w:hAnsi="Lato" w:cs="Lato"/>
          <w:color w:val="20344B"/>
          <w:sz w:val="20"/>
          <w:szCs w:val="20"/>
          <w:vertAlign w:val="superscript"/>
        </w:rPr>
        <w:t>55</w:t>
      </w:r>
      <w:r w:rsidRPr="00830ED3">
        <w:rPr>
          <w:rFonts w:ascii="Lato" w:hAnsi="Lato" w:cs="Lato"/>
          <w:color w:val="20344B"/>
          <w:sz w:val="20"/>
          <w:szCs w:val="20"/>
        </w:rPr>
        <w:t>.</w:t>
      </w:r>
    </w:p>
    <w:p w14:paraId="23AD618C" w14:textId="4D841080" w:rsidR="00183FE7" w:rsidRDefault="00183FE7">
      <w:pPr>
        <w:rPr>
          <w:rFonts w:ascii="Lato" w:hAnsi="Lato" w:cs="Lato"/>
        </w:rPr>
      </w:pPr>
    </w:p>
    <w:p w14:paraId="5E79D3C4" w14:textId="3661373A" w:rsidR="00183FE7" w:rsidRPr="00183FE7" w:rsidRDefault="00183FE7">
      <w:pPr>
        <w:rPr>
          <w:rFonts w:ascii="Lato" w:hAnsi="Lato"/>
          <w:color w:val="20344B"/>
          <w:sz w:val="20"/>
          <w:szCs w:val="20"/>
        </w:rPr>
      </w:pPr>
      <w:r>
        <w:rPr>
          <w:rFonts w:ascii="Lato" w:hAnsi="Lato"/>
          <w:color w:val="20344B"/>
          <w:sz w:val="20"/>
          <w:szCs w:val="20"/>
        </w:rPr>
        <w:t>Unless otherwise specified,</w:t>
      </w:r>
      <w:r w:rsidRPr="00EA06A2">
        <w:rPr>
          <w:rFonts w:ascii="Lato" w:hAnsi="Lato"/>
          <w:color w:val="20344B"/>
          <w:sz w:val="20"/>
          <w:szCs w:val="20"/>
        </w:rPr>
        <w:t xml:space="preserve"> this report </w:t>
      </w:r>
      <w:r>
        <w:rPr>
          <w:rFonts w:ascii="Lato" w:hAnsi="Lato"/>
          <w:color w:val="20344B"/>
          <w:sz w:val="20"/>
          <w:szCs w:val="20"/>
        </w:rPr>
        <w:t xml:space="preserve">is licensed </w:t>
      </w:r>
      <w:hyperlink r:id="rId102" w:history="1">
        <w:r w:rsidRPr="000073CA">
          <w:rPr>
            <w:rStyle w:val="Hyperlink"/>
            <w:rFonts w:ascii="Lato" w:hAnsi="Lato"/>
            <w:sz w:val="20"/>
            <w:szCs w:val="20"/>
          </w:rPr>
          <w:t>CC BY 4.0</w:t>
        </w:r>
      </w:hyperlink>
      <w:r>
        <w:rPr>
          <w:rFonts w:ascii="Lato" w:hAnsi="Lato"/>
          <w:color w:val="20344B"/>
          <w:sz w:val="20"/>
          <w:szCs w:val="20"/>
        </w:rPr>
        <w:t xml:space="preserve"> (Attribution 4.0 International. </w:t>
      </w:r>
      <w:r>
        <w:rPr>
          <w:rFonts w:ascii="Lato" w:hAnsi="Lato"/>
          <w:noProof/>
          <w:color w:val="20344B"/>
          <w:sz w:val="20"/>
          <w:szCs w:val="20"/>
        </w:rPr>
        <w:drawing>
          <wp:inline distT="0" distB="0" distL="0" distR="0" wp14:anchorId="1BF913BA" wp14:editId="3D767E78">
            <wp:extent cx="572455" cy="199975"/>
            <wp:effectExtent l="0" t="0" r="0" b="3810"/>
            <wp:docPr id="11" name="Picture 11" title="CC B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ry/8k6p4_hn3zq6yprlg_x4mpvx3s28tr/T/com.microsoft.Word/Content.MSO/5E84ACE4.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620439" cy="216737"/>
                    </a:xfrm>
                    <a:prstGeom prst="rect">
                      <a:avLst/>
                    </a:prstGeom>
                    <a:noFill/>
                    <a:ln>
                      <a:noFill/>
                    </a:ln>
                  </pic:spPr>
                </pic:pic>
              </a:graphicData>
            </a:graphic>
          </wp:inline>
        </w:drawing>
      </w:r>
      <w:bookmarkStart w:id="24" w:name="_GoBack"/>
      <w:bookmarkEnd w:id="24"/>
    </w:p>
    <w:p w14:paraId="2D38E321" w14:textId="77777777" w:rsidR="00F614BC" w:rsidRDefault="00854443">
      <w:pPr>
        <w:pStyle w:val="Heading2"/>
      </w:pPr>
      <w:bookmarkStart w:id="25" w:name="_y3uddkm9ex2s" w:colFirst="0" w:colLast="0"/>
      <w:bookmarkEnd w:id="25"/>
      <w:r>
        <w:br w:type="page"/>
      </w:r>
    </w:p>
    <w:p w14:paraId="7A6E2FB8" w14:textId="2DE2DDBE" w:rsidR="00F614BC" w:rsidRPr="00830ED3" w:rsidRDefault="00830ED3">
      <w:pPr>
        <w:pStyle w:val="Heading2"/>
        <w:rPr>
          <w:rFonts w:ascii="League Spartan" w:hAnsi="League Spartan"/>
          <w:b/>
          <w:bCs/>
          <w:color w:val="20344B"/>
        </w:rPr>
      </w:pPr>
      <w:bookmarkStart w:id="26" w:name="_j396u3hnprzb" w:colFirst="0" w:colLast="0"/>
      <w:bookmarkEnd w:id="26"/>
      <w:r w:rsidRPr="00830ED3">
        <w:rPr>
          <w:rFonts w:ascii="League Spartan" w:hAnsi="League Spartan"/>
          <w:b/>
          <w:bCs/>
          <w:color w:val="20344B"/>
        </w:rPr>
        <w:lastRenderedPageBreak/>
        <w:t>APPENDIX A: LIST OF U.S. INSTITUTIONS WITH OPEN ACCESS POLICIES</w:t>
      </w:r>
    </w:p>
    <w:p w14:paraId="7029A8AA" w14:textId="77777777" w:rsidR="00F614BC" w:rsidRPr="005E2D3D" w:rsidRDefault="00854443">
      <w:pPr>
        <w:rPr>
          <w:rFonts w:ascii="Lato" w:hAnsi="Lato" w:cs="Lato"/>
          <w:sz w:val="18"/>
          <w:szCs w:val="18"/>
        </w:rPr>
        <w:sectPr w:rsidR="00F614BC" w:rsidRPr="005E2D3D">
          <w:type w:val="continuous"/>
          <w:pgSz w:w="12240" w:h="15840"/>
          <w:pgMar w:top="1440" w:right="1440" w:bottom="1440" w:left="1440" w:header="720" w:footer="720" w:gutter="0"/>
          <w:cols w:space="720"/>
        </w:sectPr>
      </w:pPr>
      <w:r w:rsidRPr="005E2D3D">
        <w:rPr>
          <w:rFonts w:ascii="Lato" w:hAnsi="Lato" w:cs="Lato"/>
          <w:color w:val="20344B"/>
          <w:sz w:val="18"/>
          <w:szCs w:val="18"/>
        </w:rPr>
        <w:t xml:space="preserve">Institutions identified by </w:t>
      </w:r>
      <w:hyperlink r:id="rId103">
        <w:r w:rsidRPr="005E2D3D">
          <w:rPr>
            <w:rFonts w:ascii="Lato" w:hAnsi="Lato" w:cs="Lato"/>
            <w:color w:val="1155CC"/>
            <w:sz w:val="18"/>
            <w:szCs w:val="18"/>
            <w:u w:val="single"/>
          </w:rPr>
          <w:t>querying</w:t>
        </w:r>
      </w:hyperlink>
      <w:r w:rsidRPr="005E2D3D">
        <w:rPr>
          <w:rFonts w:ascii="Lato" w:hAnsi="Lato" w:cs="Lato"/>
          <w:color w:val="20344B"/>
          <w:sz w:val="18"/>
          <w:szCs w:val="18"/>
          <w:vertAlign w:val="superscript"/>
        </w:rPr>
        <w:t>56</w:t>
      </w:r>
      <w:r w:rsidRPr="005E2D3D">
        <w:rPr>
          <w:rFonts w:ascii="Lato" w:hAnsi="Lato" w:cs="Lato"/>
          <w:color w:val="20344B"/>
          <w:sz w:val="18"/>
          <w:szCs w:val="18"/>
        </w:rPr>
        <w:t xml:space="preserve"> the Registry of Open Access Repository Mandates and Policies (</w:t>
      </w:r>
      <w:hyperlink r:id="rId104">
        <w:r w:rsidRPr="005E2D3D">
          <w:rPr>
            <w:rFonts w:ascii="Lato" w:hAnsi="Lato" w:cs="Lato"/>
            <w:color w:val="1155CC"/>
            <w:sz w:val="18"/>
            <w:szCs w:val="18"/>
            <w:u w:val="single"/>
          </w:rPr>
          <w:t>ROARMAP</w:t>
        </w:r>
      </w:hyperlink>
      <w:r w:rsidRPr="005E2D3D">
        <w:rPr>
          <w:rFonts w:ascii="Lato" w:hAnsi="Lato" w:cs="Lato"/>
          <w:color w:val="20344B"/>
          <w:sz w:val="18"/>
          <w:szCs w:val="18"/>
          <w:vertAlign w:val="superscript"/>
        </w:rPr>
        <w:t>57</w:t>
      </w:r>
      <w:r w:rsidRPr="005E2D3D">
        <w:rPr>
          <w:rFonts w:ascii="Lato" w:hAnsi="Lato" w:cs="Lato"/>
          <w:color w:val="20344B"/>
          <w:sz w:val="18"/>
          <w:szCs w:val="18"/>
        </w:rPr>
        <w:t>)</w:t>
      </w:r>
    </w:p>
    <w:p w14:paraId="093887A9" w14:textId="77777777" w:rsidR="00F614BC" w:rsidRDefault="00F614BC">
      <w:pPr>
        <w:sectPr w:rsidR="00F614BC">
          <w:type w:val="continuous"/>
          <w:pgSz w:w="12240" w:h="15840"/>
          <w:pgMar w:top="1440" w:right="1440" w:bottom="1440" w:left="1440" w:header="720" w:footer="720" w:gutter="0"/>
          <w:cols w:space="720"/>
        </w:sectPr>
      </w:pPr>
    </w:p>
    <w:p w14:paraId="58B90249" w14:textId="77777777" w:rsidR="00F614BC" w:rsidRPr="00C32E28" w:rsidRDefault="00854443">
      <w:pPr>
        <w:rPr>
          <w:rFonts w:ascii="Lato" w:hAnsi="Lato"/>
          <w:color w:val="20344B"/>
          <w:sz w:val="18"/>
          <w:szCs w:val="18"/>
        </w:rPr>
      </w:pPr>
      <w:r w:rsidRPr="00C32E28">
        <w:rPr>
          <w:rFonts w:ascii="Lato" w:hAnsi="Lato"/>
          <w:color w:val="20344B"/>
          <w:sz w:val="18"/>
          <w:szCs w:val="18"/>
        </w:rPr>
        <w:t>Abilene Christian University</w:t>
      </w:r>
    </w:p>
    <w:p w14:paraId="4C998495" w14:textId="77777777" w:rsidR="00F614BC" w:rsidRPr="00C32E28" w:rsidRDefault="00854443">
      <w:pPr>
        <w:rPr>
          <w:rFonts w:ascii="Lato" w:hAnsi="Lato"/>
          <w:color w:val="20344B"/>
          <w:sz w:val="18"/>
          <w:szCs w:val="18"/>
        </w:rPr>
      </w:pPr>
      <w:r w:rsidRPr="00C32E28">
        <w:rPr>
          <w:rFonts w:ascii="Lato" w:hAnsi="Lato"/>
          <w:color w:val="20344B"/>
          <w:sz w:val="18"/>
          <w:szCs w:val="18"/>
        </w:rPr>
        <w:t>Allegheny College</w:t>
      </w:r>
    </w:p>
    <w:p w14:paraId="38802EB5" w14:textId="77777777" w:rsidR="00F614BC" w:rsidRPr="00C32E28" w:rsidRDefault="00854443">
      <w:pPr>
        <w:rPr>
          <w:rFonts w:ascii="Lato" w:hAnsi="Lato"/>
          <w:color w:val="20344B"/>
          <w:sz w:val="18"/>
          <w:szCs w:val="18"/>
        </w:rPr>
      </w:pPr>
      <w:r w:rsidRPr="00C32E28">
        <w:rPr>
          <w:rFonts w:ascii="Lato" w:hAnsi="Lato"/>
          <w:color w:val="20344B"/>
          <w:sz w:val="18"/>
          <w:szCs w:val="18"/>
        </w:rPr>
        <w:t>Amherst College</w:t>
      </w:r>
    </w:p>
    <w:p w14:paraId="288CA2C8" w14:textId="77777777" w:rsidR="00F614BC" w:rsidRPr="00C32E28" w:rsidRDefault="00854443">
      <w:pPr>
        <w:rPr>
          <w:rFonts w:ascii="Lato" w:hAnsi="Lato"/>
          <w:color w:val="20344B"/>
          <w:sz w:val="18"/>
          <w:szCs w:val="18"/>
        </w:rPr>
      </w:pPr>
      <w:r w:rsidRPr="00C32E28">
        <w:rPr>
          <w:rFonts w:ascii="Lato" w:hAnsi="Lato"/>
          <w:color w:val="20344B"/>
          <w:sz w:val="18"/>
          <w:szCs w:val="18"/>
        </w:rPr>
        <w:t>Arizona State University Libraries</w:t>
      </w:r>
    </w:p>
    <w:p w14:paraId="364DA202" w14:textId="77777777" w:rsidR="00F614BC" w:rsidRPr="00C32E28" w:rsidRDefault="00854443">
      <w:pPr>
        <w:rPr>
          <w:rFonts w:ascii="Lato" w:hAnsi="Lato"/>
          <w:color w:val="20344B"/>
          <w:sz w:val="18"/>
          <w:szCs w:val="18"/>
        </w:rPr>
      </w:pPr>
      <w:r w:rsidRPr="00C32E28">
        <w:rPr>
          <w:rFonts w:ascii="Lato" w:hAnsi="Lato"/>
          <w:color w:val="20344B"/>
          <w:sz w:val="18"/>
          <w:szCs w:val="18"/>
        </w:rPr>
        <w:t>Bennington College</w:t>
      </w:r>
    </w:p>
    <w:p w14:paraId="5B4CE7EA" w14:textId="77777777" w:rsidR="00F614BC" w:rsidRPr="00C32E28" w:rsidRDefault="00854443">
      <w:pPr>
        <w:rPr>
          <w:rFonts w:ascii="Lato" w:hAnsi="Lato"/>
          <w:color w:val="20344B"/>
          <w:sz w:val="18"/>
          <w:szCs w:val="18"/>
        </w:rPr>
      </w:pPr>
      <w:r w:rsidRPr="00C32E28">
        <w:rPr>
          <w:rFonts w:ascii="Lato" w:hAnsi="Lato"/>
          <w:color w:val="20344B"/>
          <w:sz w:val="18"/>
          <w:szCs w:val="18"/>
        </w:rPr>
        <w:t>Boston University</w:t>
      </w:r>
    </w:p>
    <w:p w14:paraId="3069D6E6" w14:textId="77777777" w:rsidR="00F614BC" w:rsidRPr="00C32E28" w:rsidRDefault="00854443">
      <w:pPr>
        <w:rPr>
          <w:rFonts w:ascii="Lato" w:hAnsi="Lato"/>
          <w:color w:val="20344B"/>
          <w:sz w:val="18"/>
          <w:szCs w:val="18"/>
        </w:rPr>
      </w:pPr>
      <w:r w:rsidRPr="00C32E28">
        <w:rPr>
          <w:rFonts w:ascii="Lato" w:hAnsi="Lato"/>
          <w:color w:val="20344B"/>
          <w:sz w:val="18"/>
          <w:szCs w:val="18"/>
        </w:rPr>
        <w:t>Brandeis University</w:t>
      </w:r>
    </w:p>
    <w:p w14:paraId="6765F5B1" w14:textId="77777777" w:rsidR="00F614BC" w:rsidRPr="00C32E28" w:rsidRDefault="00854443">
      <w:pPr>
        <w:rPr>
          <w:rFonts w:ascii="Lato" w:hAnsi="Lato"/>
          <w:color w:val="20344B"/>
          <w:sz w:val="18"/>
          <w:szCs w:val="18"/>
        </w:rPr>
      </w:pPr>
      <w:r w:rsidRPr="00C32E28">
        <w:rPr>
          <w:rFonts w:ascii="Lato" w:hAnsi="Lato"/>
          <w:color w:val="20344B"/>
          <w:sz w:val="18"/>
          <w:szCs w:val="18"/>
        </w:rPr>
        <w:t>Brigham Young University Library</w:t>
      </w:r>
    </w:p>
    <w:p w14:paraId="4D8F73B9"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 xml:space="preserve">Bryn </w:t>
      </w:r>
      <w:proofErr w:type="spellStart"/>
      <w:r w:rsidRPr="00C32E28">
        <w:rPr>
          <w:rFonts w:ascii="Lato" w:hAnsi="Lato"/>
          <w:color w:val="20344B"/>
          <w:sz w:val="18"/>
          <w:szCs w:val="18"/>
        </w:rPr>
        <w:t>Mawr</w:t>
      </w:r>
      <w:proofErr w:type="spellEnd"/>
      <w:r w:rsidRPr="00C32E28">
        <w:rPr>
          <w:rFonts w:ascii="Lato" w:hAnsi="Lato"/>
          <w:color w:val="20344B"/>
          <w:sz w:val="18"/>
          <w:szCs w:val="18"/>
        </w:rPr>
        <w:t xml:space="preserve"> College</w:t>
      </w:r>
    </w:p>
    <w:p w14:paraId="135753AE"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Bucknell University</w:t>
      </w:r>
    </w:p>
    <w:p w14:paraId="1831FB07"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California Institute of Technology</w:t>
      </w:r>
    </w:p>
    <w:p w14:paraId="5077F397"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California Polytechnic State University</w:t>
      </w:r>
    </w:p>
    <w:p w14:paraId="24C8BC9A"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California State University</w:t>
      </w:r>
    </w:p>
    <w:p w14:paraId="43F82421"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Case Western Reserve University</w:t>
      </w:r>
    </w:p>
    <w:p w14:paraId="218EEB12"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Columbia University Lamont-Doherty Earth Observatory</w:t>
      </w:r>
    </w:p>
    <w:p w14:paraId="02DCC64B"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Columbia University Libraries</w:t>
      </w:r>
    </w:p>
    <w:p w14:paraId="6AAFD9ED"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Columbia University Mailman School of Public Health</w:t>
      </w:r>
    </w:p>
    <w:p w14:paraId="77483928"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Columbia University School of Social Work</w:t>
      </w:r>
    </w:p>
    <w:p w14:paraId="28C59F21"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Connecticut College</w:t>
      </w:r>
    </w:p>
    <w:p w14:paraId="40768889"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Cornell University</w:t>
      </w:r>
    </w:p>
    <w:p w14:paraId="1E60B78E"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Drake University</w:t>
      </w:r>
    </w:p>
    <w:p w14:paraId="7F6E7682"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Duke University</w:t>
      </w:r>
    </w:p>
    <w:p w14:paraId="4BC554B5"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Duke University Graduate School</w:t>
      </w:r>
    </w:p>
    <w:p w14:paraId="6C4F8AC7"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Emory University</w:t>
      </w:r>
    </w:p>
    <w:p w14:paraId="428BEB21"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Florida Gulf Coast University</w:t>
      </w:r>
    </w:p>
    <w:p w14:paraId="0CC82E21"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Florida State University</w:t>
      </w:r>
    </w:p>
    <w:p w14:paraId="769E52FE"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Georgia Institute of Technology</w:t>
      </w:r>
    </w:p>
    <w:p w14:paraId="32E2E484"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Gustavus Adolphus College Library</w:t>
      </w:r>
    </w:p>
    <w:p w14:paraId="45657ABD"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Business School</w:t>
      </w:r>
    </w:p>
    <w:p w14:paraId="612275E1"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Divinity School</w:t>
      </w:r>
    </w:p>
    <w:p w14:paraId="0211350C"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Law School</w:t>
      </w:r>
    </w:p>
    <w:p w14:paraId="692CCDF2"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School of Public Health</w:t>
      </w:r>
    </w:p>
    <w:p w14:paraId="76E5ACC8"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University Faculty of Arts &amp; Sciences</w:t>
      </w:r>
    </w:p>
    <w:p w14:paraId="64226CC4"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University Graduate School of Design</w:t>
      </w:r>
    </w:p>
    <w:p w14:paraId="17B37BA3"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University Graduate School of Education</w:t>
      </w:r>
    </w:p>
    <w:p w14:paraId="3663EBFC" w14:textId="77777777" w:rsidR="00D32B22" w:rsidRDefault="00854443" w:rsidP="00D32B22">
      <w:pPr>
        <w:ind w:right="-180"/>
        <w:rPr>
          <w:rFonts w:ascii="Lato" w:hAnsi="Lato"/>
          <w:color w:val="20344B"/>
          <w:sz w:val="18"/>
          <w:szCs w:val="18"/>
        </w:rPr>
      </w:pPr>
      <w:r w:rsidRPr="00C32E28">
        <w:rPr>
          <w:rFonts w:ascii="Lato" w:hAnsi="Lato"/>
          <w:color w:val="20344B"/>
          <w:sz w:val="18"/>
          <w:szCs w:val="18"/>
        </w:rPr>
        <w:t>Harvard University John F. Kennedy</w:t>
      </w:r>
      <w:r w:rsidR="00D32B22">
        <w:rPr>
          <w:rFonts w:ascii="Lato" w:hAnsi="Lato"/>
          <w:color w:val="20344B"/>
          <w:sz w:val="18"/>
          <w:szCs w:val="18"/>
        </w:rPr>
        <w:t xml:space="preserve"> </w:t>
      </w:r>
      <w:r w:rsidRPr="00C32E28">
        <w:rPr>
          <w:rFonts w:ascii="Lato" w:hAnsi="Lato"/>
          <w:color w:val="20344B"/>
          <w:sz w:val="18"/>
          <w:szCs w:val="18"/>
        </w:rPr>
        <w:t>School</w:t>
      </w:r>
    </w:p>
    <w:p w14:paraId="5B9AED49" w14:textId="453FA9DA"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of Government</w:t>
      </w:r>
    </w:p>
    <w:p w14:paraId="618DF7E3"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University Medical School</w:t>
      </w:r>
    </w:p>
    <w:p w14:paraId="1E6BAEA9"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Harvard University Shorenstein Center on Media</w:t>
      </w:r>
    </w:p>
    <w:p w14:paraId="24185227"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IUPUI</w:t>
      </w:r>
    </w:p>
    <w:p w14:paraId="541463F4"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Indiana University-Purdue University Fort Wayne</w:t>
      </w:r>
    </w:p>
    <w:p w14:paraId="2D4B73EA" w14:textId="5A35801A"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Indiana University-Purdue University Indianapolis</w:t>
      </w:r>
      <w:r w:rsidR="00D32B22">
        <w:rPr>
          <w:rFonts w:ascii="Lato" w:hAnsi="Lato"/>
          <w:color w:val="20344B"/>
          <w:sz w:val="18"/>
          <w:szCs w:val="18"/>
        </w:rPr>
        <w:t xml:space="preserve"> </w:t>
      </w:r>
      <w:r w:rsidRPr="00C32E28">
        <w:rPr>
          <w:rFonts w:ascii="Lato" w:hAnsi="Lato"/>
          <w:color w:val="20344B"/>
          <w:sz w:val="18"/>
          <w:szCs w:val="18"/>
        </w:rPr>
        <w:t>Library</w:t>
      </w:r>
    </w:p>
    <w:p w14:paraId="42AA9D8B" w14:textId="77777777" w:rsidR="00F614BC" w:rsidRPr="00C32E28" w:rsidRDefault="00854443" w:rsidP="00D32B22">
      <w:pPr>
        <w:ind w:right="-180"/>
        <w:rPr>
          <w:rFonts w:ascii="Lato" w:hAnsi="Lato"/>
          <w:color w:val="20344B"/>
          <w:sz w:val="18"/>
          <w:szCs w:val="18"/>
        </w:rPr>
      </w:pPr>
      <w:r w:rsidRPr="00C32E28">
        <w:rPr>
          <w:rFonts w:ascii="Lato" w:hAnsi="Lato"/>
          <w:color w:val="20344B"/>
          <w:sz w:val="18"/>
          <w:szCs w:val="18"/>
        </w:rPr>
        <w:t>Johns Hopkins University</w:t>
      </w:r>
    </w:p>
    <w:p w14:paraId="266AA68E" w14:textId="77777777" w:rsidR="00F614BC" w:rsidRPr="00C32E28" w:rsidRDefault="00854443">
      <w:pPr>
        <w:rPr>
          <w:rFonts w:ascii="Lato" w:hAnsi="Lato"/>
          <w:color w:val="20344B"/>
          <w:sz w:val="18"/>
          <w:szCs w:val="18"/>
        </w:rPr>
      </w:pPr>
      <w:r w:rsidRPr="00C32E28">
        <w:rPr>
          <w:rFonts w:ascii="Lato" w:hAnsi="Lato"/>
          <w:color w:val="20344B"/>
          <w:sz w:val="18"/>
          <w:szCs w:val="18"/>
        </w:rPr>
        <w:t>Kansas State University</w:t>
      </w:r>
    </w:p>
    <w:p w14:paraId="64844CE2" w14:textId="77777777" w:rsidR="00F614BC" w:rsidRPr="00C32E28" w:rsidRDefault="00854443">
      <w:pPr>
        <w:rPr>
          <w:rFonts w:ascii="Lato" w:hAnsi="Lato"/>
          <w:color w:val="20344B"/>
          <w:sz w:val="18"/>
          <w:szCs w:val="18"/>
        </w:rPr>
      </w:pPr>
      <w:r w:rsidRPr="00C32E28">
        <w:rPr>
          <w:rFonts w:ascii="Lato" w:hAnsi="Lato"/>
          <w:color w:val="20344B"/>
          <w:sz w:val="18"/>
          <w:szCs w:val="18"/>
        </w:rPr>
        <w:t>Lafayette College</w:t>
      </w:r>
    </w:p>
    <w:p w14:paraId="428655E4" w14:textId="77777777" w:rsidR="00F614BC" w:rsidRPr="00C32E28" w:rsidRDefault="00854443">
      <w:pPr>
        <w:rPr>
          <w:rFonts w:ascii="Lato" w:hAnsi="Lato"/>
          <w:color w:val="20344B"/>
          <w:sz w:val="18"/>
          <w:szCs w:val="18"/>
        </w:rPr>
      </w:pPr>
      <w:r w:rsidRPr="00C32E28">
        <w:rPr>
          <w:rFonts w:ascii="Lato" w:hAnsi="Lato"/>
          <w:color w:val="20344B"/>
          <w:sz w:val="18"/>
          <w:szCs w:val="18"/>
        </w:rPr>
        <w:t>Luther Seminar</w:t>
      </w:r>
    </w:p>
    <w:p w14:paraId="3699D2DC" w14:textId="77777777" w:rsidR="00F614BC" w:rsidRPr="00C32E28" w:rsidRDefault="00854443">
      <w:pPr>
        <w:rPr>
          <w:rFonts w:ascii="Lato" w:hAnsi="Lato"/>
          <w:color w:val="20344B"/>
          <w:sz w:val="18"/>
          <w:szCs w:val="18"/>
        </w:rPr>
      </w:pPr>
      <w:r w:rsidRPr="00C32E28">
        <w:rPr>
          <w:rFonts w:ascii="Lato" w:hAnsi="Lato"/>
          <w:color w:val="20344B"/>
          <w:sz w:val="18"/>
          <w:szCs w:val="18"/>
        </w:rPr>
        <w:t>Massachusetts Institute of Technology</w:t>
      </w:r>
    </w:p>
    <w:p w14:paraId="463B2341" w14:textId="77777777" w:rsidR="00F614BC" w:rsidRPr="00C32E28" w:rsidRDefault="00854443">
      <w:pPr>
        <w:rPr>
          <w:rFonts w:ascii="Lato" w:hAnsi="Lato"/>
          <w:color w:val="20344B"/>
          <w:sz w:val="18"/>
          <w:szCs w:val="18"/>
        </w:rPr>
      </w:pPr>
      <w:r w:rsidRPr="00C32E28">
        <w:rPr>
          <w:rFonts w:ascii="Lato" w:hAnsi="Lato"/>
          <w:color w:val="20344B"/>
          <w:sz w:val="18"/>
          <w:szCs w:val="18"/>
        </w:rPr>
        <w:t>Miami University (Ohio) Libraries</w:t>
      </w:r>
    </w:p>
    <w:p w14:paraId="65C44C94" w14:textId="77777777" w:rsidR="00F614BC" w:rsidRPr="00C32E28" w:rsidRDefault="00854443">
      <w:pPr>
        <w:rPr>
          <w:rFonts w:ascii="Lato" w:hAnsi="Lato"/>
          <w:color w:val="20344B"/>
          <w:sz w:val="18"/>
          <w:szCs w:val="18"/>
        </w:rPr>
      </w:pPr>
      <w:r w:rsidRPr="00C32E28">
        <w:rPr>
          <w:rFonts w:ascii="Lato" w:hAnsi="Lato"/>
          <w:color w:val="20344B"/>
          <w:sz w:val="18"/>
          <w:szCs w:val="18"/>
        </w:rPr>
        <w:t>Montana State University</w:t>
      </w:r>
    </w:p>
    <w:p w14:paraId="36BAAD0C" w14:textId="77777777" w:rsidR="00F614BC" w:rsidRPr="00C32E28" w:rsidRDefault="00854443">
      <w:pPr>
        <w:rPr>
          <w:rFonts w:ascii="Lato" w:hAnsi="Lato"/>
          <w:color w:val="20344B"/>
          <w:sz w:val="18"/>
          <w:szCs w:val="18"/>
        </w:rPr>
      </w:pPr>
      <w:r w:rsidRPr="00C32E28">
        <w:rPr>
          <w:rFonts w:ascii="Lato" w:hAnsi="Lato"/>
          <w:color w:val="20344B"/>
          <w:sz w:val="18"/>
          <w:szCs w:val="18"/>
        </w:rPr>
        <w:t>Muhlenberg College</w:t>
      </w:r>
    </w:p>
    <w:p w14:paraId="328D72B0" w14:textId="77777777" w:rsidR="00F614BC" w:rsidRPr="00C32E28" w:rsidRDefault="00854443">
      <w:pPr>
        <w:rPr>
          <w:rFonts w:ascii="Lato" w:hAnsi="Lato"/>
          <w:color w:val="20344B"/>
          <w:sz w:val="18"/>
          <w:szCs w:val="18"/>
        </w:rPr>
      </w:pPr>
      <w:r w:rsidRPr="00C32E28">
        <w:rPr>
          <w:rFonts w:ascii="Lato" w:hAnsi="Lato"/>
          <w:color w:val="20344B"/>
          <w:sz w:val="18"/>
          <w:szCs w:val="18"/>
        </w:rPr>
        <w:t>Northeastern Illinois University</w:t>
      </w:r>
    </w:p>
    <w:p w14:paraId="77758ECB" w14:textId="77777777" w:rsidR="00F614BC" w:rsidRPr="00C32E28" w:rsidRDefault="00854443">
      <w:pPr>
        <w:rPr>
          <w:rFonts w:ascii="Lato" w:hAnsi="Lato"/>
          <w:color w:val="20344B"/>
          <w:sz w:val="18"/>
          <w:szCs w:val="18"/>
        </w:rPr>
      </w:pPr>
      <w:r w:rsidRPr="00C32E28">
        <w:rPr>
          <w:rFonts w:ascii="Lato" w:hAnsi="Lato"/>
          <w:color w:val="20344B"/>
          <w:sz w:val="18"/>
          <w:szCs w:val="18"/>
        </w:rPr>
        <w:t>Northern Illinois University</w:t>
      </w:r>
    </w:p>
    <w:p w14:paraId="73F3FF2C" w14:textId="77777777" w:rsidR="00F614BC" w:rsidRPr="00C32E28" w:rsidRDefault="00854443">
      <w:pPr>
        <w:rPr>
          <w:rFonts w:ascii="Lato" w:hAnsi="Lato"/>
          <w:color w:val="20344B"/>
          <w:sz w:val="18"/>
          <w:szCs w:val="18"/>
        </w:rPr>
      </w:pPr>
      <w:r w:rsidRPr="00C32E28">
        <w:rPr>
          <w:rFonts w:ascii="Lato" w:hAnsi="Lato"/>
          <w:color w:val="20344B"/>
          <w:sz w:val="18"/>
          <w:szCs w:val="18"/>
        </w:rPr>
        <w:t>Oberlin College</w:t>
      </w:r>
    </w:p>
    <w:p w14:paraId="72913DE2" w14:textId="77777777" w:rsidR="00F614BC" w:rsidRPr="00C32E28" w:rsidRDefault="00854443">
      <w:pPr>
        <w:rPr>
          <w:rFonts w:ascii="Lato" w:hAnsi="Lato"/>
          <w:color w:val="20344B"/>
          <w:sz w:val="18"/>
          <w:szCs w:val="18"/>
        </w:rPr>
      </w:pPr>
      <w:r w:rsidRPr="00C32E28">
        <w:rPr>
          <w:rFonts w:ascii="Lato" w:hAnsi="Lato"/>
          <w:color w:val="20344B"/>
          <w:sz w:val="18"/>
          <w:szCs w:val="18"/>
        </w:rPr>
        <w:t>Oregon State University</w:t>
      </w:r>
    </w:p>
    <w:p w14:paraId="48FFED87" w14:textId="77777777" w:rsidR="00F614BC" w:rsidRPr="00C32E28" w:rsidRDefault="00854443">
      <w:pPr>
        <w:rPr>
          <w:rFonts w:ascii="Lato" w:hAnsi="Lato"/>
          <w:color w:val="20344B"/>
          <w:sz w:val="18"/>
          <w:szCs w:val="18"/>
        </w:rPr>
      </w:pPr>
      <w:r w:rsidRPr="00C32E28">
        <w:rPr>
          <w:rFonts w:ascii="Lato" w:hAnsi="Lato"/>
          <w:color w:val="20344B"/>
          <w:sz w:val="18"/>
          <w:szCs w:val="18"/>
        </w:rPr>
        <w:t>Oregon State University College of Oceanic and Atmospheric Sciences</w:t>
      </w:r>
    </w:p>
    <w:p w14:paraId="1D483993" w14:textId="77777777" w:rsidR="00F614BC" w:rsidRPr="00C32E28" w:rsidRDefault="00854443">
      <w:pPr>
        <w:rPr>
          <w:rFonts w:ascii="Lato" w:hAnsi="Lato"/>
          <w:color w:val="20344B"/>
          <w:sz w:val="18"/>
          <w:szCs w:val="18"/>
        </w:rPr>
      </w:pPr>
      <w:r w:rsidRPr="00C32E28">
        <w:rPr>
          <w:rFonts w:ascii="Lato" w:hAnsi="Lato"/>
          <w:color w:val="20344B"/>
          <w:sz w:val="18"/>
          <w:szCs w:val="18"/>
        </w:rPr>
        <w:t>Oregon State University Library Faculty</w:t>
      </w:r>
    </w:p>
    <w:p w14:paraId="76D57498" w14:textId="77777777" w:rsidR="00F614BC" w:rsidRPr="00C32E28" w:rsidRDefault="00854443">
      <w:pPr>
        <w:rPr>
          <w:rFonts w:ascii="Lato" w:hAnsi="Lato"/>
          <w:color w:val="20344B"/>
          <w:sz w:val="18"/>
          <w:szCs w:val="18"/>
        </w:rPr>
      </w:pPr>
      <w:r w:rsidRPr="00C32E28">
        <w:rPr>
          <w:rFonts w:ascii="Lato" w:hAnsi="Lato"/>
          <w:color w:val="20344B"/>
          <w:sz w:val="18"/>
          <w:szCs w:val="18"/>
        </w:rPr>
        <w:t>Pacific University</w:t>
      </w:r>
    </w:p>
    <w:p w14:paraId="75E6F442" w14:textId="77777777" w:rsidR="00F614BC" w:rsidRPr="00C32E28" w:rsidRDefault="00854443">
      <w:pPr>
        <w:rPr>
          <w:rFonts w:ascii="Lato" w:hAnsi="Lato"/>
          <w:color w:val="20344B"/>
          <w:sz w:val="18"/>
          <w:szCs w:val="18"/>
        </w:rPr>
      </w:pPr>
      <w:r w:rsidRPr="00C32E28">
        <w:rPr>
          <w:rFonts w:ascii="Lato" w:hAnsi="Lato"/>
          <w:color w:val="20344B"/>
          <w:sz w:val="18"/>
          <w:szCs w:val="18"/>
        </w:rPr>
        <w:t>Penn State University</w:t>
      </w:r>
    </w:p>
    <w:p w14:paraId="383590B9" w14:textId="77777777" w:rsidR="00F614BC" w:rsidRPr="00C32E28" w:rsidRDefault="00854443">
      <w:pPr>
        <w:rPr>
          <w:rFonts w:ascii="Lato" w:hAnsi="Lato"/>
          <w:color w:val="20344B"/>
          <w:sz w:val="18"/>
          <w:szCs w:val="18"/>
        </w:rPr>
      </w:pPr>
      <w:r w:rsidRPr="00C32E28">
        <w:rPr>
          <w:rFonts w:ascii="Lato" w:hAnsi="Lato"/>
          <w:color w:val="20344B"/>
          <w:sz w:val="18"/>
          <w:szCs w:val="18"/>
        </w:rPr>
        <w:t>Penn State University Libraries</w:t>
      </w:r>
    </w:p>
    <w:p w14:paraId="79FDCFB6" w14:textId="77777777" w:rsidR="00F614BC" w:rsidRPr="00C32E28" w:rsidRDefault="00854443">
      <w:pPr>
        <w:rPr>
          <w:rFonts w:ascii="Lato" w:hAnsi="Lato"/>
          <w:color w:val="20344B"/>
          <w:sz w:val="18"/>
          <w:szCs w:val="18"/>
        </w:rPr>
      </w:pPr>
      <w:r w:rsidRPr="00C32E28">
        <w:rPr>
          <w:rFonts w:ascii="Lato" w:hAnsi="Lato"/>
          <w:color w:val="20344B"/>
          <w:sz w:val="18"/>
          <w:szCs w:val="18"/>
        </w:rPr>
        <w:t>Princeton University</w:t>
      </w:r>
    </w:p>
    <w:p w14:paraId="19167666" w14:textId="77777777" w:rsidR="00F614BC" w:rsidRPr="00C32E28" w:rsidRDefault="00854443">
      <w:pPr>
        <w:rPr>
          <w:rFonts w:ascii="Lato" w:hAnsi="Lato"/>
          <w:color w:val="20344B"/>
          <w:sz w:val="18"/>
          <w:szCs w:val="18"/>
        </w:rPr>
      </w:pPr>
      <w:r w:rsidRPr="00C32E28">
        <w:rPr>
          <w:rFonts w:ascii="Lato" w:hAnsi="Lato"/>
          <w:color w:val="20344B"/>
          <w:sz w:val="18"/>
          <w:szCs w:val="18"/>
        </w:rPr>
        <w:t>Rice University</w:t>
      </w:r>
    </w:p>
    <w:p w14:paraId="0DC8F582" w14:textId="77777777" w:rsidR="00F614BC" w:rsidRPr="00C32E28" w:rsidRDefault="00854443">
      <w:pPr>
        <w:rPr>
          <w:rFonts w:ascii="Lato" w:hAnsi="Lato"/>
          <w:color w:val="20344B"/>
          <w:sz w:val="18"/>
          <w:szCs w:val="18"/>
        </w:rPr>
      </w:pPr>
      <w:r w:rsidRPr="00C32E28">
        <w:rPr>
          <w:rFonts w:ascii="Lato" w:hAnsi="Lato"/>
          <w:color w:val="20344B"/>
          <w:sz w:val="18"/>
          <w:szCs w:val="18"/>
        </w:rPr>
        <w:t>Rollins College</w:t>
      </w:r>
    </w:p>
    <w:p w14:paraId="717F3685" w14:textId="77777777" w:rsidR="00F614BC" w:rsidRPr="00C32E28" w:rsidRDefault="00854443">
      <w:pPr>
        <w:rPr>
          <w:rFonts w:ascii="Lato" w:hAnsi="Lato"/>
          <w:color w:val="20344B"/>
          <w:sz w:val="18"/>
          <w:szCs w:val="18"/>
        </w:rPr>
      </w:pPr>
      <w:r w:rsidRPr="00C32E28">
        <w:rPr>
          <w:rFonts w:ascii="Lato" w:hAnsi="Lato"/>
          <w:color w:val="20344B"/>
          <w:sz w:val="18"/>
          <w:szCs w:val="18"/>
        </w:rPr>
        <w:t>Rutgers</w:t>
      </w:r>
    </w:p>
    <w:p w14:paraId="385B724B" w14:textId="77777777" w:rsidR="00F614BC" w:rsidRPr="00C32E28" w:rsidRDefault="00854443">
      <w:pPr>
        <w:rPr>
          <w:rFonts w:ascii="Lato" w:hAnsi="Lato"/>
          <w:color w:val="20344B"/>
          <w:sz w:val="18"/>
          <w:szCs w:val="18"/>
        </w:rPr>
      </w:pPr>
      <w:r w:rsidRPr="00C32E28">
        <w:rPr>
          <w:rFonts w:ascii="Lato" w:hAnsi="Lato"/>
          <w:color w:val="20344B"/>
          <w:sz w:val="18"/>
          <w:szCs w:val="18"/>
        </w:rPr>
        <w:t>San Jose State University</w:t>
      </w:r>
    </w:p>
    <w:p w14:paraId="273C8954" w14:textId="77777777" w:rsidR="00F614BC" w:rsidRPr="00C32E28" w:rsidRDefault="00854443">
      <w:pPr>
        <w:rPr>
          <w:rFonts w:ascii="Lato" w:hAnsi="Lato"/>
          <w:color w:val="20344B"/>
          <w:sz w:val="18"/>
          <w:szCs w:val="18"/>
        </w:rPr>
      </w:pPr>
      <w:r w:rsidRPr="00C32E28">
        <w:rPr>
          <w:rFonts w:ascii="Lato" w:hAnsi="Lato"/>
          <w:color w:val="20344B"/>
          <w:sz w:val="18"/>
          <w:szCs w:val="18"/>
        </w:rPr>
        <w:t>Smith College</w:t>
      </w:r>
    </w:p>
    <w:p w14:paraId="586D2C70" w14:textId="77777777" w:rsidR="00F614BC" w:rsidRPr="00C32E28" w:rsidRDefault="00854443">
      <w:pPr>
        <w:rPr>
          <w:rFonts w:ascii="Lato" w:hAnsi="Lato"/>
          <w:color w:val="20344B"/>
          <w:sz w:val="18"/>
          <w:szCs w:val="18"/>
        </w:rPr>
      </w:pPr>
      <w:r w:rsidRPr="00C32E28">
        <w:rPr>
          <w:rFonts w:ascii="Lato" w:hAnsi="Lato"/>
          <w:color w:val="20344B"/>
          <w:sz w:val="18"/>
          <w:szCs w:val="18"/>
        </w:rPr>
        <w:t>Smithsonian Institution</w:t>
      </w:r>
    </w:p>
    <w:p w14:paraId="6F4EA51E" w14:textId="77777777" w:rsidR="00F614BC" w:rsidRPr="00C32E28" w:rsidRDefault="00854443">
      <w:pPr>
        <w:rPr>
          <w:rFonts w:ascii="Lato" w:hAnsi="Lato"/>
          <w:color w:val="20344B"/>
          <w:sz w:val="18"/>
          <w:szCs w:val="18"/>
        </w:rPr>
      </w:pPr>
      <w:r w:rsidRPr="00C32E28">
        <w:rPr>
          <w:rFonts w:ascii="Lato" w:hAnsi="Lato"/>
          <w:color w:val="20344B"/>
          <w:sz w:val="18"/>
          <w:szCs w:val="18"/>
        </w:rPr>
        <w:t>Snell Library</w:t>
      </w:r>
    </w:p>
    <w:p w14:paraId="37216756" w14:textId="77777777" w:rsidR="00F614BC" w:rsidRPr="00C32E28" w:rsidRDefault="00854443">
      <w:pPr>
        <w:rPr>
          <w:rFonts w:ascii="Lato" w:hAnsi="Lato"/>
          <w:color w:val="20344B"/>
          <w:sz w:val="18"/>
          <w:szCs w:val="18"/>
        </w:rPr>
      </w:pPr>
      <w:r w:rsidRPr="00C32E28">
        <w:rPr>
          <w:rFonts w:ascii="Lato" w:hAnsi="Lato"/>
          <w:color w:val="20344B"/>
          <w:sz w:val="18"/>
          <w:szCs w:val="18"/>
        </w:rPr>
        <w:t>Stanford University School of Education</w:t>
      </w:r>
    </w:p>
    <w:p w14:paraId="17861667" w14:textId="77777777" w:rsidR="00F614BC" w:rsidRPr="00C32E28" w:rsidRDefault="00854443">
      <w:pPr>
        <w:rPr>
          <w:rFonts w:ascii="Lato" w:hAnsi="Lato"/>
          <w:color w:val="20344B"/>
          <w:sz w:val="18"/>
          <w:szCs w:val="18"/>
        </w:rPr>
      </w:pPr>
      <w:r w:rsidRPr="00C32E28">
        <w:rPr>
          <w:rFonts w:ascii="Lato" w:hAnsi="Lato"/>
          <w:color w:val="20344B"/>
          <w:sz w:val="18"/>
          <w:szCs w:val="18"/>
        </w:rPr>
        <w:t>Temple University Graduate School</w:t>
      </w:r>
    </w:p>
    <w:p w14:paraId="0E161DD3" w14:textId="77777777" w:rsidR="00F614BC" w:rsidRPr="00C32E28" w:rsidRDefault="00854443">
      <w:pPr>
        <w:rPr>
          <w:rFonts w:ascii="Lato" w:hAnsi="Lato"/>
          <w:color w:val="20344B"/>
          <w:sz w:val="18"/>
          <w:szCs w:val="18"/>
        </w:rPr>
      </w:pPr>
      <w:r w:rsidRPr="00C32E28">
        <w:rPr>
          <w:rFonts w:ascii="Lato" w:hAnsi="Lato"/>
          <w:color w:val="20344B"/>
          <w:sz w:val="18"/>
          <w:szCs w:val="18"/>
        </w:rPr>
        <w:t>Texas A&amp;M University</w:t>
      </w:r>
    </w:p>
    <w:p w14:paraId="0182E82B" w14:textId="77777777" w:rsidR="00F614BC" w:rsidRPr="00C32E28" w:rsidRDefault="00854443">
      <w:pPr>
        <w:rPr>
          <w:rFonts w:ascii="Lato" w:hAnsi="Lato"/>
          <w:color w:val="20344B"/>
          <w:sz w:val="18"/>
          <w:szCs w:val="18"/>
        </w:rPr>
      </w:pPr>
      <w:r w:rsidRPr="00C32E28">
        <w:rPr>
          <w:rFonts w:ascii="Lato" w:hAnsi="Lato"/>
          <w:color w:val="20344B"/>
          <w:sz w:val="18"/>
          <w:szCs w:val="18"/>
        </w:rPr>
        <w:t>The College of Wooster</w:t>
      </w:r>
    </w:p>
    <w:p w14:paraId="16117C29" w14:textId="77777777" w:rsidR="00F614BC" w:rsidRPr="00C32E28" w:rsidRDefault="00854443">
      <w:pPr>
        <w:rPr>
          <w:rFonts w:ascii="Lato" w:hAnsi="Lato"/>
          <w:color w:val="20344B"/>
          <w:sz w:val="18"/>
          <w:szCs w:val="18"/>
        </w:rPr>
      </w:pPr>
      <w:r w:rsidRPr="00C32E28">
        <w:rPr>
          <w:rFonts w:ascii="Lato" w:hAnsi="Lato"/>
          <w:color w:val="20344B"/>
          <w:sz w:val="18"/>
          <w:szCs w:val="18"/>
        </w:rPr>
        <w:t>Toulouse Graduate School</w:t>
      </w:r>
    </w:p>
    <w:p w14:paraId="37D4EFC3" w14:textId="77777777" w:rsidR="00F614BC" w:rsidRPr="00C32E28" w:rsidRDefault="00854443">
      <w:pPr>
        <w:rPr>
          <w:rFonts w:ascii="Lato" w:hAnsi="Lato"/>
          <w:color w:val="20344B"/>
          <w:sz w:val="18"/>
          <w:szCs w:val="18"/>
        </w:rPr>
      </w:pPr>
      <w:r w:rsidRPr="00C32E28">
        <w:rPr>
          <w:rFonts w:ascii="Lato" w:hAnsi="Lato"/>
          <w:color w:val="20344B"/>
          <w:sz w:val="18"/>
          <w:szCs w:val="18"/>
        </w:rPr>
        <w:t>Trinity University</w:t>
      </w:r>
    </w:p>
    <w:p w14:paraId="7EFEDA06"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California System</w:t>
      </w:r>
    </w:p>
    <w:p w14:paraId="11FF19F5"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California San Francisco</w:t>
      </w:r>
    </w:p>
    <w:p w14:paraId="02939690"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Central Florida</w:t>
      </w:r>
    </w:p>
    <w:p w14:paraId="7303BB85"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Illinois Urbana-Champaign</w:t>
      </w:r>
    </w:p>
    <w:p w14:paraId="713DD9C6"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Colorado Boulder</w:t>
      </w:r>
    </w:p>
    <w:p w14:paraId="6CD86675"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Delaware</w:t>
      </w:r>
    </w:p>
    <w:p w14:paraId="44DF7523"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Florida</w:t>
      </w:r>
    </w:p>
    <w:p w14:paraId="4B9DA970"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Hawaii-Manoa</w:t>
      </w:r>
    </w:p>
    <w:p w14:paraId="7A7A12D6"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Illinois Chicago Circle</w:t>
      </w:r>
    </w:p>
    <w:p w14:paraId="3831A430"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Kansas</w:t>
      </w:r>
    </w:p>
    <w:p w14:paraId="6374966F"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Kentucky</w:t>
      </w:r>
    </w:p>
    <w:p w14:paraId="0ABC07BB"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Maryland College Park</w:t>
      </w:r>
    </w:p>
    <w:p w14:paraId="6A813785"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Massachusetts Amherst</w:t>
      </w:r>
    </w:p>
    <w:p w14:paraId="7A3BD80F" w14:textId="77777777" w:rsidR="00F614BC" w:rsidRPr="00C32E28" w:rsidRDefault="00854443">
      <w:pPr>
        <w:rPr>
          <w:rFonts w:ascii="Lato" w:hAnsi="Lato"/>
          <w:color w:val="20344B"/>
          <w:sz w:val="18"/>
          <w:szCs w:val="18"/>
        </w:rPr>
      </w:pPr>
      <w:r w:rsidRPr="00C32E28">
        <w:rPr>
          <w:rFonts w:ascii="Lato" w:hAnsi="Lato"/>
          <w:color w:val="20344B"/>
          <w:sz w:val="18"/>
          <w:szCs w:val="18"/>
        </w:rPr>
        <w:t>University of Nevada</w:t>
      </w:r>
    </w:p>
    <w:p w14:paraId="64DCA31F"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North Carolina Greensboro</w:t>
      </w:r>
    </w:p>
    <w:p w14:paraId="7F6AB6D9"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North Florida</w:t>
      </w:r>
    </w:p>
    <w:p w14:paraId="3BF593D3"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North Texas</w:t>
      </w:r>
    </w:p>
    <w:p w14:paraId="5734DC32"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Northern Colorado Library Faculty</w:t>
      </w:r>
    </w:p>
    <w:p w14:paraId="21F03C23"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Oregon</w:t>
      </w:r>
    </w:p>
    <w:p w14:paraId="183FD99E"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Oregon Department of Romance Languages</w:t>
      </w:r>
    </w:p>
    <w:p w14:paraId="648C4023"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lastRenderedPageBreak/>
        <w:t>University of Pennsylvania</w:t>
      </w:r>
    </w:p>
    <w:p w14:paraId="73857254"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Puerto Rico School of Law</w:t>
      </w:r>
    </w:p>
    <w:p w14:paraId="617FE4C5"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Rhode Island</w:t>
      </w:r>
    </w:p>
    <w:p w14:paraId="027834E8"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Tennessee</w:t>
      </w:r>
    </w:p>
    <w:p w14:paraId="58926BDE"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Texas Libraries</w:t>
      </w:r>
    </w:p>
    <w:p w14:paraId="0440F75A"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University of Virginia</w:t>
      </w:r>
    </w:p>
    <w:p w14:paraId="4B5DD7B0"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 xml:space="preserve">University of Wisconsin </w:t>
      </w:r>
      <w:proofErr w:type="spellStart"/>
      <w:r w:rsidRPr="00C32E28">
        <w:rPr>
          <w:rFonts w:ascii="Lato" w:hAnsi="Lato"/>
          <w:color w:val="20344B"/>
          <w:sz w:val="18"/>
          <w:szCs w:val="18"/>
        </w:rPr>
        <w:t>Eau</w:t>
      </w:r>
      <w:proofErr w:type="spellEnd"/>
      <w:r w:rsidRPr="00C32E28">
        <w:rPr>
          <w:rFonts w:ascii="Lato" w:hAnsi="Lato"/>
          <w:color w:val="20344B"/>
          <w:sz w:val="18"/>
          <w:szCs w:val="18"/>
        </w:rPr>
        <w:t xml:space="preserve"> Claire: ED McIntyre Library</w:t>
      </w:r>
    </w:p>
    <w:p w14:paraId="6A286A47"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Ursula C. Schwerin Library</w:t>
      </w:r>
    </w:p>
    <w:p w14:paraId="2B8222DA"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Utah State University</w:t>
      </w:r>
    </w:p>
    <w:p w14:paraId="3A7FBEBE"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Valparaiso University</w:t>
      </w:r>
    </w:p>
    <w:p w14:paraId="51C545AE"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Virginia Tech</w:t>
      </w:r>
    </w:p>
    <w:p w14:paraId="180F0911"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Virginia Tech Library Faculty Association</w:t>
      </w:r>
    </w:p>
    <w:p w14:paraId="13DB9763"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Wake Forest University Z. Smith Reynolds Library Faculty</w:t>
      </w:r>
    </w:p>
    <w:p w14:paraId="6A4B6C02"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Wellesley College</w:t>
      </w:r>
    </w:p>
    <w:p w14:paraId="6A7B67A9"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West Virginia University</w:t>
      </w:r>
    </w:p>
    <w:p w14:paraId="1B449D8E" w14:textId="77777777" w:rsidR="00F614BC" w:rsidRPr="00C32E28" w:rsidRDefault="00854443" w:rsidP="007D6CC6">
      <w:pPr>
        <w:ind w:right="-270"/>
        <w:rPr>
          <w:rFonts w:ascii="Lato" w:hAnsi="Lato"/>
          <w:color w:val="20344B"/>
          <w:sz w:val="18"/>
          <w:szCs w:val="18"/>
        </w:rPr>
      </w:pPr>
      <w:r w:rsidRPr="00C32E28">
        <w:rPr>
          <w:rFonts w:ascii="Lato" w:hAnsi="Lato"/>
          <w:color w:val="20344B"/>
          <w:sz w:val="18"/>
          <w:szCs w:val="18"/>
        </w:rPr>
        <w:t>Wichita State University</w:t>
      </w:r>
    </w:p>
    <w:p w14:paraId="325D1E4A" w14:textId="77777777" w:rsidR="00F614BC" w:rsidRPr="00C32E28" w:rsidRDefault="00854443" w:rsidP="007D6CC6">
      <w:pPr>
        <w:ind w:right="-270"/>
        <w:rPr>
          <w:rFonts w:ascii="Lato" w:hAnsi="Lato"/>
          <w:color w:val="20344B"/>
        </w:rPr>
      </w:pPr>
      <w:r w:rsidRPr="00C32E28">
        <w:rPr>
          <w:rFonts w:ascii="Lato" w:hAnsi="Lato"/>
          <w:color w:val="20344B"/>
          <w:sz w:val="18"/>
          <w:szCs w:val="18"/>
        </w:rPr>
        <w:t>Woods Hole Oceanographic Institution</w:t>
      </w:r>
    </w:p>
    <w:sectPr w:rsidR="00F614BC" w:rsidRPr="00C32E28">
      <w:type w:val="continuous"/>
      <w:pgSz w:w="12240" w:h="15840"/>
      <w:pgMar w:top="1440" w:right="1440" w:bottom="1440" w:left="1440" w:header="720" w:footer="720" w:gutter="0"/>
      <w:cols w:num="2" w:space="720" w:equalWidth="0">
        <w:col w:w="4320" w:space="720"/>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B5581" w14:textId="77777777" w:rsidR="001A048F" w:rsidRDefault="001A048F">
      <w:pPr>
        <w:spacing w:line="240" w:lineRule="auto"/>
      </w:pPr>
      <w:r>
        <w:separator/>
      </w:r>
    </w:p>
  </w:endnote>
  <w:endnote w:type="continuationSeparator" w:id="0">
    <w:p w14:paraId="35AC4540" w14:textId="77777777" w:rsidR="001A048F" w:rsidRDefault="001A0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ato">
    <w:altName w:val="Calibri"/>
    <w:panose1 w:val="020B0604020202020204"/>
    <w:charset w:val="4D"/>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League Spartan ExtraBold">
    <w:altName w:val="Calibri"/>
    <w:panose1 w:val="020B0604020202020204"/>
    <w:charset w:val="00"/>
    <w:family w:val="auto"/>
    <w:pitch w:val="variable"/>
    <w:sig w:usb0="A000007F" w:usb1="4000004B" w:usb2="00000000" w:usb3="00000000" w:csb0="00000193" w:csb1="00000000"/>
  </w:font>
  <w:font w:name="League Spartan">
    <w:altName w:val="Calibri"/>
    <w:panose1 w:val="020B0604020202020204"/>
    <w:charset w:val="00"/>
    <w:family w:val="auto"/>
    <w:pitch w:val="variable"/>
    <w:sig w:usb0="A000007F" w:usb1="4000004B"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E900C" w14:textId="77777777" w:rsidR="001A048F" w:rsidRDefault="001A048F">
      <w:pPr>
        <w:spacing w:line="240" w:lineRule="auto"/>
      </w:pPr>
      <w:r>
        <w:separator/>
      </w:r>
    </w:p>
  </w:footnote>
  <w:footnote w:type="continuationSeparator" w:id="0">
    <w:p w14:paraId="516577BE" w14:textId="77777777" w:rsidR="001A048F" w:rsidRDefault="001A04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D378" w14:textId="77777777" w:rsidR="00B24445" w:rsidRPr="00C32E28" w:rsidRDefault="00B24445">
    <w:pPr>
      <w:jc w:val="right"/>
      <w:rPr>
        <w:rFonts w:ascii="Lato" w:hAnsi="Lato"/>
        <w:color w:val="20344B"/>
        <w:sz w:val="20"/>
        <w:szCs w:val="20"/>
      </w:rPr>
    </w:pPr>
    <w:r w:rsidRPr="00C32E28">
      <w:rPr>
        <w:rFonts w:ascii="Lato" w:hAnsi="Lato"/>
        <w:color w:val="20344B"/>
        <w:sz w:val="20"/>
        <w:szCs w:val="20"/>
      </w:rPr>
      <w:fldChar w:fldCharType="begin"/>
    </w:r>
    <w:r w:rsidRPr="00C32E28">
      <w:rPr>
        <w:rFonts w:ascii="Lato" w:hAnsi="Lato"/>
        <w:color w:val="20344B"/>
        <w:sz w:val="20"/>
        <w:szCs w:val="20"/>
      </w:rPr>
      <w:instrText>PAGE</w:instrText>
    </w:r>
    <w:r w:rsidRPr="00C32E28">
      <w:rPr>
        <w:rFonts w:ascii="Lato" w:hAnsi="Lato"/>
        <w:color w:val="20344B"/>
        <w:sz w:val="20"/>
        <w:szCs w:val="20"/>
      </w:rPr>
      <w:fldChar w:fldCharType="separate"/>
    </w:r>
    <w:r w:rsidRPr="00C32E28">
      <w:rPr>
        <w:rFonts w:ascii="Lato" w:hAnsi="Lato"/>
        <w:noProof/>
        <w:color w:val="20344B"/>
        <w:sz w:val="20"/>
        <w:szCs w:val="20"/>
      </w:rPr>
      <w:t>2</w:t>
    </w:r>
    <w:r w:rsidRPr="00C32E28">
      <w:rPr>
        <w:rFonts w:ascii="Lato" w:hAnsi="Lato"/>
        <w:color w:val="20344B"/>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B61D2" w14:textId="77777777" w:rsidR="00B24445" w:rsidRDefault="00B24445">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36436"/>
    <w:multiLevelType w:val="multilevel"/>
    <w:tmpl w:val="71042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0E1EFB"/>
    <w:multiLevelType w:val="multilevel"/>
    <w:tmpl w:val="CA886C30"/>
    <w:lvl w:ilvl="0">
      <w:start w:val="1"/>
      <w:numFmt w:val="bullet"/>
      <w:lvlText w:val="●"/>
      <w:lvlJc w:val="left"/>
      <w:pPr>
        <w:ind w:left="720" w:hanging="360"/>
      </w:pPr>
      <w:rPr>
        <w:color w:val="20344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77461E"/>
    <w:multiLevelType w:val="multilevel"/>
    <w:tmpl w:val="70D87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F946237"/>
    <w:multiLevelType w:val="multilevel"/>
    <w:tmpl w:val="060E9EAA"/>
    <w:lvl w:ilvl="0">
      <w:start w:val="1"/>
      <w:numFmt w:val="decimal"/>
      <w:lvlText w:val="%1)"/>
      <w:lvlJc w:val="left"/>
      <w:pPr>
        <w:ind w:left="450" w:hanging="360"/>
      </w:pPr>
      <w:rPr>
        <w:rFonts w:ascii="Lato" w:hAnsi="Lato" w:hint="default"/>
        <w:color w:val="737373"/>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4C29023D"/>
    <w:multiLevelType w:val="multilevel"/>
    <w:tmpl w:val="FEF46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A4E37EC"/>
    <w:multiLevelType w:val="multilevel"/>
    <w:tmpl w:val="990285DC"/>
    <w:lvl w:ilvl="0">
      <w:start w:val="1"/>
      <w:numFmt w:val="bullet"/>
      <w:lvlText w:val="●"/>
      <w:lvlJc w:val="left"/>
      <w:pPr>
        <w:ind w:left="720" w:hanging="360"/>
      </w:pPr>
      <w:rPr>
        <w:color w:val="20344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DE0A49"/>
    <w:multiLevelType w:val="multilevel"/>
    <w:tmpl w:val="63542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F97528"/>
    <w:multiLevelType w:val="multilevel"/>
    <w:tmpl w:val="3AA8985A"/>
    <w:lvl w:ilvl="0">
      <w:start w:val="1"/>
      <w:numFmt w:val="bullet"/>
      <w:lvlText w:val="●"/>
      <w:lvlJc w:val="left"/>
      <w:pPr>
        <w:ind w:left="720" w:hanging="360"/>
      </w:pPr>
      <w:rPr>
        <w:color w:val="20344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B51B48"/>
    <w:multiLevelType w:val="multilevel"/>
    <w:tmpl w:val="5C4C599A"/>
    <w:lvl w:ilvl="0">
      <w:start w:val="1"/>
      <w:numFmt w:val="decimal"/>
      <w:lvlText w:val="%1."/>
      <w:lvlJc w:val="left"/>
      <w:pPr>
        <w:ind w:left="720" w:hanging="360"/>
      </w:pPr>
      <w:rPr>
        <w:color w:val="20344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FBC33D2"/>
    <w:multiLevelType w:val="multilevel"/>
    <w:tmpl w:val="A9AE04DE"/>
    <w:lvl w:ilvl="0">
      <w:start w:val="1"/>
      <w:numFmt w:val="bullet"/>
      <w:lvlText w:val="●"/>
      <w:lvlJc w:val="left"/>
      <w:pPr>
        <w:ind w:left="720" w:hanging="360"/>
      </w:pPr>
      <w:rPr>
        <w:color w:val="20344B"/>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
  </w:num>
  <w:num w:numId="3">
    <w:abstractNumId w:val="1"/>
  </w:num>
  <w:num w:numId="4">
    <w:abstractNumId w:val="3"/>
  </w:num>
  <w:num w:numId="5">
    <w:abstractNumId w:val="8"/>
  </w:num>
  <w:num w:numId="6">
    <w:abstractNumId w:val="4"/>
  </w:num>
  <w:num w:numId="7">
    <w:abstractNumId w:val="0"/>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BC"/>
    <w:rsid w:val="000073CA"/>
    <w:rsid w:val="0002578B"/>
    <w:rsid w:val="0005512E"/>
    <w:rsid w:val="00067C41"/>
    <w:rsid w:val="000C0A62"/>
    <w:rsid w:val="00120B80"/>
    <w:rsid w:val="00131DBA"/>
    <w:rsid w:val="00164992"/>
    <w:rsid w:val="00167BAC"/>
    <w:rsid w:val="00183FE7"/>
    <w:rsid w:val="00185D9E"/>
    <w:rsid w:val="001A048F"/>
    <w:rsid w:val="001C4DDB"/>
    <w:rsid w:val="001E597B"/>
    <w:rsid w:val="00216D47"/>
    <w:rsid w:val="002528FE"/>
    <w:rsid w:val="0029394E"/>
    <w:rsid w:val="002D7E75"/>
    <w:rsid w:val="002E4162"/>
    <w:rsid w:val="002E4AB0"/>
    <w:rsid w:val="002E7922"/>
    <w:rsid w:val="003760DF"/>
    <w:rsid w:val="003A022B"/>
    <w:rsid w:val="003A7848"/>
    <w:rsid w:val="00435A5A"/>
    <w:rsid w:val="00442940"/>
    <w:rsid w:val="0047330E"/>
    <w:rsid w:val="00491C05"/>
    <w:rsid w:val="00492BCD"/>
    <w:rsid w:val="004C2C4B"/>
    <w:rsid w:val="004F0F24"/>
    <w:rsid w:val="005C0098"/>
    <w:rsid w:val="005C1E6B"/>
    <w:rsid w:val="005E2D3D"/>
    <w:rsid w:val="00600438"/>
    <w:rsid w:val="00601D0F"/>
    <w:rsid w:val="006251A2"/>
    <w:rsid w:val="00631941"/>
    <w:rsid w:val="0065225B"/>
    <w:rsid w:val="00665ED6"/>
    <w:rsid w:val="006912D7"/>
    <w:rsid w:val="006A4B8F"/>
    <w:rsid w:val="006B6E0A"/>
    <w:rsid w:val="006B7017"/>
    <w:rsid w:val="007418D4"/>
    <w:rsid w:val="007538C4"/>
    <w:rsid w:val="0075720C"/>
    <w:rsid w:val="007B4CC9"/>
    <w:rsid w:val="007D42D9"/>
    <w:rsid w:val="007D6CC6"/>
    <w:rsid w:val="007E1463"/>
    <w:rsid w:val="00803A1B"/>
    <w:rsid w:val="00822848"/>
    <w:rsid w:val="008233F1"/>
    <w:rsid w:val="00825AC7"/>
    <w:rsid w:val="00830ED3"/>
    <w:rsid w:val="00854443"/>
    <w:rsid w:val="00867633"/>
    <w:rsid w:val="008873B8"/>
    <w:rsid w:val="00894BEF"/>
    <w:rsid w:val="008D4087"/>
    <w:rsid w:val="00902BFA"/>
    <w:rsid w:val="00906E74"/>
    <w:rsid w:val="009073DD"/>
    <w:rsid w:val="009161E5"/>
    <w:rsid w:val="00950848"/>
    <w:rsid w:val="009A41F2"/>
    <w:rsid w:val="009B3642"/>
    <w:rsid w:val="009E3A3F"/>
    <w:rsid w:val="009F12C6"/>
    <w:rsid w:val="00A01B95"/>
    <w:rsid w:val="00B24445"/>
    <w:rsid w:val="00B259C3"/>
    <w:rsid w:val="00B27282"/>
    <w:rsid w:val="00B43567"/>
    <w:rsid w:val="00B43946"/>
    <w:rsid w:val="00B55FB8"/>
    <w:rsid w:val="00B6716B"/>
    <w:rsid w:val="00B800AC"/>
    <w:rsid w:val="00BD471C"/>
    <w:rsid w:val="00BF6045"/>
    <w:rsid w:val="00C24CB4"/>
    <w:rsid w:val="00C32E28"/>
    <w:rsid w:val="00C41391"/>
    <w:rsid w:val="00C53C9F"/>
    <w:rsid w:val="00CF1CAF"/>
    <w:rsid w:val="00D32B22"/>
    <w:rsid w:val="00D75A6C"/>
    <w:rsid w:val="00D936D2"/>
    <w:rsid w:val="00DB1134"/>
    <w:rsid w:val="00DC38AD"/>
    <w:rsid w:val="00DD2E3D"/>
    <w:rsid w:val="00E040AE"/>
    <w:rsid w:val="00E525C7"/>
    <w:rsid w:val="00E66531"/>
    <w:rsid w:val="00E74F00"/>
    <w:rsid w:val="00E83CFF"/>
    <w:rsid w:val="00EA06A2"/>
    <w:rsid w:val="00ED0D8E"/>
    <w:rsid w:val="00ED6EE4"/>
    <w:rsid w:val="00EE1AED"/>
    <w:rsid w:val="00EE36F2"/>
    <w:rsid w:val="00EF3AAA"/>
    <w:rsid w:val="00F07CE4"/>
    <w:rsid w:val="00F11E62"/>
    <w:rsid w:val="00F53723"/>
    <w:rsid w:val="00F614BC"/>
    <w:rsid w:val="00F97280"/>
    <w:rsid w:val="00FC3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08B3"/>
  <w15:docId w15:val="{3899A034-9367-5B4B-8671-001D90DDC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35A5A"/>
    <w:pPr>
      <w:tabs>
        <w:tab w:val="center" w:pos="4680"/>
        <w:tab w:val="right" w:pos="9360"/>
      </w:tabs>
      <w:spacing w:line="240" w:lineRule="auto"/>
    </w:pPr>
  </w:style>
  <w:style w:type="character" w:customStyle="1" w:styleId="HeaderChar">
    <w:name w:val="Header Char"/>
    <w:basedOn w:val="DefaultParagraphFont"/>
    <w:link w:val="Header"/>
    <w:uiPriority w:val="99"/>
    <w:rsid w:val="00435A5A"/>
  </w:style>
  <w:style w:type="paragraph" w:styleId="Footer">
    <w:name w:val="footer"/>
    <w:basedOn w:val="Normal"/>
    <w:link w:val="FooterChar"/>
    <w:uiPriority w:val="99"/>
    <w:unhideWhenUsed/>
    <w:rsid w:val="00435A5A"/>
    <w:pPr>
      <w:tabs>
        <w:tab w:val="center" w:pos="4680"/>
        <w:tab w:val="right" w:pos="9360"/>
      </w:tabs>
      <w:spacing w:line="240" w:lineRule="auto"/>
    </w:pPr>
  </w:style>
  <w:style w:type="character" w:customStyle="1" w:styleId="FooterChar">
    <w:name w:val="Footer Char"/>
    <w:basedOn w:val="DefaultParagraphFont"/>
    <w:link w:val="Footer"/>
    <w:uiPriority w:val="99"/>
    <w:rsid w:val="00435A5A"/>
  </w:style>
  <w:style w:type="paragraph" w:styleId="TOC1">
    <w:name w:val="toc 1"/>
    <w:basedOn w:val="Normal"/>
    <w:next w:val="Normal"/>
    <w:autoRedefine/>
    <w:uiPriority w:val="39"/>
    <w:unhideWhenUsed/>
    <w:rsid w:val="0047330E"/>
    <w:pPr>
      <w:spacing w:after="100"/>
    </w:pPr>
  </w:style>
  <w:style w:type="paragraph" w:styleId="TOC2">
    <w:name w:val="toc 2"/>
    <w:basedOn w:val="Normal"/>
    <w:next w:val="Normal"/>
    <w:autoRedefine/>
    <w:uiPriority w:val="39"/>
    <w:unhideWhenUsed/>
    <w:rsid w:val="0047330E"/>
    <w:pPr>
      <w:spacing w:after="100"/>
      <w:ind w:left="220"/>
    </w:pPr>
  </w:style>
  <w:style w:type="paragraph" w:styleId="TOC3">
    <w:name w:val="toc 3"/>
    <w:basedOn w:val="Normal"/>
    <w:next w:val="Normal"/>
    <w:autoRedefine/>
    <w:uiPriority w:val="39"/>
    <w:unhideWhenUsed/>
    <w:rsid w:val="0047330E"/>
    <w:pPr>
      <w:spacing w:after="100"/>
      <w:ind w:left="440"/>
    </w:pPr>
  </w:style>
  <w:style w:type="paragraph" w:styleId="TOC4">
    <w:name w:val="toc 4"/>
    <w:basedOn w:val="Normal"/>
    <w:next w:val="Normal"/>
    <w:autoRedefine/>
    <w:uiPriority w:val="39"/>
    <w:unhideWhenUsed/>
    <w:rsid w:val="0047330E"/>
    <w:pPr>
      <w:spacing w:after="100"/>
      <w:ind w:left="660"/>
    </w:pPr>
  </w:style>
  <w:style w:type="paragraph" w:styleId="TOC5">
    <w:name w:val="toc 5"/>
    <w:basedOn w:val="Normal"/>
    <w:next w:val="Normal"/>
    <w:autoRedefine/>
    <w:uiPriority w:val="39"/>
    <w:unhideWhenUsed/>
    <w:rsid w:val="0047330E"/>
    <w:pPr>
      <w:spacing w:after="100"/>
      <w:ind w:left="880"/>
    </w:pPr>
  </w:style>
  <w:style w:type="character" w:styleId="Hyperlink">
    <w:name w:val="Hyperlink"/>
    <w:basedOn w:val="DefaultParagraphFont"/>
    <w:uiPriority w:val="99"/>
    <w:unhideWhenUsed/>
    <w:rsid w:val="0047330E"/>
    <w:rPr>
      <w:color w:val="0000FF" w:themeColor="hyperlink"/>
      <w:u w:val="single"/>
    </w:rPr>
  </w:style>
  <w:style w:type="character" w:styleId="UnresolvedMention">
    <w:name w:val="Unresolved Mention"/>
    <w:basedOn w:val="DefaultParagraphFont"/>
    <w:uiPriority w:val="99"/>
    <w:semiHidden/>
    <w:unhideWhenUsed/>
    <w:rsid w:val="00825AC7"/>
    <w:rPr>
      <w:color w:val="605E5C"/>
      <w:shd w:val="clear" w:color="auto" w:fill="E1DFDD"/>
    </w:rPr>
  </w:style>
  <w:style w:type="character" w:styleId="FollowedHyperlink">
    <w:name w:val="FollowedHyperlink"/>
    <w:basedOn w:val="DefaultParagraphFont"/>
    <w:uiPriority w:val="99"/>
    <w:semiHidden/>
    <w:unhideWhenUsed/>
    <w:rsid w:val="00601D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libraries.ou.edu/content/ulc-scholarly-communication-task-force-charge-and-deliverables" TargetMode="External"/><Relationship Id="rId21" Type="http://schemas.openxmlformats.org/officeDocument/2006/relationships/header" Target="header1.xml"/><Relationship Id="rId42" Type="http://schemas.openxmlformats.org/officeDocument/2006/relationships/hyperlink" Target="https://facultysenate.virginia.edu/research-information-costs-uva" TargetMode="External"/><Relationship Id="rId47" Type="http://schemas.openxmlformats.org/officeDocument/2006/relationships/hyperlink" Target="https://hdl.handle.net/2134/4083" TargetMode="External"/><Relationship Id="rId63" Type="http://schemas.openxmlformats.org/officeDocument/2006/relationships/hyperlink" Target="https://libraries.ou.edu/OUShareOK" TargetMode="External"/><Relationship Id="rId68" Type="http://schemas.openxmlformats.org/officeDocument/2006/relationships/hyperlink" Target="https://f1000research.com/articles/7-1925" TargetMode="External"/><Relationship Id="rId84" Type="http://schemas.openxmlformats.org/officeDocument/2006/relationships/hyperlink" Target="https://journals.plos.org/plosone/article?id=10.1371/journal.pone.0228914" TargetMode="External"/><Relationship Id="rId89" Type="http://schemas.openxmlformats.org/officeDocument/2006/relationships/hyperlink" Target="https://f1000research.com/articles/7-1605/v1" TargetMode="External"/><Relationship Id="rId16" Type="http://schemas.openxmlformats.org/officeDocument/2006/relationships/hyperlink" Target="https://libraries.ou.edu/content/evaluating-publishers" TargetMode="External"/><Relationship Id="rId11" Type="http://schemas.openxmlformats.org/officeDocument/2006/relationships/image" Target="media/image1.png"/><Relationship Id="rId32" Type="http://schemas.openxmlformats.org/officeDocument/2006/relationships/hyperlink" Target="https://www.libraries.rutgers.edu/services-for-researchers/open-access" TargetMode="External"/><Relationship Id="rId37" Type="http://schemas.openxmlformats.org/officeDocument/2006/relationships/hyperlink" Target="https://www.arl.org/wp-content/uploads/2019/10/expenditure-trends.pdf" TargetMode="External"/><Relationship Id="rId53" Type="http://schemas.openxmlformats.org/officeDocument/2006/relationships/hyperlink" Target="https://doi.org/10.1096/fj.11-183988" TargetMode="External"/><Relationship Id="rId58" Type="http://schemas.openxmlformats.org/officeDocument/2006/relationships/hyperlink" Target="https://doi.org/10.12688/f1000research.8460.3" TargetMode="External"/><Relationship Id="rId74" Type="http://schemas.openxmlformats.org/officeDocument/2006/relationships/hyperlink" Target="https://tspoa.org/" TargetMode="External"/><Relationship Id="rId79" Type="http://schemas.openxmlformats.org/officeDocument/2006/relationships/hyperlink" Target="https://blogs.lse.ac.uk/impactofsocialsciences/2019/06/24/learned-societies-the-key-to-realising-an-open-access-future/" TargetMode="External"/><Relationship Id="rId102" Type="http://schemas.openxmlformats.org/officeDocument/2006/relationships/hyperlink" Target="https://creativecommons.org/licenses/by/4.0/" TargetMode="External"/><Relationship Id="rId5" Type="http://schemas.openxmlformats.org/officeDocument/2006/relationships/webSettings" Target="webSettings.xml"/><Relationship Id="rId90" Type="http://schemas.openxmlformats.org/officeDocument/2006/relationships/hyperlink" Target="https://libraries.ou.edu/content/scholarly-communication-taskforce-readings-and-resources" TargetMode="External"/><Relationship Id="rId95" Type="http://schemas.openxmlformats.org/officeDocument/2006/relationships/hyperlink" Target="https://libraries.ou.edu/content/evaluating-publishers" TargetMode="External"/><Relationship Id="rId22" Type="http://schemas.openxmlformats.org/officeDocument/2006/relationships/header" Target="header2.xml"/><Relationship Id="rId27" Type="http://schemas.openxmlformats.org/officeDocument/2006/relationships/hyperlink" Target="https://libraries.ou.edu/content/ulc-scholarly-communication-task-force-charge-and-deliverables" TargetMode="External"/><Relationship Id="rId43" Type="http://schemas.openxmlformats.org/officeDocument/2006/relationships/hyperlink" Target="http://pages.stern.nyu.edu/~adamodar/New_Home_Page/datafile/margin.html" TargetMode="External"/><Relationship Id="rId48" Type="http://schemas.openxmlformats.org/officeDocument/2006/relationships/hyperlink" Target="https://doi.org/10.1371/journal.pbio.0040157" TargetMode="External"/><Relationship Id="rId64" Type="http://schemas.openxmlformats.org/officeDocument/2006/relationships/hyperlink" Target="https://libraries.ou.edu/content/author-rights" TargetMode="External"/><Relationship Id="rId69" Type="http://schemas.openxmlformats.org/officeDocument/2006/relationships/hyperlink" Target="http://researchsharing.sparcopen.org/articles" TargetMode="External"/><Relationship Id="rId80" Type="http://schemas.openxmlformats.org/officeDocument/2006/relationships/image" Target="media/image7.jpg"/><Relationship Id="rId85" Type="http://schemas.openxmlformats.org/officeDocument/2006/relationships/hyperlink" Target="https://journals.plos.org/plosone/article?id=10.1371/journal.pone.0228914" TargetMode="External"/><Relationship Id="rId12" Type="http://schemas.openxmlformats.org/officeDocument/2006/relationships/hyperlink" Target="https://osc.hul.harvard.edu/assets/files/model-policy-annotated_12_2015.pdf" TargetMode="External"/><Relationship Id="rId17" Type="http://schemas.openxmlformats.org/officeDocument/2006/relationships/hyperlink" Target="http://www.facsen.iastate.edu/sites/default/files/uploads/19-20%20Docket%20Calendar/19-5%20-%20Faculty%20Senate%20Resolution%20-%20Suporting%20Library%20Negotiating%20Principles.pdf" TargetMode="External"/><Relationship Id="rId33" Type="http://schemas.openxmlformats.org/officeDocument/2006/relationships/hyperlink" Target="http://library.gatech.edu/open-access" TargetMode="External"/><Relationship Id="rId38" Type="http://schemas.openxmlformats.org/officeDocument/2006/relationships/image" Target="media/image2.jpg"/><Relationship Id="rId59" Type="http://schemas.openxmlformats.org/officeDocument/2006/relationships/hyperlink" Target="https://openresearch.community/documents/59263-10280-22863-1-pb" TargetMode="External"/><Relationship Id="rId103" Type="http://schemas.openxmlformats.org/officeDocument/2006/relationships/hyperlink" Target="http://roarmap.eprints.org/cgi/search/archive/advanced?screen=Search&amp;dataset=archive&amp;country=840&amp;policymaker_type=research_org&amp;policymaker_type=research_org_subunit&amp;policymaker_name_merge=ALL&amp;policymaker_name=&amp;policy_adoption=&amp;policy_effecive=&amp;mandate_content_types_merge=ANY&amp;apc_fun_url_merge=ALL&amp;apc_fun_url=&amp;satisfyall=ALL&amp;order=policymaker_name&amp;_action_search=Search" TargetMode="External"/><Relationship Id="rId20" Type="http://schemas.openxmlformats.org/officeDocument/2006/relationships/hyperlink" Target="https://libraries.ou.edu/content/open-access-0" TargetMode="External"/><Relationship Id="rId41" Type="http://schemas.openxmlformats.org/officeDocument/2006/relationships/image" Target="media/image4.jpg"/><Relationship Id="rId54" Type="http://schemas.openxmlformats.org/officeDocument/2006/relationships/hyperlink" Target="https://www.altmetric.com/blog/attentionoa/" TargetMode="External"/><Relationship Id="rId62" Type="http://schemas.openxmlformats.org/officeDocument/2006/relationships/image" Target="media/image6.jpg"/><Relationship Id="rId70" Type="http://schemas.openxmlformats.org/officeDocument/2006/relationships/hyperlink" Target="https://insights.uksg.org/articles/10.1629/uksg.280/" TargetMode="External"/><Relationship Id="rId75" Type="http://schemas.openxmlformats.org/officeDocument/2006/relationships/hyperlink" Target="https://tspoa.org/" TargetMode="External"/><Relationship Id="rId83" Type="http://schemas.openxmlformats.org/officeDocument/2006/relationships/hyperlink" Target="https://www.vox.com/the-highlight/2019/6/3/18271538/open-access-elsevier-california-sci-hub-academic-paywalls" TargetMode="External"/><Relationship Id="rId88" Type="http://schemas.openxmlformats.org/officeDocument/2006/relationships/hyperlink" Target="https://f1000research.com/articles/7-1605/v1" TargetMode="External"/><Relationship Id="rId91" Type="http://schemas.openxmlformats.org/officeDocument/2006/relationships/hyperlink" Target="https://osc.hul.harvard.edu/assets/files/model-policy-annotated_12_2015.pdf" TargetMode="External"/><Relationship Id="rId96" Type="http://schemas.openxmlformats.org/officeDocument/2006/relationships/hyperlink" Target="http://www.facsen.iastate.edu/sites/default/files/uploads/19-20%20Docket%20Calendar/19-5%20-%20Faculty%20Senate%20Resolution%20-%20Suporting%20Library%20Negotiating%20Principle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braries.ou.edu/OUShareOK" TargetMode="External"/><Relationship Id="rId23" Type="http://schemas.openxmlformats.org/officeDocument/2006/relationships/hyperlink" Target="https://libraries.ou.edu/content/university-libraries-committee-%E2%80%93-scholarly-communication-taskforce" TargetMode="External"/><Relationship Id="rId28" Type="http://schemas.openxmlformats.org/officeDocument/2006/relationships/hyperlink" Target="https://drive.google.com/file/d/1zPzAGAjW3BywhG4OB7f_cn12I1g5rywH/view?usp=sharing" TargetMode="External"/><Relationship Id="rId36" Type="http://schemas.openxmlformats.org/officeDocument/2006/relationships/hyperlink" Target="https://osc.hul.harvard.edu/modelpolicy/" TargetMode="External"/><Relationship Id="rId49" Type="http://schemas.openxmlformats.org/officeDocument/2006/relationships/hyperlink" Target="https://doi.org/10.7554/eLife.16800" TargetMode="External"/><Relationship Id="rId57" Type="http://schemas.openxmlformats.org/officeDocument/2006/relationships/hyperlink" Target="http://bit.ly/oa-overview" TargetMode="External"/><Relationship Id="rId106" Type="http://schemas.openxmlformats.org/officeDocument/2006/relationships/theme" Target="theme/theme1.xml"/><Relationship Id="rId10" Type="http://schemas.openxmlformats.org/officeDocument/2006/relationships/hyperlink" Target="https://creativecommons.org/licenses/by/4.0/" TargetMode="External"/><Relationship Id="rId31" Type="http://schemas.openxmlformats.org/officeDocument/2006/relationships/hyperlink" Target="http://openaccess.fsu.edu/" TargetMode="External"/><Relationship Id="rId44" Type="http://schemas.openxmlformats.org/officeDocument/2006/relationships/hyperlink" Target="https://sparcopen.org/open-access/" TargetMode="External"/><Relationship Id="rId52" Type="http://schemas.openxmlformats.org/officeDocument/2006/relationships/hyperlink" Target="https://arxiv.org/abs/1304.7653" TargetMode="External"/><Relationship Id="rId60" Type="http://schemas.openxmlformats.org/officeDocument/2006/relationships/image" Target="media/image5.jpg"/><Relationship Id="rId65" Type="http://schemas.openxmlformats.org/officeDocument/2006/relationships/hyperlink" Target="https://libraries.ou.edu/content/scholarly-communication" TargetMode="External"/><Relationship Id="rId73" Type="http://schemas.openxmlformats.org/officeDocument/2006/relationships/hyperlink" Target="https://crln.acrl.org/index.php/crlnews/article/view/8863/9514" TargetMode="External"/><Relationship Id="rId78" Type="http://schemas.openxmlformats.org/officeDocument/2006/relationships/hyperlink" Target="https://blogs.lse.ac.uk/impactofsocialsciences/2019/06/24/learned-societies-the-key-to-realising-an-open-access-future/" TargetMode="External"/><Relationship Id="rId81" Type="http://schemas.openxmlformats.org/officeDocument/2006/relationships/hyperlink" Target="https://www.vox.com/the-highlight/2019/6/3/18271538/open-access-elsevier-california-sci-hub-academic-paywalls" TargetMode="External"/><Relationship Id="rId86" Type="http://schemas.openxmlformats.org/officeDocument/2006/relationships/hyperlink" Target="https://journals.plos.org/plosone/article?id=10.1371/journal.pone.0228914" TargetMode="External"/><Relationship Id="rId94" Type="http://schemas.openxmlformats.org/officeDocument/2006/relationships/hyperlink" Target="https://libraries.ou.edu/OUShareOK" TargetMode="External"/><Relationship Id="rId99" Type="http://schemas.openxmlformats.org/officeDocument/2006/relationships/hyperlink" Target="https://libraries.ou.edu/content/open-access-0" TargetMode="External"/><Relationship Id="rId101" Type="http://schemas.openxmlformats.org/officeDocument/2006/relationships/hyperlink" Target="https://libraries.ou.edu/content/university-libraries-committee-%E2%80%93-scholarly-communication-taskforce" TargetMode="External"/><Relationship Id="rId4" Type="http://schemas.openxmlformats.org/officeDocument/2006/relationships/settings" Target="settings.xml"/><Relationship Id="rId9" Type="http://schemas.openxmlformats.org/officeDocument/2006/relationships/hyperlink" Target="https://bit.ly/SCTFReport" TargetMode="External"/><Relationship Id="rId13" Type="http://schemas.openxmlformats.org/officeDocument/2006/relationships/hyperlink" Target="https://libraries.ou.edu/content/author-rights" TargetMode="External"/><Relationship Id="rId18" Type="http://schemas.openxmlformats.org/officeDocument/2006/relationships/hyperlink" Target="https://www.lib.iastate.edu/news/faculty-senate-green-lights-negotiation-principles-unanimous-vote" TargetMode="External"/><Relationship Id="rId39" Type="http://schemas.openxmlformats.org/officeDocument/2006/relationships/hyperlink" Target="https://guides.ou.edu/c.php?g=113949&amp;p=739335" TargetMode="External"/><Relationship Id="rId34" Type="http://schemas.openxmlformats.org/officeDocument/2006/relationships/hyperlink" Target="https://www.colorado.edu/libraries/research-assistance/open-access/open-access-resolutions" TargetMode="External"/><Relationship Id="rId50" Type="http://schemas.openxmlformats.org/officeDocument/2006/relationships/hyperlink" Target="https://doi.org/10.1136/bmj.a568" TargetMode="External"/><Relationship Id="rId55" Type="http://schemas.openxmlformats.org/officeDocument/2006/relationships/hyperlink" Target="https://www.springernature.com/gp/open-research/about/benefits" TargetMode="External"/><Relationship Id="rId76" Type="http://schemas.openxmlformats.org/officeDocument/2006/relationships/hyperlink" Target="https://oaspa.org/" TargetMode="External"/><Relationship Id="rId97" Type="http://schemas.openxmlformats.org/officeDocument/2006/relationships/hyperlink" Target="https://www.lib.iastate.edu/news/faculty-senate-green-lights-negotiation-principles-unanimous-vote" TargetMode="External"/><Relationship Id="rId104" Type="http://schemas.openxmlformats.org/officeDocument/2006/relationships/hyperlink" Target="https://roarmap.eprints.org/" TargetMode="External"/><Relationship Id="rId7" Type="http://schemas.openxmlformats.org/officeDocument/2006/relationships/endnotes" Target="endnotes.xml"/><Relationship Id="rId71" Type="http://schemas.openxmlformats.org/officeDocument/2006/relationships/hyperlink" Target="https://zenodo.org/record/815932" TargetMode="External"/><Relationship Id="rId92" Type="http://schemas.openxmlformats.org/officeDocument/2006/relationships/hyperlink" Target="https://libraries.ou.edu/content/author-rights" TargetMode="External"/><Relationship Id="rId2" Type="http://schemas.openxmlformats.org/officeDocument/2006/relationships/numbering" Target="numbering.xml"/><Relationship Id="rId29" Type="http://schemas.openxmlformats.org/officeDocument/2006/relationships/hyperlink" Target="https://senate.oregonstate.edu/sites/senate.oregonstate.edu/files/finalreport_1.pdf" TargetMode="External"/><Relationship Id="rId24" Type="http://schemas.openxmlformats.org/officeDocument/2006/relationships/hyperlink" Target="https://libraries.ou.edu/content/university-libraries-committee-%E2%80%93-scholarly-communication-taskforce" TargetMode="External"/><Relationship Id="rId40" Type="http://schemas.openxmlformats.org/officeDocument/2006/relationships/image" Target="media/image3.jpg"/><Relationship Id="rId45" Type="http://schemas.openxmlformats.org/officeDocument/2006/relationships/hyperlink" Target="https://doi.org/10.12688/f1000research.8460.3" TargetMode="External"/><Relationship Id="rId66" Type="http://schemas.openxmlformats.org/officeDocument/2006/relationships/hyperlink" Target="https://libraries.ou.edu/content/scholarly-communication" TargetMode="External"/><Relationship Id="rId87" Type="http://schemas.openxmlformats.org/officeDocument/2006/relationships/hyperlink" Target="https://sfdora.org/" TargetMode="External"/><Relationship Id="rId61" Type="http://schemas.openxmlformats.org/officeDocument/2006/relationships/hyperlink" Target="https://f1000research.com/articles/5-632" TargetMode="External"/><Relationship Id="rId82" Type="http://schemas.openxmlformats.org/officeDocument/2006/relationships/hyperlink" Target="https://www.vox.com/the-highlight/2019/6/3/18271538/open-access-elsevier-california-sci-hub-academic-paywalls" TargetMode="External"/><Relationship Id="rId19" Type="http://schemas.openxmlformats.org/officeDocument/2006/relationships/hyperlink" Target="https://guides.ou.edu/serialsprojects" TargetMode="External"/><Relationship Id="rId14" Type="http://schemas.openxmlformats.org/officeDocument/2006/relationships/hyperlink" Target="https://libraries.ou.edu/content/author-rights" TargetMode="External"/><Relationship Id="rId30" Type="http://schemas.openxmlformats.org/officeDocument/2006/relationships/hyperlink" Target="https://osc.hul.harvard.edu/policies/" TargetMode="External"/><Relationship Id="rId35" Type="http://schemas.openxmlformats.org/officeDocument/2006/relationships/hyperlink" Target="https://osc.hul.harvard.edu/modelpolicy/" TargetMode="External"/><Relationship Id="rId56" Type="http://schemas.openxmlformats.org/officeDocument/2006/relationships/hyperlink" Target="https://www.springernature.com/gp/open-research/about/benefits" TargetMode="External"/><Relationship Id="rId77" Type="http://schemas.openxmlformats.org/officeDocument/2006/relationships/hyperlink" Target="https://blogs.lse.ac.uk/impactofsocialsciences/2019/06/24/learned-societies-the-key-to-realising-an-open-access-future/" TargetMode="External"/><Relationship Id="rId100" Type="http://schemas.openxmlformats.org/officeDocument/2006/relationships/hyperlink" Target="https://libraries.ou.edu/content/university-libraries-committee-%E2%80%93-scholarly-communication-taskforce" TargetMode="External"/><Relationship Id="rId105" Type="http://schemas.openxmlformats.org/officeDocument/2006/relationships/fontTable" Target="fontTable.xml"/><Relationship Id="rId8" Type="http://schemas.openxmlformats.org/officeDocument/2006/relationships/hyperlink" Target="https://libraries.ou.edu/content/university-libraries-committee-%E2%80%93-scholarly-communication-taskforce" TargetMode="External"/><Relationship Id="rId51" Type="http://schemas.openxmlformats.org/officeDocument/2006/relationships/hyperlink" Target="https://doi.org/10.1002/asi.20898" TargetMode="External"/><Relationship Id="rId72" Type="http://schemas.openxmlformats.org/officeDocument/2006/relationships/hyperlink" Target="https://zenodo.org/record/815932" TargetMode="External"/><Relationship Id="rId93" Type="http://schemas.openxmlformats.org/officeDocument/2006/relationships/hyperlink" Target="https://libraries.ou.edu/content/author-rights" TargetMode="External"/><Relationship Id="rId98" Type="http://schemas.openxmlformats.org/officeDocument/2006/relationships/hyperlink" Target="https://guides.ou.edu/serialsprojects" TargetMode="External"/><Relationship Id="rId3" Type="http://schemas.openxmlformats.org/officeDocument/2006/relationships/styles" Target="styles.xml"/><Relationship Id="rId25" Type="http://schemas.openxmlformats.org/officeDocument/2006/relationships/hyperlink" Target="https://libraries.ou.edu/content/university-libraries-committee-%E2%80%93-scholarly-communication-taskforce" TargetMode="External"/><Relationship Id="rId46" Type="http://schemas.openxmlformats.org/officeDocument/2006/relationships/hyperlink" Target="https://doi.org/10.1371/journal.pone.0013636" TargetMode="External"/><Relationship Id="rId67" Type="http://schemas.openxmlformats.org/officeDocument/2006/relationships/hyperlink" Target="https://arxi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8578E-2616-6D44-8D9B-D2D9AC668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Pages>
  <Words>7331</Words>
  <Characters>41791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Waller, Jen</cp:lastModifiedBy>
  <cp:revision>11</cp:revision>
  <dcterms:created xsi:type="dcterms:W3CDTF">2021-03-21T20:41:00Z</dcterms:created>
  <dcterms:modified xsi:type="dcterms:W3CDTF">2021-03-21T21:17:00Z</dcterms:modified>
</cp:coreProperties>
</file>