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83E71" w14:textId="5668B65F" w:rsidR="0043385C" w:rsidRPr="00997F7B" w:rsidRDefault="00D65B10" w:rsidP="00667965">
      <w:pPr>
        <w:pStyle w:val="Heading1"/>
        <w:rPr>
          <w:sz w:val="44"/>
          <w:szCs w:val="44"/>
        </w:rPr>
      </w:pPr>
      <w:r w:rsidRPr="00997F7B">
        <w:rPr>
          <w:sz w:val="44"/>
          <w:szCs w:val="44"/>
        </w:rPr>
        <w:t xml:space="preserve">Translations of Giovanni Bassano’s </w:t>
      </w:r>
      <w:r w:rsidR="0043385C" w:rsidRPr="00567819">
        <w:rPr>
          <w:i/>
          <w:iCs/>
          <w:sz w:val="44"/>
          <w:szCs w:val="44"/>
        </w:rPr>
        <w:t xml:space="preserve">Motetti, </w:t>
      </w:r>
      <w:proofErr w:type="spellStart"/>
      <w:r w:rsidR="0043385C" w:rsidRPr="00567819">
        <w:rPr>
          <w:i/>
          <w:iCs/>
          <w:sz w:val="44"/>
          <w:szCs w:val="44"/>
        </w:rPr>
        <w:t>madrigali</w:t>
      </w:r>
      <w:proofErr w:type="spellEnd"/>
      <w:r w:rsidR="0043385C" w:rsidRPr="00567819">
        <w:rPr>
          <w:i/>
          <w:iCs/>
          <w:sz w:val="44"/>
          <w:szCs w:val="44"/>
        </w:rPr>
        <w:t xml:space="preserve"> et canzone </w:t>
      </w:r>
      <w:proofErr w:type="spellStart"/>
      <w:r w:rsidR="0043385C" w:rsidRPr="00567819">
        <w:rPr>
          <w:i/>
          <w:iCs/>
          <w:sz w:val="44"/>
          <w:szCs w:val="44"/>
        </w:rPr>
        <w:t>francese</w:t>
      </w:r>
      <w:proofErr w:type="spellEnd"/>
      <w:r w:rsidRPr="00997F7B">
        <w:rPr>
          <w:sz w:val="44"/>
          <w:szCs w:val="44"/>
        </w:rPr>
        <w:t xml:space="preserve"> (1591)</w:t>
      </w:r>
      <w:r w:rsidR="00997F7B" w:rsidRPr="00997F7B">
        <w:rPr>
          <w:sz w:val="44"/>
          <w:szCs w:val="44"/>
        </w:rPr>
        <w:t xml:space="preserve"> </w:t>
      </w:r>
      <w:r w:rsidRPr="00997F7B">
        <w:rPr>
          <w:sz w:val="44"/>
          <w:szCs w:val="44"/>
        </w:rPr>
        <w:t>and</w:t>
      </w:r>
      <w:r w:rsidR="00997F7B" w:rsidRPr="00997F7B">
        <w:rPr>
          <w:sz w:val="44"/>
          <w:szCs w:val="44"/>
        </w:rPr>
        <w:br/>
      </w:r>
      <w:proofErr w:type="spellStart"/>
      <w:r w:rsidRPr="00567819">
        <w:rPr>
          <w:i/>
          <w:iCs/>
          <w:sz w:val="44"/>
          <w:szCs w:val="44"/>
        </w:rPr>
        <w:t>Ricercate</w:t>
      </w:r>
      <w:proofErr w:type="spellEnd"/>
      <w:r w:rsidRPr="00567819">
        <w:rPr>
          <w:i/>
          <w:iCs/>
          <w:sz w:val="44"/>
          <w:szCs w:val="44"/>
        </w:rPr>
        <w:t xml:space="preserve"> </w:t>
      </w:r>
      <w:proofErr w:type="spellStart"/>
      <w:r w:rsidRPr="00567819">
        <w:rPr>
          <w:i/>
          <w:iCs/>
          <w:sz w:val="44"/>
          <w:szCs w:val="44"/>
        </w:rPr>
        <w:t>Passaggi</w:t>
      </w:r>
      <w:proofErr w:type="spellEnd"/>
      <w:r w:rsidRPr="00567819">
        <w:rPr>
          <w:i/>
          <w:iCs/>
          <w:sz w:val="44"/>
          <w:szCs w:val="44"/>
        </w:rPr>
        <w:t xml:space="preserve"> et </w:t>
      </w:r>
      <w:proofErr w:type="spellStart"/>
      <w:r w:rsidRPr="00567819">
        <w:rPr>
          <w:i/>
          <w:iCs/>
          <w:sz w:val="44"/>
          <w:szCs w:val="44"/>
        </w:rPr>
        <w:t>Cadentie</w:t>
      </w:r>
      <w:proofErr w:type="spellEnd"/>
      <w:r w:rsidRPr="00997F7B">
        <w:rPr>
          <w:sz w:val="44"/>
          <w:szCs w:val="44"/>
        </w:rPr>
        <w:t xml:space="preserve"> (1585)</w:t>
      </w:r>
    </w:p>
    <w:p w14:paraId="7CFAFD7D" w14:textId="44772B1A" w:rsidR="0043385C" w:rsidRPr="002E666E" w:rsidRDefault="00667965" w:rsidP="00667965">
      <w:pPr>
        <w:jc w:val="center"/>
      </w:pPr>
      <w:r>
        <w:t>Translation</w:t>
      </w:r>
      <w:r w:rsidR="00D65B10">
        <w:t xml:space="preserve"> of “</w:t>
      </w:r>
      <w:proofErr w:type="spellStart"/>
      <w:r w:rsidR="00D65B10" w:rsidRPr="00D65B10">
        <w:t>Motetti</w:t>
      </w:r>
      <w:proofErr w:type="spellEnd"/>
      <w:r w:rsidR="00D65B10" w:rsidRPr="00D65B10">
        <w:t xml:space="preserve">, </w:t>
      </w:r>
      <w:proofErr w:type="spellStart"/>
      <w:r w:rsidR="00D65B10" w:rsidRPr="00D65B10">
        <w:t>madrigali</w:t>
      </w:r>
      <w:proofErr w:type="spellEnd"/>
      <w:r w:rsidR="00D65B10" w:rsidRPr="00D65B10">
        <w:t xml:space="preserve"> et canzone </w:t>
      </w:r>
      <w:proofErr w:type="spellStart"/>
      <w:r w:rsidR="00D65B10" w:rsidRPr="00D65B10">
        <w:t>francese</w:t>
      </w:r>
      <w:proofErr w:type="spellEnd"/>
      <w:r w:rsidR="00D65B10">
        <w:t>”</w:t>
      </w:r>
      <w:r>
        <w:t xml:space="preserve"> r</w:t>
      </w:r>
      <w:r w:rsidR="002E666E">
        <w:t>evised September 26, 2016</w:t>
      </w:r>
    </w:p>
    <w:p w14:paraId="69B1EE65" w14:textId="212326EF" w:rsidR="00667965" w:rsidRDefault="0043385C" w:rsidP="00667965">
      <w:pPr>
        <w:jc w:val="center"/>
        <w:sectPr w:rsidR="00667965" w:rsidSect="00667965">
          <w:headerReference w:type="default" r:id="rId7"/>
          <w:footerReference w:type="default" r:id="rId8"/>
          <w:pgSz w:w="12240" w:h="15840" w:code="1"/>
          <w:pgMar w:top="1440" w:right="1440" w:bottom="1440" w:left="1440" w:header="720" w:footer="720" w:gutter="0"/>
          <w:cols w:space="720"/>
          <w:vAlign w:val="center"/>
          <w:titlePg/>
          <w:docGrid w:linePitch="360"/>
        </w:sectPr>
      </w:pPr>
      <w:r w:rsidRPr="0043385C">
        <w:t xml:space="preserve">Translated by </w:t>
      </w:r>
      <w:r w:rsidR="00667965">
        <w:t xml:space="preserve">Dr. </w:t>
      </w:r>
      <w:r w:rsidRPr="0043385C">
        <w:t xml:space="preserve">Sion M. </w:t>
      </w:r>
      <w:r w:rsidR="00667965">
        <w:t xml:space="preserve">(Ted) </w:t>
      </w:r>
      <w:r w:rsidRPr="0043385C">
        <w:t>Honea</w:t>
      </w:r>
    </w:p>
    <w:p w14:paraId="79A65321" w14:textId="77777777" w:rsidR="0043385C" w:rsidRDefault="0043385C" w:rsidP="00997F7B">
      <w:pPr>
        <w:pStyle w:val="Heading2"/>
      </w:pPr>
      <w:r>
        <w:lastRenderedPageBreak/>
        <w:t>Translator’s Preface</w:t>
      </w:r>
    </w:p>
    <w:p w14:paraId="7CD01BF6" w14:textId="50679D54" w:rsidR="0043385C" w:rsidRDefault="0043385C" w:rsidP="00667965">
      <w:pPr>
        <w:rPr>
          <w:rFonts w:ascii="Garamond" w:hAnsi="Garamond"/>
          <w:sz w:val="24"/>
          <w:szCs w:val="24"/>
        </w:rPr>
      </w:pPr>
      <w:r>
        <w:rPr>
          <w:rFonts w:ascii="Garamond" w:hAnsi="Garamond"/>
          <w:sz w:val="24"/>
          <w:szCs w:val="24"/>
        </w:rPr>
        <w:tab/>
      </w:r>
      <w:r w:rsidRPr="00667965">
        <w:t>Giovanni Bassano’s two books on the diminution technique offer little in the way of instructional text, and the musical portions are themselves also rather slight compared to most of the other diminution methods.</w:t>
      </w:r>
      <w:r w:rsidR="00036B96">
        <w:t xml:space="preserve"> </w:t>
      </w:r>
      <w:r w:rsidRPr="00667965">
        <w:t xml:space="preserve">Their greatest contribution may perhaps be seen as </w:t>
      </w:r>
      <w:r w:rsidR="007A6D23" w:rsidRPr="00667965">
        <w:t>together documenting many of the</w:t>
      </w:r>
      <w:r w:rsidRPr="00667965">
        <w:t xml:space="preserve"> genre</w:t>
      </w:r>
      <w:r w:rsidR="007A6D23" w:rsidRPr="00667965">
        <w:t>s</w:t>
      </w:r>
      <w:r w:rsidRPr="00667965">
        <w:t xml:space="preserve"> in which diminutions were considered appropriate:</w:t>
      </w:r>
      <w:r w:rsidR="00036B96">
        <w:t xml:space="preserve"> </w:t>
      </w:r>
      <w:r w:rsidRPr="00667965">
        <w:t xml:space="preserve">motets, madrigals, French </w:t>
      </w:r>
      <w:proofErr w:type="spellStart"/>
      <w:r w:rsidRPr="00667965">
        <w:t>canzonas</w:t>
      </w:r>
      <w:proofErr w:type="spellEnd"/>
      <w:r w:rsidRPr="00667965">
        <w:t xml:space="preserve">, and </w:t>
      </w:r>
      <w:proofErr w:type="spellStart"/>
      <w:r w:rsidRPr="00667965">
        <w:t>ricercate</w:t>
      </w:r>
      <w:proofErr w:type="spellEnd"/>
      <w:r w:rsidRPr="00667965">
        <w:t>, if the rather vague latter one can be considered a distinct genre.</w:t>
      </w:r>
      <w:r w:rsidR="00036B96">
        <w:t xml:space="preserve"> </w:t>
      </w:r>
      <w:r w:rsidRPr="00667965">
        <w:t xml:space="preserve">The </w:t>
      </w:r>
      <w:proofErr w:type="spellStart"/>
      <w:r w:rsidRPr="00667965">
        <w:t>ricercata</w:t>
      </w:r>
      <w:proofErr w:type="spellEnd"/>
      <w:r w:rsidRPr="00667965">
        <w:t>, if considered a genre</w:t>
      </w:r>
      <w:r w:rsidR="007A6D23" w:rsidRPr="00667965">
        <w:t xml:space="preserve"> in the form it appears here</w:t>
      </w:r>
      <w:r w:rsidRPr="00667965">
        <w:t>, does at least document that the technique was applied to solo compositions of a sort.</w:t>
      </w:r>
    </w:p>
    <w:p w14:paraId="56CDA53A" w14:textId="72A7D4CB" w:rsidR="0043385C" w:rsidRDefault="001A3FCE" w:rsidP="00667965">
      <w:r>
        <w:tab/>
        <w:t>Howard</w:t>
      </w:r>
      <w:r w:rsidR="0043385C">
        <w:t xml:space="preserve"> Mayer Brown in his </w:t>
      </w:r>
      <w:r w:rsidR="0043385C">
        <w:rPr>
          <w:i/>
        </w:rPr>
        <w:t>Embellishing 16</w:t>
      </w:r>
      <w:r w:rsidR="0043385C" w:rsidRPr="0043385C">
        <w:rPr>
          <w:i/>
          <w:vertAlign w:val="superscript"/>
        </w:rPr>
        <w:t>th</w:t>
      </w:r>
      <w:r w:rsidR="0043385C">
        <w:rPr>
          <w:i/>
        </w:rPr>
        <w:t>-Century Music</w:t>
      </w:r>
      <w:r w:rsidR="0043385C">
        <w:t xml:space="preserve"> cites both volumes but notes that the </w:t>
      </w:r>
      <w:proofErr w:type="spellStart"/>
      <w:r>
        <w:rPr>
          <w:i/>
        </w:rPr>
        <w:t>Motetti</w:t>
      </w:r>
      <w:proofErr w:type="spellEnd"/>
      <w:r>
        <w:rPr>
          <w:i/>
        </w:rPr>
        <w:t xml:space="preserve">, </w:t>
      </w:r>
      <w:proofErr w:type="spellStart"/>
      <w:r>
        <w:rPr>
          <w:i/>
        </w:rPr>
        <w:t>madrigali</w:t>
      </w:r>
      <w:proofErr w:type="spellEnd"/>
      <w:r>
        <w:rPr>
          <w:i/>
        </w:rPr>
        <w:t xml:space="preserve"> et canzone </w:t>
      </w:r>
      <w:proofErr w:type="spellStart"/>
      <w:r>
        <w:rPr>
          <w:i/>
        </w:rPr>
        <w:t>francese</w:t>
      </w:r>
      <w:proofErr w:type="spellEnd"/>
      <w:r>
        <w:t xml:space="preserve"> book was lost in World War II.</w:t>
      </w:r>
      <w:r w:rsidR="00036B96">
        <w:t xml:space="preserve"> </w:t>
      </w:r>
      <w:proofErr w:type="gramStart"/>
      <w:r>
        <w:t>Fortunately</w:t>
      </w:r>
      <w:proofErr w:type="gramEnd"/>
      <w:r>
        <w:t xml:space="preserve"> there survives a manuscript copy by Friedrich Chrysander (ca. 1890) in the collection of the Hamburg Staats- und </w:t>
      </w:r>
      <w:proofErr w:type="spellStart"/>
      <w:r>
        <w:t>Universitätsbibliothek</w:t>
      </w:r>
      <w:proofErr w:type="spellEnd"/>
      <w:r>
        <w:t>.</w:t>
      </w:r>
      <w:r w:rsidR="00036B96">
        <w:t xml:space="preserve"> </w:t>
      </w:r>
      <w:r>
        <w:t>This is available digitally online through the IMSLP/Petrucci Music Library, though the image, at least as I receive it, is small and with poor contrast.</w:t>
      </w:r>
      <w:r w:rsidR="00036B96">
        <w:t xml:space="preserve"> </w:t>
      </w:r>
      <w:proofErr w:type="gramStart"/>
      <w:r>
        <w:t>Fortunately</w:t>
      </w:r>
      <w:proofErr w:type="gramEnd"/>
      <w:r>
        <w:t xml:space="preserve"> Chrysander transcribed all the front matter in an italic script similar, presumably, to the original, though there appear to be some personal prefatory notes by him in the older German script, which I have never been able to devote enough time to in order to learn.</w:t>
      </w:r>
      <w:r w:rsidR="00036B96">
        <w:t xml:space="preserve"> </w:t>
      </w:r>
      <w:r>
        <w:t>Unfortunately, despite the careful copying and italic script, I still find illegible some words in the author’s address to the reader.</w:t>
      </w:r>
    </w:p>
    <w:p w14:paraId="2A487B76" w14:textId="30C9DAC7" w:rsidR="003F4A45" w:rsidRDefault="003F4A45" w:rsidP="00667965">
      <w:r>
        <w:tab/>
        <w:t xml:space="preserve">A difficulty arises in Bassano’s texts as to </w:t>
      </w:r>
      <w:r w:rsidR="007A6D23">
        <w:t>how he addresses</w:t>
      </w:r>
      <w:r>
        <w:t xml:space="preserve"> his readers</w:t>
      </w:r>
      <w:r w:rsidR="007A6D23">
        <w:t>, formally</w:t>
      </w:r>
      <w:r>
        <w:t xml:space="preserve"> in the third person</w:t>
      </w:r>
      <w:r w:rsidR="007A6D23">
        <w:t xml:space="preserve"> verbs and pronouns</w:t>
      </w:r>
      <w:r>
        <w:t>.</w:t>
      </w:r>
      <w:r w:rsidR="00036B96">
        <w:t xml:space="preserve"> </w:t>
      </w:r>
      <w:r>
        <w:t>The modern use of capitalization had not become the standard</w:t>
      </w:r>
      <w:r w:rsidR="007A6D23">
        <w:t xml:space="preserve"> means of distinguishing this</w:t>
      </w:r>
      <w:r>
        <w:t xml:space="preserve"> in print.</w:t>
      </w:r>
      <w:r w:rsidR="00036B96">
        <w:t xml:space="preserve"> </w:t>
      </w:r>
      <w:r>
        <w:t xml:space="preserve">There are occasions when the third plural may be “you,” but it could </w:t>
      </w:r>
      <w:r w:rsidR="007A6D23">
        <w:t>sometimes also</w:t>
      </w:r>
      <w:r>
        <w:t xml:space="preserve"> be a reference to his subject matter.</w:t>
      </w:r>
    </w:p>
    <w:p w14:paraId="39B52C18" w14:textId="37C7EC9D" w:rsidR="00FE38ED" w:rsidRPr="00FE38ED" w:rsidRDefault="00FE38ED" w:rsidP="00667965">
      <w:r>
        <w:tab/>
        <w:t xml:space="preserve">Bassano’s book </w:t>
      </w:r>
      <w:proofErr w:type="spellStart"/>
      <w:r>
        <w:rPr>
          <w:i/>
        </w:rPr>
        <w:t>Ricercate</w:t>
      </w:r>
      <w:proofErr w:type="spellEnd"/>
      <w:r>
        <w:t>, etc.</w:t>
      </w:r>
      <w:r w:rsidR="00036B96">
        <w:t xml:space="preserve"> </w:t>
      </w:r>
      <w:r>
        <w:t>is effectively in four parts:</w:t>
      </w:r>
      <w:r w:rsidR="00036B96">
        <w:t xml:space="preserve"> </w:t>
      </w:r>
      <w:proofErr w:type="spellStart"/>
      <w:r>
        <w:t>ricercate</w:t>
      </w:r>
      <w:proofErr w:type="spellEnd"/>
      <w:r>
        <w:t xml:space="preserve">, </w:t>
      </w:r>
      <w:proofErr w:type="spellStart"/>
      <w:r>
        <w:t>passaggi</w:t>
      </w:r>
      <w:proofErr w:type="spellEnd"/>
      <w:r>
        <w:t>, cadences, and diminished forms of the soprano part of a Cipriano de Rore madrigal.</w:t>
      </w:r>
      <w:r w:rsidR="00036B96">
        <w:t xml:space="preserve"> </w:t>
      </w:r>
      <w:r>
        <w:t xml:space="preserve">The </w:t>
      </w:r>
      <w:proofErr w:type="spellStart"/>
      <w:r>
        <w:t>ricercate</w:t>
      </w:r>
      <w:proofErr w:type="spellEnd"/>
      <w:r>
        <w:t xml:space="preserve"> are in the nature of extended elaborations that seem to be based on stated motives, whose overall purpose is to acquaint the student with typical formulas in extended use, but I do not find the organization intuitive.</w:t>
      </w:r>
      <w:r w:rsidR="00036B96">
        <w:t xml:space="preserve"> </w:t>
      </w:r>
      <w:r>
        <w:t>The pa</w:t>
      </w:r>
      <w:r w:rsidR="007A6D23">
        <w:t>ssaggio</w:t>
      </w:r>
      <w:r>
        <w:t xml:space="preserve"> and cadence sections proceed in the familiar way by presenting the interval or cadential formula to be varied, followed by a succession of diminution variants.</w:t>
      </w:r>
      <w:r w:rsidR="00036B96">
        <w:t xml:space="preserve"> </w:t>
      </w:r>
      <w:r>
        <w:t>The diminished madrigal soprano, the fourth part, presents only the diminution, not the original.</w:t>
      </w:r>
    </w:p>
    <w:p w14:paraId="6BAE33EE" w14:textId="5A9631BC" w:rsidR="00D65B10" w:rsidRDefault="001A3FCE" w:rsidP="00667965">
      <w:r>
        <w:tab/>
        <w:t>As mentioned, Bassano’s instructional contributions are arguably negligible to our understanding of the diminution technique, but it is my purpose here in this series of translations to be utterly comprehensive in the translation of every text on the subje</w:t>
      </w:r>
      <w:r w:rsidR="007A6D23">
        <w:t>ct that I have been able to identify</w:t>
      </w:r>
      <w:r>
        <w:t>.</w:t>
      </w:r>
    </w:p>
    <w:p w14:paraId="4EFEE32C" w14:textId="77777777" w:rsidR="00D65B10" w:rsidRDefault="00D65B10">
      <w:r>
        <w:br w:type="page"/>
      </w:r>
    </w:p>
    <w:p w14:paraId="6801A993" w14:textId="77777777" w:rsidR="00036B96" w:rsidRDefault="00B51A4B" w:rsidP="00997F7B">
      <w:pPr>
        <w:pStyle w:val="Heading2"/>
      </w:pPr>
      <w:r>
        <w:lastRenderedPageBreak/>
        <w:t xml:space="preserve">Addendum to </w:t>
      </w:r>
      <w:r w:rsidRPr="00997F7B">
        <w:t>Revision</w:t>
      </w:r>
    </w:p>
    <w:p w14:paraId="37B1C501" w14:textId="787C8D62" w:rsidR="00B51A4B" w:rsidRPr="00B51A4B" w:rsidRDefault="00B51A4B" w:rsidP="00667965">
      <w:r>
        <w:tab/>
        <w:t xml:space="preserve">I would like to thank Mr. Andrew Robinson for making possible this revision of Bassano’s remarks to the reader for the </w:t>
      </w:r>
      <w:proofErr w:type="spellStart"/>
      <w:r w:rsidRPr="00B51A4B">
        <w:rPr>
          <w:i/>
        </w:rPr>
        <w:t>Motetti</w:t>
      </w:r>
      <w:proofErr w:type="spellEnd"/>
      <w:r w:rsidRPr="00B51A4B">
        <w:rPr>
          <w:i/>
        </w:rPr>
        <w:t xml:space="preserve">, </w:t>
      </w:r>
      <w:proofErr w:type="spellStart"/>
      <w:r w:rsidRPr="00B51A4B">
        <w:rPr>
          <w:i/>
        </w:rPr>
        <w:t>madrigali</w:t>
      </w:r>
      <w:proofErr w:type="spellEnd"/>
      <w:r w:rsidRPr="00B51A4B">
        <w:rPr>
          <w:i/>
        </w:rPr>
        <w:t xml:space="preserve"> et canzoni </w:t>
      </w:r>
      <w:proofErr w:type="spellStart"/>
      <w:r w:rsidRPr="00B51A4B">
        <w:rPr>
          <w:i/>
        </w:rPr>
        <w:t>francese</w:t>
      </w:r>
      <w:proofErr w:type="spellEnd"/>
      <w:r w:rsidRPr="00B51A4B">
        <w:t xml:space="preserve"> (1591)</w:t>
      </w:r>
      <w:r>
        <w:t>.</w:t>
      </w:r>
      <w:r w:rsidR="00036B96">
        <w:t xml:space="preserve"> </w:t>
      </w:r>
      <w:r>
        <w:t>He called my attention to an obvious mistranslation, for which I have no excuse, as well as providing better readings of the original text in some instances.</w:t>
      </w:r>
      <w:r w:rsidR="00036B96">
        <w:t xml:space="preserve"> </w:t>
      </w:r>
      <w:r>
        <w:t xml:space="preserve">These together with his other observations and questions caused me to rethink portions of my translation, resulting in what I believe is </w:t>
      </w:r>
      <w:proofErr w:type="gramStart"/>
      <w:r>
        <w:t>an improved</w:t>
      </w:r>
      <w:proofErr w:type="gramEnd"/>
      <w:r>
        <w:t xml:space="preserve"> reading</w:t>
      </w:r>
      <w:r w:rsidR="004F3849">
        <w:t>.</w:t>
      </w:r>
      <w:r w:rsidR="00036B96">
        <w:t xml:space="preserve"> </w:t>
      </w:r>
      <w:r w:rsidR="004F3849">
        <w:t>T</w:t>
      </w:r>
      <w:r>
        <w:t>hough not all problems are solved, any persisting errors are, of course, owing solely to me.</w:t>
      </w:r>
    </w:p>
    <w:p w14:paraId="50D24990" w14:textId="07883506" w:rsidR="001A3FCE" w:rsidRDefault="001A3FCE" w:rsidP="00997F7B">
      <w:pPr>
        <w:pStyle w:val="Heading2"/>
      </w:pPr>
      <w:r>
        <w:br w:type="page"/>
      </w:r>
      <w:proofErr w:type="spellStart"/>
      <w:r>
        <w:lastRenderedPageBreak/>
        <w:t>Ricercate</w:t>
      </w:r>
      <w:proofErr w:type="spellEnd"/>
      <w:r>
        <w:t xml:space="preserve"> </w:t>
      </w:r>
      <w:proofErr w:type="spellStart"/>
      <w:r>
        <w:t>Passaggi</w:t>
      </w:r>
      <w:proofErr w:type="spellEnd"/>
      <w:r>
        <w:t xml:space="preserve"> et </w:t>
      </w:r>
      <w:proofErr w:type="spellStart"/>
      <w:r>
        <w:t>Cadentie</w:t>
      </w:r>
      <w:proofErr w:type="spellEnd"/>
      <w:r>
        <w:t xml:space="preserve"> (1585)</w:t>
      </w:r>
    </w:p>
    <w:p w14:paraId="3ED7B19E" w14:textId="3BF59729" w:rsidR="001A3FCE" w:rsidRDefault="001A3FCE" w:rsidP="00D11313">
      <w:r>
        <w:t>Giovanni Bassano to the Reader</w:t>
      </w:r>
      <w:r w:rsidR="00D11313">
        <w:t>:</w:t>
      </w:r>
      <w:r>
        <w:rPr>
          <w:rStyle w:val="FootnoteReference"/>
          <w:rFonts w:ascii="Garamond" w:hAnsi="Garamond"/>
          <w:b/>
          <w:sz w:val="24"/>
          <w:szCs w:val="24"/>
        </w:rPr>
        <w:footnoteReference w:id="1"/>
      </w:r>
    </w:p>
    <w:p w14:paraId="054F9226" w14:textId="42E1C875" w:rsidR="00FE38ED" w:rsidRDefault="001A3FCE" w:rsidP="00667965">
      <w:r>
        <w:tab/>
        <w:t>Desirous, as much as I am able, to be of benefit to excellent musicians who delight in making diminutions, either by the simple voice or with instruments—either by one or the other means—I wanted</w:t>
      </w:r>
      <w:r w:rsidR="00DA44A4">
        <w:t xml:space="preserve"> to share this my work with you.</w:t>
      </w:r>
      <w:r w:rsidR="00DA44A4">
        <w:rPr>
          <w:rStyle w:val="FootnoteReference"/>
          <w:rFonts w:ascii="Garamond" w:hAnsi="Garamond"/>
          <w:sz w:val="24"/>
          <w:szCs w:val="24"/>
        </w:rPr>
        <w:footnoteReference w:id="2"/>
      </w:r>
      <w:r w:rsidR="00036B96">
        <w:t xml:space="preserve"> </w:t>
      </w:r>
      <w:r w:rsidR="00DA44A4">
        <w:t>From these you</w:t>
      </w:r>
      <w:r>
        <w:t xml:space="preserve"> will see, by the guide of these my little </w:t>
      </w:r>
      <w:proofErr w:type="spellStart"/>
      <w:r>
        <w:t>ricercari</w:t>
      </w:r>
      <w:proofErr w:type="spellEnd"/>
      <w:r w:rsidR="00F65B25">
        <w:t>,</w:t>
      </w:r>
      <w:r w:rsidR="00F65B25">
        <w:rPr>
          <w:rStyle w:val="FootnoteReference"/>
          <w:rFonts w:ascii="Garamond" w:hAnsi="Garamond"/>
          <w:sz w:val="24"/>
          <w:szCs w:val="24"/>
        </w:rPr>
        <w:footnoteReference w:id="3"/>
      </w:r>
      <w:r w:rsidR="00DA44A4">
        <w:t xml:space="preserve"> how you</w:t>
      </w:r>
      <w:r w:rsidR="009906CC">
        <w:t xml:space="preserve"> may be able to practice in diminutions with any wind instrument or with the viol.</w:t>
      </w:r>
      <w:r w:rsidR="00036B96">
        <w:t xml:space="preserve"> </w:t>
      </w:r>
      <w:r w:rsidR="009906CC">
        <w:t xml:space="preserve">Having </w:t>
      </w:r>
      <w:r w:rsidR="009906CC" w:rsidRPr="009906CC">
        <w:rPr>
          <w:u w:val="single"/>
        </w:rPr>
        <w:t>diminished diverse ways</w:t>
      </w:r>
      <w:r w:rsidR="009906CC">
        <w:t>,</w:t>
      </w:r>
      <w:r w:rsidR="009906CC">
        <w:rPr>
          <w:rStyle w:val="FootnoteReference"/>
          <w:rFonts w:ascii="Garamond" w:hAnsi="Garamond"/>
          <w:sz w:val="24"/>
          <w:szCs w:val="24"/>
        </w:rPr>
        <w:footnoteReference w:id="4"/>
      </w:r>
      <w:r w:rsidR="009906CC">
        <w:t xml:space="preserve"> both </w:t>
      </w:r>
      <w:proofErr w:type="spellStart"/>
      <w:r w:rsidR="009906CC">
        <w:t>passaggi</w:t>
      </w:r>
      <w:proofErr w:type="spellEnd"/>
      <w:r w:rsidR="009906CC">
        <w:t xml:space="preserve"> and cadences, which can be made use of such as on endings (</w:t>
      </w:r>
      <w:r w:rsidR="009906CC">
        <w:rPr>
          <w:i/>
        </w:rPr>
        <w:t>termini</w:t>
      </w:r>
      <w:r w:rsidR="009906CC">
        <w:t>),</w:t>
      </w:r>
      <w:r w:rsidR="009906CC">
        <w:rPr>
          <w:rStyle w:val="FootnoteReference"/>
          <w:rFonts w:ascii="Garamond" w:hAnsi="Garamond"/>
          <w:sz w:val="24"/>
          <w:szCs w:val="24"/>
        </w:rPr>
        <w:footnoteReference w:id="5"/>
      </w:r>
      <w:r w:rsidR="009906CC">
        <w:t xml:space="preserve"> which I describe in tha</w:t>
      </w:r>
      <w:r w:rsidR="003F4A45">
        <w:t>t way that seems better for them</w:t>
      </w:r>
      <w:r w:rsidR="009906CC">
        <w:t>, proportioning the value of the diminution n</w:t>
      </w:r>
      <w:r w:rsidR="003F4A45">
        <w:t>otes to t</w:t>
      </w:r>
      <w:r w:rsidR="007A6D23">
        <w:t>he entire note that you</w:t>
      </w:r>
      <w:r w:rsidR="009906CC">
        <w:t xml:space="preserve"> want to diminish in such way as will</w:t>
      </w:r>
      <w:r w:rsidR="00DA44A4">
        <w:t xml:space="preserve"> prove more convenient for you, diminishing by the same rule also any composition entirely such as I have demonstrated by the example of the madrigal at the end of this work.</w:t>
      </w:r>
      <w:r w:rsidR="00036B96">
        <w:t xml:space="preserve"> </w:t>
      </w:r>
      <w:r w:rsidR="00234DDD">
        <w:t xml:space="preserve">Although many other labors made by my betters on the subject of diminutions ought perhaps to restrain me from publishing </w:t>
      </w:r>
      <w:proofErr w:type="gramStart"/>
      <w:r w:rsidR="00234DDD">
        <w:t>this my</w:t>
      </w:r>
      <w:proofErr w:type="gramEnd"/>
      <w:r w:rsidR="00234DDD">
        <w:t xml:space="preserve"> work, I did not want to deny beginners </w:t>
      </w:r>
      <w:proofErr w:type="gramStart"/>
      <w:r w:rsidR="00234DDD">
        <w:t>this,</w:t>
      </w:r>
      <w:proofErr w:type="gramEnd"/>
      <w:r w:rsidR="00234DDD">
        <w:t xml:space="preserve"> that this mann</w:t>
      </w:r>
      <w:r w:rsidR="003F4A45">
        <w:t>er of diminishing seems to</w:t>
      </w:r>
      <w:r w:rsidR="00234DDD">
        <w:t xml:space="preserve"> have </w:t>
      </w:r>
      <w:proofErr w:type="gramStart"/>
      <w:r w:rsidR="00234DDD">
        <w:t>discovered</w:t>
      </w:r>
      <w:proofErr w:type="gramEnd"/>
      <w:r w:rsidR="003F4A45">
        <w:t>,</w:t>
      </w:r>
      <w:r w:rsidR="00234DDD">
        <w:t xml:space="preserve"> so that everyone may know how.</w:t>
      </w:r>
      <w:r w:rsidR="00036B96">
        <w:t xml:space="preserve"> </w:t>
      </w:r>
      <w:r w:rsidR="00234DDD">
        <w:t xml:space="preserve">Since it was always dear to me and is </w:t>
      </w:r>
      <w:proofErr w:type="gramStart"/>
      <w:r w:rsidR="00234DDD">
        <w:t>more dear</w:t>
      </w:r>
      <w:proofErr w:type="gramEnd"/>
      <w:r w:rsidR="00234DDD">
        <w:t xml:space="preserve"> now than ever to receive fruit from the learned compositions of others, thus it delights </w:t>
      </w:r>
      <w:r w:rsidR="003F4A45">
        <w:t xml:space="preserve">me greatly to assist you </w:t>
      </w:r>
      <w:r w:rsidR="00FE38ED">
        <w:t>in the way as much as I can, to those who delight in learning.</w:t>
      </w:r>
    </w:p>
    <w:p w14:paraId="313F9FF3" w14:textId="680C0A08" w:rsidR="00036B96" w:rsidRDefault="00FE38ED" w:rsidP="00667965">
      <w:r>
        <w:t xml:space="preserve">This thirty-second-note </w:t>
      </w:r>
      <w:r>
        <w:rPr>
          <w:rFonts w:ascii="MaestroTimes" w:hAnsi="MaestroTimes"/>
        </w:rPr>
        <w:t>Û</w:t>
      </w:r>
      <w:r>
        <w:t xml:space="preserve"> you will understand in this work of mine is quadruple, that is with thirty-two to the value of a whole-note.</w:t>
      </w:r>
      <w:r>
        <w:rPr>
          <w:rStyle w:val="FootnoteReference"/>
          <w:rFonts w:ascii="Garamond" w:hAnsi="Garamond"/>
          <w:sz w:val="24"/>
          <w:szCs w:val="24"/>
        </w:rPr>
        <w:footnoteReference w:id="6"/>
      </w:r>
    </w:p>
    <w:p w14:paraId="30E9BEA2" w14:textId="77777777" w:rsidR="00036B96" w:rsidRDefault="00036B96">
      <w:r>
        <w:br w:type="page"/>
      </w:r>
    </w:p>
    <w:p w14:paraId="3A72F1C1" w14:textId="5E2E4CA8" w:rsidR="003F4A45" w:rsidRDefault="003F4A45" w:rsidP="00997F7B">
      <w:pPr>
        <w:pStyle w:val="Heading2"/>
      </w:pPr>
      <w:proofErr w:type="spellStart"/>
      <w:r>
        <w:lastRenderedPageBreak/>
        <w:t>Motetti</w:t>
      </w:r>
      <w:proofErr w:type="spellEnd"/>
      <w:r>
        <w:t xml:space="preserve">, </w:t>
      </w:r>
      <w:proofErr w:type="spellStart"/>
      <w:r>
        <w:t>madrigali</w:t>
      </w:r>
      <w:proofErr w:type="spellEnd"/>
      <w:r>
        <w:t xml:space="preserve"> et canzoni </w:t>
      </w:r>
      <w:proofErr w:type="spellStart"/>
      <w:r>
        <w:t>francese</w:t>
      </w:r>
      <w:proofErr w:type="spellEnd"/>
      <w:r>
        <w:t xml:space="preserve"> (1591)</w:t>
      </w:r>
    </w:p>
    <w:p w14:paraId="694A305D" w14:textId="7B9D1F3B" w:rsidR="00036B96" w:rsidRDefault="003F4A45" w:rsidP="00D11313">
      <w:r>
        <w:t>Giovanni Bassano to the Reader</w:t>
      </w:r>
      <w:r w:rsidR="00D11313">
        <w:t>:</w:t>
      </w:r>
    </w:p>
    <w:p w14:paraId="089AEFD8" w14:textId="2D6172A7" w:rsidR="000D0749" w:rsidRDefault="000D0749" w:rsidP="00667965">
      <w:r>
        <w:tab/>
        <w:t xml:space="preserve">This my present work in having diminished the present musical compositions was </w:t>
      </w:r>
      <w:r w:rsidR="008212B7">
        <w:t>n</w:t>
      </w:r>
      <w:r>
        <w:t xml:space="preserve">ot made to the end of more glory but in order to give aid to those who might be able with easier study </w:t>
      </w:r>
      <w:r w:rsidR="008212B7">
        <w:t>t</w:t>
      </w:r>
      <w:r>
        <w:t>o have some help from it.</w:t>
      </w:r>
      <w:r w:rsidR="00036B96">
        <w:t xml:space="preserve"> </w:t>
      </w:r>
      <w:r>
        <w:t xml:space="preserve">Further, I have divided this work in three parts for four, five </w:t>
      </w:r>
      <w:r w:rsidR="008212B7">
        <w:t>a</w:t>
      </w:r>
      <w:r>
        <w:t>nd six voices, advising that you make use not only of those motets or madrigals with words</w:t>
      </w:r>
      <w:r w:rsidR="008212B7">
        <w:rPr>
          <w:rStyle w:val="FootnoteReference"/>
          <w:rFonts w:ascii="Garamond" w:hAnsi="Garamond"/>
          <w:sz w:val="24"/>
          <w:szCs w:val="24"/>
        </w:rPr>
        <w:footnoteReference w:id="7"/>
      </w:r>
      <w:r>
        <w:t xml:space="preserve"> diminished for the single gorgia voice,</w:t>
      </w:r>
      <w:r>
        <w:rPr>
          <w:rStyle w:val="FootnoteReference"/>
          <w:rFonts w:ascii="Garamond" w:hAnsi="Garamond"/>
          <w:sz w:val="24"/>
          <w:szCs w:val="24"/>
        </w:rPr>
        <w:footnoteReference w:id="8"/>
      </w:r>
      <w:r>
        <w:t xml:space="preserve"> but also you will be able to make use of them with what instrument pleases you,</w:t>
      </w:r>
      <w:r>
        <w:rPr>
          <w:rStyle w:val="FootnoteReference"/>
          <w:rFonts w:ascii="Garamond" w:hAnsi="Garamond"/>
          <w:sz w:val="24"/>
          <w:szCs w:val="24"/>
        </w:rPr>
        <w:footnoteReference w:id="9"/>
      </w:r>
      <w:r>
        <w:t xml:space="preserve"> such as make diminutions without words.</w:t>
      </w:r>
      <w:r>
        <w:rPr>
          <w:rStyle w:val="FootnoteReference"/>
          <w:rFonts w:ascii="Garamond" w:hAnsi="Garamond"/>
          <w:sz w:val="24"/>
          <w:szCs w:val="24"/>
        </w:rPr>
        <w:footnoteReference w:id="10"/>
      </w:r>
      <w:r w:rsidR="00036B96">
        <w:t xml:space="preserve"> </w:t>
      </w:r>
      <w:r>
        <w:t>There are found some madrigals in four, five and six voices not only with the bass diminished,</w:t>
      </w:r>
      <w:r>
        <w:rPr>
          <w:rStyle w:val="FootnoteReference"/>
          <w:rFonts w:ascii="Garamond" w:hAnsi="Garamond"/>
          <w:sz w:val="24"/>
          <w:szCs w:val="24"/>
        </w:rPr>
        <w:footnoteReference w:id="11"/>
      </w:r>
      <w:r>
        <w:t xml:space="preserve"> but sometimes leaving out the bass [voice]</w:t>
      </w:r>
      <w:r w:rsidR="004F3849">
        <w:t>.</w:t>
      </w:r>
      <w:r>
        <w:rPr>
          <w:rStyle w:val="FootnoteReference"/>
          <w:rFonts w:ascii="Garamond" w:hAnsi="Garamond"/>
          <w:sz w:val="24"/>
          <w:szCs w:val="24"/>
        </w:rPr>
        <w:footnoteReference w:id="12"/>
      </w:r>
      <w:r w:rsidR="00036B96">
        <w:t xml:space="preserve"> </w:t>
      </w:r>
      <w:r w:rsidR="004F3849">
        <w:t>T</w:t>
      </w:r>
      <w:r>
        <w:t>he tenor sings, provided it is singable by only one voice, taking care always to have the bass of the song played as the foundation of the music.</w:t>
      </w:r>
      <w:r>
        <w:rPr>
          <w:rStyle w:val="FootnoteReference"/>
          <w:rFonts w:ascii="Garamond" w:hAnsi="Garamond"/>
          <w:sz w:val="24"/>
          <w:szCs w:val="24"/>
        </w:rPr>
        <w:footnoteReference w:id="13"/>
      </w:r>
      <w:r w:rsidR="00036B96">
        <w:t xml:space="preserve"> </w:t>
      </w:r>
      <w:r>
        <w:t>Songs diminished in this way you will be able to use in ensemble by singing that voice alone among other instruments or a keyboard instrument alone wit</w:t>
      </w:r>
      <w:r w:rsidR="004F3849">
        <w:t>h</w:t>
      </w:r>
      <w:r>
        <w:t xml:space="preserve"> the ba</w:t>
      </w:r>
      <w:r w:rsidR="004F3849">
        <w:t>ss played and a single voice.</w:t>
      </w:r>
      <w:r w:rsidR="00036B96">
        <w:t xml:space="preserve"> </w:t>
      </w:r>
      <w:r w:rsidR="004F3849">
        <w:t>[In regard to] o</w:t>
      </w:r>
      <w:r>
        <w:t>the</w:t>
      </w:r>
      <w:r w:rsidR="004F3849">
        <w:t>r diminished motets, the sopran</w:t>
      </w:r>
      <w:r>
        <w:t>o and bass, as these two parts are singing together</w:t>
      </w:r>
      <w:r w:rsidR="004F3849">
        <w:t>,</w:t>
      </w:r>
      <w:r>
        <w:t xml:space="preserve"> yield </w:t>
      </w:r>
      <w:r w:rsidR="004F3849">
        <w:t xml:space="preserve">place </w:t>
      </w:r>
      <w:r>
        <w:t>to each other in the diminutions.</w:t>
      </w:r>
      <w:r>
        <w:rPr>
          <w:rStyle w:val="FootnoteReference"/>
          <w:rFonts w:ascii="Garamond" w:hAnsi="Garamond"/>
          <w:sz w:val="24"/>
          <w:szCs w:val="24"/>
        </w:rPr>
        <w:footnoteReference w:id="14"/>
      </w:r>
      <w:r w:rsidR="00036B96">
        <w:t xml:space="preserve"> </w:t>
      </w:r>
      <w:r w:rsidR="008212B7">
        <w:t>Enjoy, then, with pleasure, with that sincere spirit with which I offer it to you, while I am preparing my other new works for you remember me and farewell.</w:t>
      </w:r>
    </w:p>
    <w:sectPr w:rsidR="000D07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19ED5" w14:textId="77777777" w:rsidR="004A24D1" w:rsidRDefault="004A24D1" w:rsidP="001A3FCE">
      <w:pPr>
        <w:spacing w:after="0" w:line="240" w:lineRule="auto"/>
      </w:pPr>
      <w:r>
        <w:separator/>
      </w:r>
    </w:p>
  </w:endnote>
  <w:endnote w:type="continuationSeparator" w:id="0">
    <w:p w14:paraId="3EC20B01" w14:textId="77777777" w:rsidR="004A24D1" w:rsidRDefault="004A24D1" w:rsidP="001A3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aestroTimes">
    <w:altName w:val="Calibri"/>
    <w:charset w:val="00"/>
    <w:family w:val="auto"/>
    <w:pitch w:val="variable"/>
    <w:sig w:usb0="800000AF"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880840"/>
      <w:docPartObj>
        <w:docPartGallery w:val="Page Numbers (Bottom of Page)"/>
        <w:docPartUnique/>
      </w:docPartObj>
    </w:sdtPr>
    <w:sdtEndPr>
      <w:rPr>
        <w:noProof/>
      </w:rPr>
    </w:sdtEndPr>
    <w:sdtContent>
      <w:p w14:paraId="5D4D458A" w14:textId="44B788B0" w:rsidR="002959B1" w:rsidRDefault="002959B1" w:rsidP="00036B96">
        <w:pPr>
          <w:pStyle w:val="Footer"/>
          <w:jc w:val="center"/>
        </w:pPr>
        <w:r>
          <w:fldChar w:fldCharType="begin"/>
        </w:r>
        <w:r>
          <w:instrText xml:space="preserve"> PAGE   \* MERGEFORMAT </w:instrText>
        </w:r>
        <w:r>
          <w:fldChar w:fldCharType="separate"/>
        </w:r>
        <w:r w:rsidR="002E66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24CB7" w14:textId="77777777" w:rsidR="004A24D1" w:rsidRDefault="004A24D1" w:rsidP="001A3FCE">
      <w:pPr>
        <w:spacing w:after="0" w:line="240" w:lineRule="auto"/>
      </w:pPr>
      <w:r>
        <w:separator/>
      </w:r>
    </w:p>
  </w:footnote>
  <w:footnote w:type="continuationSeparator" w:id="0">
    <w:p w14:paraId="1FB9196A" w14:textId="77777777" w:rsidR="004A24D1" w:rsidRDefault="004A24D1" w:rsidP="001A3FCE">
      <w:pPr>
        <w:spacing w:after="0" w:line="240" w:lineRule="auto"/>
      </w:pPr>
      <w:r>
        <w:continuationSeparator/>
      </w:r>
    </w:p>
  </w:footnote>
  <w:footnote w:id="1">
    <w:p w14:paraId="2FFCE619" w14:textId="77777777" w:rsidR="001A3FCE" w:rsidRDefault="001A3FCE">
      <w:pPr>
        <w:pStyle w:val="FootnoteText"/>
      </w:pPr>
      <w:r>
        <w:rPr>
          <w:rStyle w:val="FootnoteReference"/>
        </w:rPr>
        <w:footnoteRef/>
      </w:r>
      <w:r>
        <w:t xml:space="preserve"> This translation was made from a poor photocopy apparently itself made from a microform of some type and is often indistinct, barely legible and even illegible in places.</w:t>
      </w:r>
    </w:p>
  </w:footnote>
  <w:footnote w:id="2">
    <w:p w14:paraId="1414268D" w14:textId="36E37981" w:rsidR="00DA44A4" w:rsidRDefault="00DA44A4">
      <w:pPr>
        <w:pStyle w:val="FootnoteText"/>
      </w:pPr>
      <w:r>
        <w:rPr>
          <w:rStyle w:val="FootnoteReference"/>
        </w:rPr>
        <w:footnoteRef/>
      </w:r>
      <w:r>
        <w:t xml:space="preserve"> Bassano uses the formal forms </w:t>
      </w:r>
      <w:r w:rsidR="007A6D23">
        <w:t>of address</w:t>
      </w:r>
      <w:r>
        <w:t xml:space="preserve">, which are the third </w:t>
      </w:r>
      <w:r w:rsidR="007A6D23">
        <w:t>person verbs and pronouns</w:t>
      </w:r>
      <w:r>
        <w:t>.</w:t>
      </w:r>
      <w:r w:rsidR="00036B96">
        <w:t xml:space="preserve"> </w:t>
      </w:r>
      <w:r>
        <w:t xml:space="preserve">Since he does not employ the modern practice of capitalizing the affected words, this creates a degree of confusion as to </w:t>
      </w:r>
      <w:r w:rsidR="007A6D23">
        <w:t>when he is address his reader</w:t>
      </w:r>
      <w:r>
        <w:t xml:space="preserve"> and when he is referring to his subject matter.</w:t>
      </w:r>
    </w:p>
  </w:footnote>
  <w:footnote w:id="3">
    <w:p w14:paraId="64179E0D" w14:textId="58D0E000" w:rsidR="00F65B25" w:rsidRPr="009906CC" w:rsidRDefault="00F65B25">
      <w:pPr>
        <w:pStyle w:val="FootnoteText"/>
      </w:pPr>
      <w:r>
        <w:rPr>
          <w:rStyle w:val="FootnoteReference"/>
        </w:rPr>
        <w:footnoteRef/>
      </w:r>
      <w:r>
        <w:t xml:space="preserve"> Between his two books Bassano uses the terms </w:t>
      </w:r>
      <w:r>
        <w:rPr>
          <w:i/>
        </w:rPr>
        <w:t>ricercare</w:t>
      </w:r>
      <w:r>
        <w:t xml:space="preserve"> and </w:t>
      </w:r>
      <w:r>
        <w:rPr>
          <w:i/>
        </w:rPr>
        <w:t>riceercate</w:t>
      </w:r>
      <w:r>
        <w:t xml:space="preserve"> apparently indiscriminately.</w:t>
      </w:r>
      <w:r w:rsidR="00036B96">
        <w:t xml:space="preserve"> </w:t>
      </w:r>
      <w:r>
        <w:t xml:space="preserve">Musicians are, of course, familiar with the ricercare, a variant of which is ricercata according to </w:t>
      </w:r>
      <w:r>
        <w:rPr>
          <w:i/>
        </w:rPr>
        <w:t>Harvard Dictionary of Music</w:t>
      </w:r>
      <w:r>
        <w:t>, 4</w:t>
      </w:r>
      <w:r w:rsidRPr="00F65B25">
        <w:rPr>
          <w:vertAlign w:val="superscript"/>
        </w:rPr>
        <w:t>th</w:t>
      </w:r>
      <w:r>
        <w:t xml:space="preserve"> ed.</w:t>
      </w:r>
      <w:r w:rsidR="00036B96">
        <w:t xml:space="preserve"> </w:t>
      </w:r>
      <w:r>
        <w:t>I am not entirely satisfied that this resolves the issue as the terms were used in the sixteenth century.</w:t>
      </w:r>
      <w:r w:rsidR="00036B96">
        <w:t xml:space="preserve"> </w:t>
      </w:r>
      <w:r>
        <w:t xml:space="preserve">My sense is that </w:t>
      </w:r>
      <w:r>
        <w:rPr>
          <w:i/>
        </w:rPr>
        <w:t>ricercata</w:t>
      </w:r>
      <w:r>
        <w:t xml:space="preserve"> is used both as a genre term = ricercare and more loosely as a technical term something like “embellishment;” the modern Italian </w:t>
      </w:r>
      <w:r>
        <w:rPr>
          <w:i/>
        </w:rPr>
        <w:t>ricercato</w:t>
      </w:r>
      <w:r>
        <w:t xml:space="preserve"> does poss</w:t>
      </w:r>
      <w:r w:rsidR="00446C6A">
        <w:t>ess the sense of “refined.”</w:t>
      </w:r>
      <w:r w:rsidR="00036B96">
        <w:t xml:space="preserve"> </w:t>
      </w:r>
      <w:r w:rsidR="00446C6A">
        <w:t>Fur</w:t>
      </w:r>
      <w:r>
        <w:t xml:space="preserve">ther, the basic meaning of the verb </w:t>
      </w:r>
      <w:r>
        <w:rPr>
          <w:i/>
        </w:rPr>
        <w:t>ricercare</w:t>
      </w:r>
      <w:r>
        <w:t xml:space="preserve"> is “search for (again).”</w:t>
      </w:r>
      <w:r w:rsidR="00036B96">
        <w:t xml:space="preserve"> </w:t>
      </w:r>
      <w:r>
        <w:t xml:space="preserve">To my mind the term is used also, in addition to the </w:t>
      </w:r>
      <w:r w:rsidR="006A63F0">
        <w:t>genre and embellishment technique, to mean something like a “study” or “etude.”</w:t>
      </w:r>
      <w:r w:rsidR="00036B96">
        <w:t xml:space="preserve"> </w:t>
      </w:r>
      <w:r w:rsidR="006A63F0">
        <w:t>This seems closest to what Bassano actually presents in the book.</w:t>
      </w:r>
      <w:r w:rsidR="00036B96">
        <w:t xml:space="preserve"> </w:t>
      </w:r>
      <w:r w:rsidR="006A63F0">
        <w:t xml:space="preserve">Finally, Brossard, </w:t>
      </w:r>
      <w:r w:rsidR="006A63F0">
        <w:rPr>
          <w:i/>
        </w:rPr>
        <w:t>Dictionaire de Musique</w:t>
      </w:r>
      <w:r w:rsidR="006A63F0">
        <w:t xml:space="preserve"> (3</w:t>
      </w:r>
      <w:r w:rsidR="006A63F0" w:rsidRPr="006A63F0">
        <w:rPr>
          <w:vertAlign w:val="superscript"/>
        </w:rPr>
        <w:t>rd</w:t>
      </w:r>
      <w:r w:rsidR="006A63F0">
        <w:t xml:space="preserve"> ed. 1708) s.v. “</w:t>
      </w:r>
      <w:r w:rsidR="006A63F0">
        <w:rPr>
          <w:i/>
        </w:rPr>
        <w:t>ricercata</w:t>
      </w:r>
      <w:r w:rsidR="006A63F0">
        <w:t>” says “</w:t>
      </w:r>
      <w:r w:rsidR="006A63F0" w:rsidRPr="009906CC">
        <w:rPr>
          <w:i/>
        </w:rPr>
        <w:t>Veut dire, recherché.</w:t>
      </w:r>
      <w:r w:rsidR="00036B96">
        <w:rPr>
          <w:i/>
        </w:rPr>
        <w:t xml:space="preserve"> </w:t>
      </w:r>
      <w:r w:rsidR="006A63F0" w:rsidRPr="009906CC">
        <w:rPr>
          <w:i/>
        </w:rPr>
        <w:t>C’est un espece de Prelude ou de fantaisie qu’on joüe sur l’Orgue . . . Cela se fait ordinairement sur le champ &amp; sans preparation</w:t>
      </w:r>
      <w:r w:rsidR="009906CC" w:rsidRPr="009906CC">
        <w:rPr>
          <w:i/>
        </w:rPr>
        <w:t>, &amp; par consequent cela demande beaucoup d’habileté.</w:t>
      </w:r>
      <w:r w:rsidR="009906CC">
        <w:t>”</w:t>
      </w:r>
    </w:p>
  </w:footnote>
  <w:footnote w:id="4">
    <w:p w14:paraId="791746B7" w14:textId="77777777" w:rsidR="009906CC" w:rsidRPr="009906CC" w:rsidRDefault="009906CC">
      <w:pPr>
        <w:pStyle w:val="FootnoteText"/>
      </w:pPr>
      <w:r>
        <w:rPr>
          <w:rStyle w:val="FootnoteReference"/>
        </w:rPr>
        <w:footnoteRef/>
      </w:r>
      <w:r>
        <w:t xml:space="preserve"> This is a conjecture for an illegible passage, possibly </w:t>
      </w:r>
      <w:r>
        <w:rPr>
          <w:i/>
        </w:rPr>
        <w:t>diminuito diversi modi</w:t>
      </w:r>
      <w:r>
        <w:t>.</w:t>
      </w:r>
    </w:p>
  </w:footnote>
  <w:footnote w:id="5">
    <w:p w14:paraId="0D00CD33" w14:textId="6900582E" w:rsidR="009906CC" w:rsidRPr="009906CC" w:rsidRDefault="009906CC">
      <w:pPr>
        <w:pStyle w:val="FootnoteText"/>
      </w:pPr>
      <w:r>
        <w:rPr>
          <w:rStyle w:val="FootnoteReference"/>
        </w:rPr>
        <w:footnoteRef/>
      </w:r>
      <w:r>
        <w:t xml:space="preserve"> This translation is a conjecture for a passage I find obscure.</w:t>
      </w:r>
      <w:r w:rsidR="00036B96">
        <w:t xml:space="preserve"> </w:t>
      </w:r>
      <w:r>
        <w:t>Bassano does provide a section on cadence formulas.</w:t>
      </w:r>
    </w:p>
  </w:footnote>
  <w:footnote w:id="6">
    <w:p w14:paraId="72CCD499" w14:textId="77777777" w:rsidR="00FE38ED" w:rsidRDefault="00FE38ED">
      <w:pPr>
        <w:pStyle w:val="FootnoteText"/>
      </w:pPr>
      <w:r>
        <w:rPr>
          <w:rStyle w:val="FootnoteReference"/>
        </w:rPr>
        <w:footnoteRef/>
      </w:r>
      <w:r>
        <w:t xml:space="preserve"> This is a vestige of mensural notation, in which the thirtysecond-note could be taken in triple subdivision with twenty-four to the whole-note or in duple subdivision with thirty-two to the whole-note.</w:t>
      </w:r>
    </w:p>
  </w:footnote>
  <w:footnote w:id="7">
    <w:p w14:paraId="3704DED4" w14:textId="77777777" w:rsidR="008212B7" w:rsidRDefault="008212B7">
      <w:pPr>
        <w:pStyle w:val="FootnoteText"/>
      </w:pPr>
      <w:r>
        <w:rPr>
          <w:rStyle w:val="FootnoteReference"/>
        </w:rPr>
        <w:footnoteRef/>
      </w:r>
      <w:r>
        <w:t xml:space="preserve"> The point of the rather strange mention of “with words” is that he is going to advise the substitution of instruments for some voices.</w:t>
      </w:r>
    </w:p>
  </w:footnote>
  <w:footnote w:id="8">
    <w:p w14:paraId="50E53E8F" w14:textId="77777777" w:rsidR="000D0749" w:rsidRDefault="000D0749" w:rsidP="000D0749">
      <w:pPr>
        <w:pStyle w:val="FootnoteText"/>
      </w:pPr>
      <w:r>
        <w:rPr>
          <w:rStyle w:val="FootnoteReference"/>
        </w:rPr>
        <w:footnoteRef/>
      </w:r>
      <w:r>
        <w:t xml:space="preserve"> This is a reference to the use of throat articulation.</w:t>
      </w:r>
    </w:p>
  </w:footnote>
  <w:footnote w:id="9">
    <w:p w14:paraId="059DE219" w14:textId="77777777" w:rsidR="000D0749" w:rsidRDefault="000D0749" w:rsidP="000D0749">
      <w:pPr>
        <w:pStyle w:val="FootnoteText"/>
      </w:pPr>
      <w:r>
        <w:rPr>
          <w:rStyle w:val="FootnoteReference"/>
        </w:rPr>
        <w:footnoteRef/>
      </w:r>
      <w:r>
        <w:t xml:space="preserve"> As in the previous preface, Bassano makes use of the formal third person forms for “you.”</w:t>
      </w:r>
    </w:p>
  </w:footnote>
  <w:footnote w:id="10">
    <w:p w14:paraId="14F78D03" w14:textId="77777777" w:rsidR="000D0749" w:rsidRDefault="000D0749">
      <w:pPr>
        <w:pStyle w:val="FootnoteText"/>
      </w:pPr>
      <w:r>
        <w:rPr>
          <w:rStyle w:val="FootnoteReference"/>
        </w:rPr>
        <w:footnoteRef/>
      </w:r>
      <w:r>
        <w:t xml:space="preserve"> Bassano’s text becomes confusing from this point, but it must be understood that he describes how performance with instrumental substitutes is to be accomplished.</w:t>
      </w:r>
    </w:p>
  </w:footnote>
  <w:footnote w:id="11">
    <w:p w14:paraId="77E95AD8" w14:textId="3CAD4F24" w:rsidR="000D0749" w:rsidRDefault="000D0749" w:rsidP="000D0749">
      <w:pPr>
        <w:pStyle w:val="FootnoteText"/>
      </w:pPr>
      <w:r>
        <w:rPr>
          <w:rStyle w:val="FootnoteReference"/>
        </w:rPr>
        <w:footnoteRef/>
      </w:r>
      <w:r>
        <w:t xml:space="preserve"> Bassano’s emphasis on the bass is unusual.</w:t>
      </w:r>
      <w:r w:rsidR="00036B96">
        <w:t xml:space="preserve"> </w:t>
      </w:r>
      <w:r>
        <w:t>The other writers on the subject agree that the bass should only rarely indulge in diminution.</w:t>
      </w:r>
    </w:p>
  </w:footnote>
  <w:footnote w:id="12">
    <w:p w14:paraId="4E4EF77F" w14:textId="77777777" w:rsidR="000D0749" w:rsidRDefault="000D0749">
      <w:pPr>
        <w:pStyle w:val="FootnoteText"/>
      </w:pPr>
      <w:r>
        <w:rPr>
          <w:rStyle w:val="FootnoteReference"/>
        </w:rPr>
        <w:footnoteRef/>
      </w:r>
      <w:r>
        <w:t xml:space="preserve"> That is, the bass as a sung part is omitted but is replaced by instrumental performance as he subsequently describes.</w:t>
      </w:r>
    </w:p>
  </w:footnote>
  <w:footnote w:id="13">
    <w:p w14:paraId="467993AF" w14:textId="77777777" w:rsidR="000D0749" w:rsidRDefault="000D0749" w:rsidP="000D0749">
      <w:pPr>
        <w:pStyle w:val="FootnoteText"/>
      </w:pPr>
      <w:r>
        <w:rPr>
          <w:rStyle w:val="FootnoteReference"/>
        </w:rPr>
        <w:footnoteRef/>
      </w:r>
      <w:r>
        <w:t xml:space="preserve"> It thus converts the bass voice into a </w:t>
      </w:r>
      <w:r w:rsidR="004F3849">
        <w:t xml:space="preserve">kind of </w:t>
      </w:r>
      <w:r>
        <w:t>basso continuo, which is consistent with this kind of substitution performance of the time.</w:t>
      </w:r>
    </w:p>
  </w:footnote>
  <w:footnote w:id="14">
    <w:p w14:paraId="41238487" w14:textId="784EF6E6" w:rsidR="000D0749" w:rsidRPr="008212B7" w:rsidRDefault="000D0749">
      <w:pPr>
        <w:pStyle w:val="FootnoteText"/>
      </w:pPr>
      <w:r>
        <w:rPr>
          <w:rStyle w:val="FootnoteReference"/>
        </w:rPr>
        <w:footnoteRef/>
      </w:r>
      <w:r>
        <w:t xml:space="preserve"> </w:t>
      </w:r>
      <w:r w:rsidR="008212B7">
        <w:t>The sentence is somewhat obscure.</w:t>
      </w:r>
      <w:r w:rsidR="00036B96">
        <w:t xml:space="preserve"> </w:t>
      </w:r>
      <w:r w:rsidR="008212B7">
        <w:t xml:space="preserve">The phrase </w:t>
      </w:r>
      <w:r w:rsidR="008212B7">
        <w:rPr>
          <w:i/>
        </w:rPr>
        <w:t>si danno loco</w:t>
      </w:r>
      <w:r w:rsidR="008212B7">
        <w:t>.</w:t>
      </w:r>
      <w:r w:rsidR="00036B96">
        <w:t xml:space="preserve"> </w:t>
      </w:r>
      <w:r w:rsidR="008212B7">
        <w:rPr>
          <w:i/>
        </w:rPr>
        <w:t>Cambridge Italian Dictionary</w:t>
      </w:r>
      <w:r w:rsidR="008212B7">
        <w:t xml:space="preserve"> recognizes a specific use of </w:t>
      </w:r>
      <w:r w:rsidR="008212B7">
        <w:rPr>
          <w:i/>
        </w:rPr>
        <w:t>darsi</w:t>
      </w:r>
      <w:r w:rsidR="008212B7">
        <w:t xml:space="preserve"> as reciprocal, as in this case.</w:t>
      </w:r>
      <w:r w:rsidR="00036B96">
        <w:t xml:space="preserve"> </w:t>
      </w:r>
      <w:r w:rsidR="008212B7">
        <w:t>The phrase seems to describe that the two voices alternate in performing diminutions, which is consistent with the recommendation of other authors.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23B1" w14:textId="2DCE32A1" w:rsidR="00D11313" w:rsidRPr="00D11313" w:rsidRDefault="00D11313" w:rsidP="00061EC4">
    <w:pPr>
      <w:pStyle w:val="Header"/>
      <w:jc w:val="center"/>
      <w:rPr>
        <w:i/>
        <w:iCs/>
      </w:rPr>
    </w:pPr>
    <w:r w:rsidRPr="00D11313">
      <w:rPr>
        <w:i/>
        <w:iCs/>
      </w:rPr>
      <w:t>Translations of Giovanni Bassano’s “</w:t>
    </w:r>
    <w:proofErr w:type="spellStart"/>
    <w:r w:rsidRPr="00D11313">
      <w:rPr>
        <w:i/>
        <w:iCs/>
      </w:rPr>
      <w:t>Motetti</w:t>
    </w:r>
    <w:proofErr w:type="spellEnd"/>
    <w:r w:rsidRPr="00D11313">
      <w:rPr>
        <w:i/>
        <w:iCs/>
      </w:rPr>
      <w:t xml:space="preserve">, </w:t>
    </w:r>
    <w:proofErr w:type="spellStart"/>
    <w:r w:rsidRPr="00D11313">
      <w:rPr>
        <w:i/>
        <w:iCs/>
      </w:rPr>
      <w:t>madrigali</w:t>
    </w:r>
    <w:proofErr w:type="spellEnd"/>
    <w:r w:rsidRPr="00D11313">
      <w:rPr>
        <w:i/>
        <w:iCs/>
      </w:rPr>
      <w:t xml:space="preserve"> et canzone </w:t>
    </w:r>
    <w:proofErr w:type="spellStart"/>
    <w:r w:rsidRPr="00D11313">
      <w:rPr>
        <w:i/>
        <w:iCs/>
      </w:rPr>
      <w:t>francese</w:t>
    </w:r>
    <w:proofErr w:type="spellEnd"/>
    <w:r w:rsidRPr="00D11313">
      <w:rPr>
        <w:i/>
        <w:iCs/>
      </w:rPr>
      <w:t>” (1591) and “</w:t>
    </w:r>
    <w:proofErr w:type="spellStart"/>
    <w:r w:rsidRPr="00D11313">
      <w:rPr>
        <w:i/>
        <w:iCs/>
      </w:rPr>
      <w:t>Ricercate</w:t>
    </w:r>
    <w:proofErr w:type="spellEnd"/>
    <w:r w:rsidRPr="00D11313">
      <w:rPr>
        <w:i/>
        <w:iCs/>
      </w:rPr>
      <w:t xml:space="preserve"> </w:t>
    </w:r>
    <w:proofErr w:type="spellStart"/>
    <w:r w:rsidRPr="00D11313">
      <w:rPr>
        <w:i/>
        <w:iCs/>
      </w:rPr>
      <w:t>Passaggi</w:t>
    </w:r>
    <w:proofErr w:type="spellEnd"/>
    <w:r w:rsidRPr="00D11313">
      <w:rPr>
        <w:i/>
        <w:iCs/>
      </w:rPr>
      <w:t xml:space="preserve"> et </w:t>
    </w:r>
    <w:proofErr w:type="spellStart"/>
    <w:r w:rsidRPr="00D11313">
      <w:rPr>
        <w:i/>
        <w:iCs/>
      </w:rPr>
      <w:t>Cadentie</w:t>
    </w:r>
    <w:proofErr w:type="spellEnd"/>
    <w:r w:rsidRPr="00D11313">
      <w:rPr>
        <w:i/>
        <w:iCs/>
      </w:rPr>
      <w:t>” (1585)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385C"/>
    <w:rsid w:val="00004A0E"/>
    <w:rsid w:val="00036B96"/>
    <w:rsid w:val="00061EC4"/>
    <w:rsid w:val="000A592A"/>
    <w:rsid w:val="000D0749"/>
    <w:rsid w:val="001A3FCE"/>
    <w:rsid w:val="00234DDD"/>
    <w:rsid w:val="002959B1"/>
    <w:rsid w:val="002B36CD"/>
    <w:rsid w:val="002E666E"/>
    <w:rsid w:val="003F4A45"/>
    <w:rsid w:val="0043385C"/>
    <w:rsid w:val="00446C6A"/>
    <w:rsid w:val="004A24D1"/>
    <w:rsid w:val="004D771B"/>
    <w:rsid w:val="004F3849"/>
    <w:rsid w:val="00567819"/>
    <w:rsid w:val="005F396D"/>
    <w:rsid w:val="006030DD"/>
    <w:rsid w:val="00667965"/>
    <w:rsid w:val="00674680"/>
    <w:rsid w:val="006A63F0"/>
    <w:rsid w:val="007A6D23"/>
    <w:rsid w:val="007F6F94"/>
    <w:rsid w:val="008212B7"/>
    <w:rsid w:val="009906CC"/>
    <w:rsid w:val="00997F7B"/>
    <w:rsid w:val="00B230F0"/>
    <w:rsid w:val="00B51A4B"/>
    <w:rsid w:val="00B8604C"/>
    <w:rsid w:val="00BB7553"/>
    <w:rsid w:val="00D11313"/>
    <w:rsid w:val="00D65B10"/>
    <w:rsid w:val="00D958F7"/>
    <w:rsid w:val="00DA44A4"/>
    <w:rsid w:val="00E13D00"/>
    <w:rsid w:val="00F65B25"/>
    <w:rsid w:val="00FD2246"/>
    <w:rsid w:val="00FE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DBB0B"/>
  <w15:docId w15:val="{659E8780-6125-49C5-AAFD-CB813E98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7965"/>
    <w:pPr>
      <w:spacing w:after="360" w:line="360" w:lineRule="auto"/>
      <w:jc w:val="center"/>
      <w:outlineLvl w:val="0"/>
    </w:pPr>
    <w:rPr>
      <w:rFonts w:ascii="Aptos ExtraBold" w:hAnsi="Aptos ExtraBold"/>
      <w:bCs/>
      <w:sz w:val="36"/>
      <w:szCs w:val="48"/>
    </w:rPr>
  </w:style>
  <w:style w:type="paragraph" w:styleId="Heading2">
    <w:name w:val="heading 2"/>
    <w:basedOn w:val="Normal"/>
    <w:next w:val="Normal"/>
    <w:link w:val="Heading2Char"/>
    <w:uiPriority w:val="9"/>
    <w:unhideWhenUsed/>
    <w:qFormat/>
    <w:rsid w:val="00997F7B"/>
    <w:pPr>
      <w:keepNext/>
      <w:keepLines/>
      <w:spacing w:before="40" w:after="0" w:line="360" w:lineRule="auto"/>
      <w:outlineLvl w:val="1"/>
    </w:pPr>
    <w:rPr>
      <w:rFonts w:ascii="Aptos ExtraBold" w:eastAsiaTheme="majorEastAsia" w:hAnsi="Aptos ExtraBold" w:cstheme="majorHAnsi"/>
      <w:b/>
      <w:sz w:val="32"/>
      <w:szCs w:val="32"/>
    </w:rPr>
  </w:style>
  <w:style w:type="paragraph" w:styleId="Heading3">
    <w:name w:val="heading 3"/>
    <w:basedOn w:val="Normal"/>
    <w:next w:val="Normal"/>
    <w:link w:val="Heading3Char"/>
    <w:uiPriority w:val="9"/>
    <w:unhideWhenUsed/>
    <w:qFormat/>
    <w:rsid w:val="00036B96"/>
    <w:pPr>
      <w:keepNext/>
      <w:keepLines/>
      <w:spacing w:before="40" w:after="0" w:line="360" w:lineRule="auto"/>
      <w:outlineLvl w:val="2"/>
    </w:pPr>
    <w:rPr>
      <w:rFonts w:ascii="Aptos" w:eastAsiaTheme="majorEastAsia" w:hAnsi="Aptos" w:cstheme="majorBid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3F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3FCE"/>
    <w:rPr>
      <w:sz w:val="20"/>
      <w:szCs w:val="20"/>
    </w:rPr>
  </w:style>
  <w:style w:type="character" w:styleId="FootnoteReference">
    <w:name w:val="footnote reference"/>
    <w:basedOn w:val="DefaultParagraphFont"/>
    <w:uiPriority w:val="99"/>
    <w:semiHidden/>
    <w:unhideWhenUsed/>
    <w:rsid w:val="001A3FCE"/>
    <w:rPr>
      <w:vertAlign w:val="superscript"/>
    </w:rPr>
  </w:style>
  <w:style w:type="paragraph" w:styleId="Header">
    <w:name w:val="header"/>
    <w:basedOn w:val="Normal"/>
    <w:link w:val="HeaderChar"/>
    <w:uiPriority w:val="99"/>
    <w:unhideWhenUsed/>
    <w:rsid w:val="00295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9B1"/>
  </w:style>
  <w:style w:type="paragraph" w:styleId="Footer">
    <w:name w:val="footer"/>
    <w:basedOn w:val="Normal"/>
    <w:link w:val="FooterChar"/>
    <w:uiPriority w:val="99"/>
    <w:unhideWhenUsed/>
    <w:rsid w:val="00295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9B1"/>
  </w:style>
  <w:style w:type="character" w:customStyle="1" w:styleId="Heading1Char">
    <w:name w:val="Heading 1 Char"/>
    <w:basedOn w:val="DefaultParagraphFont"/>
    <w:link w:val="Heading1"/>
    <w:uiPriority w:val="9"/>
    <w:rsid w:val="00667965"/>
    <w:rPr>
      <w:rFonts w:ascii="Aptos ExtraBold" w:hAnsi="Aptos ExtraBold"/>
      <w:bCs/>
      <w:sz w:val="36"/>
      <w:szCs w:val="48"/>
    </w:rPr>
  </w:style>
  <w:style w:type="character" w:customStyle="1" w:styleId="Heading2Char">
    <w:name w:val="Heading 2 Char"/>
    <w:basedOn w:val="DefaultParagraphFont"/>
    <w:link w:val="Heading2"/>
    <w:uiPriority w:val="9"/>
    <w:rsid w:val="00997F7B"/>
    <w:rPr>
      <w:rFonts w:ascii="Aptos ExtraBold" w:eastAsiaTheme="majorEastAsia" w:hAnsi="Aptos ExtraBold" w:cstheme="majorHAnsi"/>
      <w:b/>
      <w:sz w:val="32"/>
      <w:szCs w:val="32"/>
    </w:rPr>
  </w:style>
  <w:style w:type="character" w:customStyle="1" w:styleId="Heading3Char">
    <w:name w:val="Heading 3 Char"/>
    <w:basedOn w:val="DefaultParagraphFont"/>
    <w:link w:val="Heading3"/>
    <w:uiPriority w:val="9"/>
    <w:rsid w:val="00036B96"/>
    <w:rPr>
      <w:rFonts w:ascii="Aptos" w:eastAsiaTheme="majorEastAsia" w:hAnsi="Aptos" w:cstheme="majorBidi"/>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5B9B6-A10E-4353-BDAF-24494F2AE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5</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 Honea</dc:creator>
  <cp:lastModifiedBy>Anona Earls</cp:lastModifiedBy>
  <cp:revision>14</cp:revision>
  <dcterms:created xsi:type="dcterms:W3CDTF">2015-07-27T15:34:00Z</dcterms:created>
  <dcterms:modified xsi:type="dcterms:W3CDTF">2026-08-12T18:55:00Z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b55ed7-9ba9-43e7-adc9-7a4ed6fd9b0e_Enabled">
    <vt:lpwstr>true</vt:lpwstr>
  </property>
  <property fmtid="{D5CDD505-2E9C-101B-9397-08002B2CF9AE}" pid="3" name="MSIP_Label_14b55ed7-9ba9-43e7-adc9-7a4ed6fd9b0e_SetDate">
    <vt:lpwstr>2026-07-21T20:05:06Z</vt:lpwstr>
  </property>
  <property fmtid="{D5CDD505-2E9C-101B-9397-08002B2CF9AE}" pid="4" name="MSIP_Label_14b55ed7-9ba9-43e7-adc9-7a4ed6fd9b0e_Method">
    <vt:lpwstr>Standard</vt:lpwstr>
  </property>
  <property fmtid="{D5CDD505-2E9C-101B-9397-08002B2CF9AE}" pid="5" name="MSIP_Label_14b55ed7-9ba9-43e7-adc9-7a4ed6fd9b0e_Name">
    <vt:lpwstr>UCO - Internal</vt:lpwstr>
  </property>
  <property fmtid="{D5CDD505-2E9C-101B-9397-08002B2CF9AE}" pid="6" name="MSIP_Label_14b55ed7-9ba9-43e7-adc9-7a4ed6fd9b0e_SiteId">
    <vt:lpwstr>51aa8f26-2e23-4b8c-bca8-7cc441adc4df</vt:lpwstr>
  </property>
  <property fmtid="{D5CDD505-2E9C-101B-9397-08002B2CF9AE}" pid="7" name="MSIP_Label_14b55ed7-9ba9-43e7-adc9-7a4ed6fd9b0e_ActionId">
    <vt:lpwstr>158c9a1d-55b5-486b-814b-292691d46dce</vt:lpwstr>
  </property>
  <property fmtid="{D5CDD505-2E9C-101B-9397-08002B2CF9AE}" pid="8" name="MSIP_Label_14b55ed7-9ba9-43e7-adc9-7a4ed6fd9b0e_ContentBits">
    <vt:lpwstr>0</vt:lpwstr>
  </property>
  <property fmtid="{D5CDD505-2E9C-101B-9397-08002B2CF9AE}" pid="9" name="MSIP_Label_14b55ed7-9ba9-43e7-adc9-7a4ed6fd9b0e_Tag">
    <vt:lpwstr>10, 3, 0, 1</vt:lpwstr>
  </property>
</Properties>
</file>