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28B35E" w14:textId="2416D82A" w:rsidR="0003572A" w:rsidRDefault="00272A78" w:rsidP="00272A78">
      <w:pPr>
        <w:jc w:val="center"/>
        <w:rPr>
          <w:rFonts w:ascii="Times New Roman" w:hAnsi="Times New Roman" w:cs="Times New Roman"/>
        </w:rPr>
      </w:pPr>
      <w:r>
        <w:rPr>
          <w:rFonts w:ascii="Times New Roman" w:hAnsi="Times New Roman" w:cs="Times New Roman"/>
        </w:rPr>
        <w:t>UNIVERSITY OF OKLAOMA</w:t>
      </w:r>
    </w:p>
    <w:p w14:paraId="2097C009" w14:textId="4AFDB1FC" w:rsidR="00272A78" w:rsidRPr="006038F2" w:rsidRDefault="00272A78" w:rsidP="0003572A">
      <w:pPr>
        <w:jc w:val="center"/>
        <w:rPr>
          <w:rFonts w:ascii="Times New Roman" w:hAnsi="Times New Roman" w:cs="Times New Roman"/>
        </w:rPr>
      </w:pPr>
      <w:r>
        <w:rPr>
          <w:rFonts w:ascii="Times New Roman" w:hAnsi="Times New Roman" w:cs="Times New Roman"/>
        </w:rPr>
        <w:t>GRADUATE COLLEGE</w:t>
      </w:r>
    </w:p>
    <w:p w14:paraId="4F75FA49" w14:textId="77777777" w:rsidR="0003572A" w:rsidRPr="006038F2" w:rsidRDefault="0003572A" w:rsidP="0003572A">
      <w:pPr>
        <w:jc w:val="center"/>
        <w:rPr>
          <w:rFonts w:ascii="Times New Roman" w:hAnsi="Times New Roman" w:cs="Times New Roman"/>
        </w:rPr>
      </w:pPr>
    </w:p>
    <w:p w14:paraId="7C0F93E3" w14:textId="77777777" w:rsidR="0003572A" w:rsidRPr="006038F2" w:rsidRDefault="0003572A" w:rsidP="0003572A">
      <w:pPr>
        <w:jc w:val="center"/>
        <w:rPr>
          <w:rFonts w:ascii="Times New Roman" w:hAnsi="Times New Roman" w:cs="Times New Roman"/>
        </w:rPr>
      </w:pPr>
    </w:p>
    <w:p w14:paraId="7CA975B4" w14:textId="77777777" w:rsidR="0003572A" w:rsidRPr="006038F2" w:rsidRDefault="0003572A" w:rsidP="0003572A">
      <w:pPr>
        <w:jc w:val="center"/>
        <w:rPr>
          <w:rFonts w:ascii="Times New Roman" w:hAnsi="Times New Roman" w:cs="Times New Roman"/>
        </w:rPr>
      </w:pPr>
    </w:p>
    <w:p w14:paraId="0C157F8B" w14:textId="77777777" w:rsidR="0003572A" w:rsidRPr="006038F2" w:rsidRDefault="0003572A" w:rsidP="0003572A">
      <w:pPr>
        <w:jc w:val="center"/>
        <w:rPr>
          <w:rFonts w:ascii="Times New Roman" w:hAnsi="Times New Roman" w:cs="Times New Roman"/>
        </w:rPr>
      </w:pPr>
    </w:p>
    <w:p w14:paraId="2FCAA26E" w14:textId="77777777" w:rsidR="0003572A" w:rsidRPr="006038F2" w:rsidRDefault="0003572A" w:rsidP="0003572A">
      <w:pPr>
        <w:jc w:val="center"/>
        <w:rPr>
          <w:rFonts w:ascii="Times New Roman" w:hAnsi="Times New Roman" w:cs="Times New Roman"/>
        </w:rPr>
      </w:pPr>
    </w:p>
    <w:p w14:paraId="0BC632E0" w14:textId="77777777" w:rsidR="0003572A" w:rsidRPr="006038F2" w:rsidRDefault="0003572A" w:rsidP="0003572A">
      <w:pPr>
        <w:jc w:val="center"/>
        <w:rPr>
          <w:rFonts w:ascii="Times New Roman" w:hAnsi="Times New Roman" w:cs="Times New Roman"/>
        </w:rPr>
      </w:pPr>
      <w:r w:rsidRPr="006038F2">
        <w:rPr>
          <w:rFonts w:ascii="Times New Roman" w:hAnsi="Times New Roman" w:cs="Times New Roman"/>
        </w:rPr>
        <w:t>ACTIVATION OF INTERFERON THROUGH GLYCATED CHITOSAN ADMINISTRATION</w:t>
      </w:r>
    </w:p>
    <w:p w14:paraId="4D9A77D7" w14:textId="77777777" w:rsidR="0003572A" w:rsidRPr="006038F2" w:rsidRDefault="0003572A" w:rsidP="0003572A">
      <w:pPr>
        <w:jc w:val="center"/>
        <w:rPr>
          <w:rFonts w:ascii="Times New Roman" w:hAnsi="Times New Roman" w:cs="Times New Roman"/>
        </w:rPr>
      </w:pPr>
    </w:p>
    <w:p w14:paraId="39F46359" w14:textId="77777777" w:rsidR="0003572A" w:rsidRPr="006038F2" w:rsidRDefault="0003572A" w:rsidP="0003572A">
      <w:pPr>
        <w:jc w:val="center"/>
        <w:rPr>
          <w:rFonts w:ascii="Times New Roman" w:hAnsi="Times New Roman" w:cs="Times New Roman"/>
        </w:rPr>
      </w:pPr>
    </w:p>
    <w:p w14:paraId="6F942AEA" w14:textId="77777777" w:rsidR="0003572A" w:rsidRPr="006038F2" w:rsidRDefault="0003572A" w:rsidP="0003572A">
      <w:pPr>
        <w:jc w:val="center"/>
        <w:rPr>
          <w:rFonts w:ascii="Times New Roman" w:hAnsi="Times New Roman" w:cs="Times New Roman"/>
        </w:rPr>
      </w:pPr>
    </w:p>
    <w:p w14:paraId="223F4E31" w14:textId="77777777" w:rsidR="0003572A" w:rsidRPr="006038F2" w:rsidRDefault="0003572A" w:rsidP="0003572A">
      <w:pPr>
        <w:jc w:val="center"/>
        <w:rPr>
          <w:rFonts w:ascii="Times New Roman" w:hAnsi="Times New Roman" w:cs="Times New Roman"/>
        </w:rPr>
      </w:pPr>
    </w:p>
    <w:p w14:paraId="71A778F3" w14:textId="77777777" w:rsidR="0003572A" w:rsidRPr="006038F2" w:rsidRDefault="0003572A" w:rsidP="0003572A">
      <w:pPr>
        <w:jc w:val="center"/>
        <w:rPr>
          <w:rFonts w:ascii="Times New Roman" w:hAnsi="Times New Roman" w:cs="Times New Roman"/>
        </w:rPr>
      </w:pPr>
    </w:p>
    <w:p w14:paraId="40D80999" w14:textId="77777777" w:rsidR="0003572A" w:rsidRPr="006038F2" w:rsidRDefault="0003572A" w:rsidP="0003572A">
      <w:pPr>
        <w:jc w:val="center"/>
        <w:rPr>
          <w:rFonts w:ascii="Times New Roman" w:hAnsi="Times New Roman" w:cs="Times New Roman"/>
        </w:rPr>
      </w:pPr>
    </w:p>
    <w:p w14:paraId="3AF50E12" w14:textId="77777777" w:rsidR="0003572A" w:rsidRPr="006038F2" w:rsidRDefault="0003572A" w:rsidP="0003572A">
      <w:pPr>
        <w:jc w:val="center"/>
        <w:rPr>
          <w:rFonts w:ascii="Times New Roman" w:hAnsi="Times New Roman" w:cs="Times New Roman"/>
        </w:rPr>
      </w:pPr>
    </w:p>
    <w:p w14:paraId="66299A0F" w14:textId="77777777" w:rsidR="0003572A" w:rsidRPr="006038F2" w:rsidRDefault="0003572A" w:rsidP="0003572A">
      <w:pPr>
        <w:jc w:val="center"/>
        <w:rPr>
          <w:rFonts w:ascii="Times New Roman" w:hAnsi="Times New Roman" w:cs="Times New Roman"/>
        </w:rPr>
      </w:pPr>
    </w:p>
    <w:p w14:paraId="65082343" w14:textId="77777777" w:rsidR="0003572A" w:rsidRPr="006038F2" w:rsidRDefault="0003572A" w:rsidP="0003572A">
      <w:pPr>
        <w:jc w:val="center"/>
        <w:rPr>
          <w:rFonts w:ascii="Times New Roman" w:hAnsi="Times New Roman" w:cs="Times New Roman"/>
        </w:rPr>
      </w:pPr>
    </w:p>
    <w:p w14:paraId="043DBE2D" w14:textId="77777777" w:rsidR="0003572A" w:rsidRPr="006038F2" w:rsidRDefault="0003572A" w:rsidP="0003572A">
      <w:pPr>
        <w:jc w:val="center"/>
        <w:rPr>
          <w:rFonts w:ascii="Times New Roman" w:hAnsi="Times New Roman" w:cs="Times New Roman"/>
        </w:rPr>
      </w:pPr>
    </w:p>
    <w:p w14:paraId="4FB568FD" w14:textId="77777777" w:rsidR="0003572A" w:rsidRPr="006038F2" w:rsidRDefault="0003572A" w:rsidP="0003572A">
      <w:pPr>
        <w:jc w:val="center"/>
        <w:rPr>
          <w:rFonts w:ascii="Times New Roman" w:hAnsi="Times New Roman" w:cs="Times New Roman"/>
        </w:rPr>
      </w:pPr>
    </w:p>
    <w:p w14:paraId="7D8984ED" w14:textId="77777777" w:rsidR="0003572A" w:rsidRPr="006038F2" w:rsidRDefault="0003572A" w:rsidP="0003572A">
      <w:pPr>
        <w:jc w:val="center"/>
        <w:rPr>
          <w:rFonts w:ascii="Times New Roman" w:hAnsi="Times New Roman" w:cs="Times New Roman"/>
        </w:rPr>
      </w:pPr>
    </w:p>
    <w:p w14:paraId="1FBD8231" w14:textId="77777777" w:rsidR="0003572A" w:rsidRPr="006038F2" w:rsidRDefault="0003572A" w:rsidP="0003572A">
      <w:pPr>
        <w:jc w:val="center"/>
        <w:rPr>
          <w:rFonts w:ascii="Times New Roman" w:hAnsi="Times New Roman" w:cs="Times New Roman"/>
        </w:rPr>
      </w:pPr>
      <w:r w:rsidRPr="006038F2">
        <w:rPr>
          <w:rFonts w:ascii="Times New Roman" w:hAnsi="Times New Roman" w:cs="Times New Roman"/>
        </w:rPr>
        <w:t xml:space="preserve">A THESIS </w:t>
      </w:r>
    </w:p>
    <w:p w14:paraId="443862A6" w14:textId="77777777" w:rsidR="0003572A" w:rsidRPr="006038F2" w:rsidRDefault="0003572A" w:rsidP="0003572A">
      <w:pPr>
        <w:jc w:val="center"/>
        <w:rPr>
          <w:rFonts w:ascii="Times New Roman" w:hAnsi="Times New Roman" w:cs="Times New Roman"/>
        </w:rPr>
      </w:pPr>
    </w:p>
    <w:p w14:paraId="422D53C5" w14:textId="14A9688E" w:rsidR="0003572A" w:rsidRPr="006038F2" w:rsidRDefault="0003572A" w:rsidP="0003572A">
      <w:pPr>
        <w:jc w:val="center"/>
        <w:rPr>
          <w:rFonts w:ascii="Times New Roman" w:hAnsi="Times New Roman" w:cs="Times New Roman"/>
        </w:rPr>
      </w:pPr>
      <w:r w:rsidRPr="006038F2">
        <w:rPr>
          <w:rFonts w:ascii="Times New Roman" w:hAnsi="Times New Roman" w:cs="Times New Roman"/>
        </w:rPr>
        <w:t>SUBMITTED TO THE GRADUATE FAC</w:t>
      </w:r>
      <w:r w:rsidR="00357F3C" w:rsidRPr="006038F2">
        <w:rPr>
          <w:rFonts w:ascii="Times New Roman" w:hAnsi="Times New Roman" w:cs="Times New Roman"/>
        </w:rPr>
        <w:t>ULTY</w:t>
      </w:r>
      <w:r w:rsidRPr="006038F2">
        <w:rPr>
          <w:rFonts w:ascii="Times New Roman" w:hAnsi="Times New Roman" w:cs="Times New Roman"/>
        </w:rPr>
        <w:t xml:space="preserve"> </w:t>
      </w:r>
    </w:p>
    <w:p w14:paraId="5FF381C2" w14:textId="77777777" w:rsidR="0003572A" w:rsidRPr="006038F2" w:rsidRDefault="0003572A" w:rsidP="0003572A">
      <w:pPr>
        <w:jc w:val="center"/>
        <w:rPr>
          <w:rFonts w:ascii="Times New Roman" w:hAnsi="Times New Roman" w:cs="Times New Roman"/>
        </w:rPr>
      </w:pPr>
    </w:p>
    <w:p w14:paraId="1BC5DD79" w14:textId="1F4F23B6" w:rsidR="0003572A" w:rsidRPr="006038F2" w:rsidRDefault="00776EE9" w:rsidP="0003572A">
      <w:pPr>
        <w:jc w:val="center"/>
        <w:rPr>
          <w:rFonts w:ascii="Times New Roman" w:hAnsi="Times New Roman" w:cs="Times New Roman"/>
        </w:rPr>
      </w:pPr>
      <w:r w:rsidRPr="006038F2">
        <w:rPr>
          <w:rFonts w:ascii="Times New Roman" w:hAnsi="Times New Roman" w:cs="Times New Roman"/>
        </w:rPr>
        <w:t>i</w:t>
      </w:r>
      <w:r w:rsidR="0003572A" w:rsidRPr="006038F2">
        <w:rPr>
          <w:rFonts w:ascii="Times New Roman" w:hAnsi="Times New Roman" w:cs="Times New Roman"/>
        </w:rPr>
        <w:t>n partial fulfillment of the requirements for the</w:t>
      </w:r>
    </w:p>
    <w:p w14:paraId="10CE3750" w14:textId="77777777" w:rsidR="0003572A" w:rsidRPr="006038F2" w:rsidRDefault="0003572A" w:rsidP="0003572A">
      <w:pPr>
        <w:jc w:val="center"/>
        <w:rPr>
          <w:rFonts w:ascii="Times New Roman" w:hAnsi="Times New Roman" w:cs="Times New Roman"/>
        </w:rPr>
      </w:pPr>
      <w:r w:rsidRPr="006038F2">
        <w:rPr>
          <w:rFonts w:ascii="Times New Roman" w:hAnsi="Times New Roman" w:cs="Times New Roman"/>
        </w:rPr>
        <w:t xml:space="preserve"> </w:t>
      </w:r>
    </w:p>
    <w:p w14:paraId="522CAF0F" w14:textId="77777777" w:rsidR="0003572A" w:rsidRPr="006038F2" w:rsidRDefault="0003572A" w:rsidP="0003572A">
      <w:pPr>
        <w:jc w:val="center"/>
        <w:rPr>
          <w:rFonts w:ascii="Times New Roman" w:hAnsi="Times New Roman" w:cs="Times New Roman"/>
        </w:rPr>
      </w:pPr>
      <w:r w:rsidRPr="006038F2">
        <w:rPr>
          <w:rFonts w:ascii="Times New Roman" w:hAnsi="Times New Roman" w:cs="Times New Roman"/>
        </w:rPr>
        <w:t xml:space="preserve">Degree of </w:t>
      </w:r>
    </w:p>
    <w:p w14:paraId="1744B8BB" w14:textId="77777777" w:rsidR="0003572A" w:rsidRPr="006038F2" w:rsidRDefault="0003572A" w:rsidP="0003572A">
      <w:pPr>
        <w:jc w:val="center"/>
        <w:rPr>
          <w:rFonts w:ascii="Times New Roman" w:hAnsi="Times New Roman" w:cs="Times New Roman"/>
        </w:rPr>
      </w:pPr>
    </w:p>
    <w:p w14:paraId="426F8F16" w14:textId="5CE837FE" w:rsidR="0003572A" w:rsidRPr="006038F2" w:rsidRDefault="0003572A" w:rsidP="0003572A">
      <w:pPr>
        <w:jc w:val="center"/>
        <w:rPr>
          <w:rFonts w:ascii="Times New Roman" w:hAnsi="Times New Roman" w:cs="Times New Roman"/>
        </w:rPr>
      </w:pPr>
      <w:r w:rsidRPr="006038F2">
        <w:rPr>
          <w:rFonts w:ascii="Times New Roman" w:hAnsi="Times New Roman" w:cs="Times New Roman"/>
        </w:rPr>
        <w:t xml:space="preserve">MASTER OF SCIENCE </w:t>
      </w:r>
    </w:p>
    <w:p w14:paraId="4CD11ED3" w14:textId="77777777" w:rsidR="0003572A" w:rsidRPr="006038F2" w:rsidRDefault="0003572A" w:rsidP="0003572A">
      <w:pPr>
        <w:jc w:val="center"/>
        <w:rPr>
          <w:rFonts w:ascii="Times New Roman" w:hAnsi="Times New Roman" w:cs="Times New Roman"/>
        </w:rPr>
      </w:pPr>
    </w:p>
    <w:p w14:paraId="0D986AB5" w14:textId="77777777" w:rsidR="0003572A" w:rsidRPr="006038F2" w:rsidRDefault="0003572A" w:rsidP="0003572A">
      <w:pPr>
        <w:jc w:val="center"/>
        <w:rPr>
          <w:rFonts w:ascii="Times New Roman" w:hAnsi="Times New Roman" w:cs="Times New Roman"/>
        </w:rPr>
      </w:pPr>
    </w:p>
    <w:p w14:paraId="2B42645E" w14:textId="77777777" w:rsidR="0003572A" w:rsidRPr="006038F2" w:rsidRDefault="0003572A" w:rsidP="0003572A">
      <w:pPr>
        <w:jc w:val="center"/>
        <w:rPr>
          <w:rFonts w:ascii="Times New Roman" w:hAnsi="Times New Roman" w:cs="Times New Roman"/>
        </w:rPr>
      </w:pPr>
    </w:p>
    <w:p w14:paraId="2D112FFC" w14:textId="77777777" w:rsidR="0003572A" w:rsidRPr="006038F2" w:rsidRDefault="0003572A" w:rsidP="0003572A">
      <w:pPr>
        <w:jc w:val="center"/>
        <w:rPr>
          <w:rFonts w:ascii="Times New Roman" w:hAnsi="Times New Roman" w:cs="Times New Roman"/>
        </w:rPr>
      </w:pPr>
    </w:p>
    <w:p w14:paraId="076A951E" w14:textId="77777777" w:rsidR="0003572A" w:rsidRPr="006038F2" w:rsidRDefault="0003572A" w:rsidP="0003572A">
      <w:pPr>
        <w:jc w:val="center"/>
        <w:rPr>
          <w:rFonts w:ascii="Times New Roman" w:hAnsi="Times New Roman" w:cs="Times New Roman"/>
        </w:rPr>
      </w:pPr>
    </w:p>
    <w:p w14:paraId="1EE746B7" w14:textId="77777777" w:rsidR="0003572A" w:rsidRPr="006038F2" w:rsidRDefault="0003572A" w:rsidP="0003572A">
      <w:pPr>
        <w:jc w:val="center"/>
        <w:rPr>
          <w:rFonts w:ascii="Times New Roman" w:hAnsi="Times New Roman" w:cs="Times New Roman"/>
        </w:rPr>
      </w:pPr>
    </w:p>
    <w:p w14:paraId="29909168" w14:textId="77777777" w:rsidR="0003572A" w:rsidRPr="006038F2" w:rsidRDefault="0003572A" w:rsidP="00811D76">
      <w:pPr>
        <w:jc w:val="center"/>
        <w:rPr>
          <w:rFonts w:ascii="Times New Roman" w:hAnsi="Times New Roman" w:cs="Times New Roman"/>
        </w:rPr>
      </w:pPr>
      <w:r w:rsidRPr="006038F2">
        <w:rPr>
          <w:rFonts w:ascii="Times New Roman" w:hAnsi="Times New Roman" w:cs="Times New Roman"/>
        </w:rPr>
        <w:t>By</w:t>
      </w:r>
    </w:p>
    <w:p w14:paraId="2A26FBBA" w14:textId="77777777" w:rsidR="0003572A" w:rsidRPr="006038F2" w:rsidRDefault="0003572A" w:rsidP="00811D76">
      <w:pPr>
        <w:jc w:val="center"/>
        <w:rPr>
          <w:rFonts w:ascii="Times New Roman" w:hAnsi="Times New Roman" w:cs="Times New Roman"/>
        </w:rPr>
      </w:pPr>
    </w:p>
    <w:p w14:paraId="298CD2B7" w14:textId="54860554" w:rsidR="0003572A" w:rsidRPr="006038F2" w:rsidRDefault="0003572A" w:rsidP="00811D76">
      <w:pPr>
        <w:jc w:val="center"/>
        <w:rPr>
          <w:rFonts w:ascii="Times New Roman" w:hAnsi="Times New Roman" w:cs="Times New Roman"/>
        </w:rPr>
      </w:pPr>
      <w:r w:rsidRPr="006038F2">
        <w:rPr>
          <w:rFonts w:ascii="Times New Roman" w:hAnsi="Times New Roman" w:cs="Times New Roman"/>
        </w:rPr>
        <w:t>MALAYNA UNKEL</w:t>
      </w:r>
    </w:p>
    <w:p w14:paraId="34555285" w14:textId="34874BFF" w:rsidR="0003572A" w:rsidRPr="006038F2" w:rsidRDefault="0003572A" w:rsidP="00811D76">
      <w:pPr>
        <w:jc w:val="center"/>
        <w:rPr>
          <w:rFonts w:ascii="Times New Roman" w:hAnsi="Times New Roman" w:cs="Times New Roman"/>
        </w:rPr>
      </w:pPr>
      <w:r w:rsidRPr="006038F2">
        <w:rPr>
          <w:rFonts w:ascii="Times New Roman" w:hAnsi="Times New Roman" w:cs="Times New Roman"/>
        </w:rPr>
        <w:t>Norman, Oklahoma</w:t>
      </w:r>
    </w:p>
    <w:p w14:paraId="6F990E34" w14:textId="6E1DE390" w:rsidR="0003572A" w:rsidRPr="006038F2" w:rsidRDefault="0003572A" w:rsidP="00811D76">
      <w:pPr>
        <w:jc w:val="center"/>
        <w:rPr>
          <w:rFonts w:ascii="Times New Roman" w:hAnsi="Times New Roman" w:cs="Times New Roman"/>
        </w:rPr>
      </w:pPr>
      <w:r w:rsidRPr="006038F2">
        <w:rPr>
          <w:rFonts w:ascii="Times New Roman" w:hAnsi="Times New Roman" w:cs="Times New Roman"/>
        </w:rPr>
        <w:t>2024</w:t>
      </w:r>
    </w:p>
    <w:p w14:paraId="5DC2DB2C" w14:textId="77777777" w:rsidR="0003572A" w:rsidRPr="006038F2" w:rsidRDefault="0003572A" w:rsidP="0003572A">
      <w:pPr>
        <w:jc w:val="center"/>
        <w:rPr>
          <w:rFonts w:ascii="Times New Roman" w:hAnsi="Times New Roman" w:cs="Times New Roman"/>
        </w:rPr>
      </w:pPr>
    </w:p>
    <w:p w14:paraId="175F119C" w14:textId="77777777" w:rsidR="0003572A" w:rsidRPr="006038F2" w:rsidRDefault="0003572A" w:rsidP="0003572A">
      <w:pPr>
        <w:jc w:val="center"/>
        <w:rPr>
          <w:rFonts w:ascii="Times New Roman" w:hAnsi="Times New Roman" w:cs="Times New Roman"/>
        </w:rPr>
      </w:pPr>
    </w:p>
    <w:p w14:paraId="3533535B" w14:textId="77777777" w:rsidR="0003572A" w:rsidRPr="006038F2" w:rsidRDefault="0003572A" w:rsidP="0003572A">
      <w:pPr>
        <w:jc w:val="center"/>
        <w:rPr>
          <w:rFonts w:ascii="Times New Roman" w:hAnsi="Times New Roman" w:cs="Times New Roman"/>
        </w:rPr>
      </w:pPr>
    </w:p>
    <w:p w14:paraId="0D11A10E" w14:textId="77777777" w:rsidR="0003572A" w:rsidRPr="006038F2" w:rsidRDefault="0003572A" w:rsidP="0003572A">
      <w:pPr>
        <w:jc w:val="center"/>
        <w:rPr>
          <w:rFonts w:ascii="Times New Roman" w:hAnsi="Times New Roman" w:cs="Times New Roman"/>
        </w:rPr>
      </w:pPr>
    </w:p>
    <w:p w14:paraId="785C4523" w14:textId="77777777" w:rsidR="0003572A" w:rsidRPr="006038F2" w:rsidRDefault="0003572A" w:rsidP="0003572A">
      <w:pPr>
        <w:jc w:val="center"/>
        <w:rPr>
          <w:rFonts w:ascii="Times New Roman" w:hAnsi="Times New Roman" w:cs="Times New Roman"/>
        </w:rPr>
      </w:pPr>
    </w:p>
    <w:p w14:paraId="06D5529E" w14:textId="77777777" w:rsidR="0003572A" w:rsidRPr="006038F2" w:rsidRDefault="0003572A" w:rsidP="0003572A">
      <w:pPr>
        <w:jc w:val="center"/>
        <w:rPr>
          <w:rFonts w:ascii="Times New Roman" w:hAnsi="Times New Roman" w:cs="Times New Roman"/>
        </w:rPr>
      </w:pPr>
    </w:p>
    <w:p w14:paraId="40CF3776" w14:textId="77777777" w:rsidR="0003572A" w:rsidRPr="006038F2" w:rsidRDefault="0003572A" w:rsidP="0003572A">
      <w:pPr>
        <w:jc w:val="center"/>
        <w:rPr>
          <w:rFonts w:ascii="Times New Roman" w:hAnsi="Times New Roman" w:cs="Times New Roman"/>
        </w:rPr>
      </w:pPr>
      <w:r w:rsidRPr="006038F2">
        <w:rPr>
          <w:rFonts w:ascii="Times New Roman" w:hAnsi="Times New Roman" w:cs="Times New Roman"/>
        </w:rPr>
        <w:t>ACTIVATION OF INTERFERON THROUGH GLYCATED CHITOSAN ADMINISTRATION</w:t>
      </w:r>
    </w:p>
    <w:p w14:paraId="688F8F51" w14:textId="77777777" w:rsidR="0003572A" w:rsidRPr="006038F2" w:rsidRDefault="0003572A" w:rsidP="0003572A">
      <w:pPr>
        <w:jc w:val="center"/>
        <w:rPr>
          <w:rFonts w:ascii="Times New Roman" w:hAnsi="Times New Roman" w:cs="Times New Roman"/>
        </w:rPr>
      </w:pPr>
    </w:p>
    <w:p w14:paraId="667A1461" w14:textId="77777777" w:rsidR="0003572A" w:rsidRPr="006038F2" w:rsidRDefault="0003572A" w:rsidP="0003572A">
      <w:pPr>
        <w:jc w:val="center"/>
        <w:rPr>
          <w:rFonts w:ascii="Times New Roman" w:hAnsi="Times New Roman" w:cs="Times New Roman"/>
        </w:rPr>
      </w:pPr>
    </w:p>
    <w:p w14:paraId="746CB409" w14:textId="77777777" w:rsidR="0003572A" w:rsidRPr="006038F2" w:rsidRDefault="0003572A" w:rsidP="0003572A">
      <w:pPr>
        <w:rPr>
          <w:rFonts w:ascii="Times New Roman" w:hAnsi="Times New Roman" w:cs="Times New Roman"/>
        </w:rPr>
      </w:pPr>
    </w:p>
    <w:p w14:paraId="0943C591" w14:textId="77777777" w:rsidR="0003572A" w:rsidRPr="006038F2" w:rsidRDefault="0003572A" w:rsidP="0003572A">
      <w:pPr>
        <w:jc w:val="center"/>
        <w:rPr>
          <w:rFonts w:ascii="Times New Roman" w:hAnsi="Times New Roman" w:cs="Times New Roman"/>
        </w:rPr>
      </w:pPr>
    </w:p>
    <w:p w14:paraId="07FF0EBE" w14:textId="77777777" w:rsidR="0003572A" w:rsidRPr="006038F2" w:rsidRDefault="0003572A" w:rsidP="0003572A">
      <w:pPr>
        <w:jc w:val="center"/>
        <w:rPr>
          <w:rFonts w:ascii="Times New Roman" w:hAnsi="Times New Roman" w:cs="Times New Roman"/>
        </w:rPr>
      </w:pPr>
    </w:p>
    <w:p w14:paraId="5EE531F0" w14:textId="77777777" w:rsidR="0003572A" w:rsidRPr="006038F2" w:rsidRDefault="0003572A" w:rsidP="0003572A">
      <w:pPr>
        <w:jc w:val="center"/>
        <w:rPr>
          <w:rFonts w:ascii="Times New Roman" w:hAnsi="Times New Roman" w:cs="Times New Roman"/>
        </w:rPr>
      </w:pPr>
    </w:p>
    <w:p w14:paraId="19B9B6C1" w14:textId="77777777" w:rsidR="0003572A" w:rsidRPr="006038F2" w:rsidRDefault="0003572A" w:rsidP="0003572A">
      <w:pPr>
        <w:jc w:val="center"/>
        <w:rPr>
          <w:rFonts w:ascii="Times New Roman" w:eastAsia="Times New Roman" w:hAnsi="Times New Roman" w:cs="Times New Roman"/>
        </w:rPr>
      </w:pPr>
      <w:r w:rsidRPr="006038F2">
        <w:rPr>
          <w:rFonts w:ascii="Times New Roman" w:eastAsia="Times New Roman" w:hAnsi="Times New Roman" w:cs="Times New Roman"/>
        </w:rPr>
        <w:t xml:space="preserve">A THESIS APPROVED FOR THE </w:t>
      </w:r>
    </w:p>
    <w:p w14:paraId="04A4D98B" w14:textId="77777777" w:rsidR="0003572A" w:rsidRPr="006038F2" w:rsidRDefault="0003572A" w:rsidP="0003572A">
      <w:pPr>
        <w:jc w:val="center"/>
        <w:rPr>
          <w:rFonts w:ascii="Times New Roman" w:eastAsia="Times New Roman" w:hAnsi="Times New Roman" w:cs="Times New Roman"/>
        </w:rPr>
      </w:pPr>
      <w:r w:rsidRPr="006038F2">
        <w:rPr>
          <w:rFonts w:ascii="Times New Roman" w:eastAsia="Times New Roman" w:hAnsi="Times New Roman" w:cs="Times New Roman"/>
        </w:rPr>
        <w:t>STEPHENSON SCHOOL OF BIOMEDICAL ENGINEERING</w:t>
      </w:r>
    </w:p>
    <w:p w14:paraId="433A4B4A" w14:textId="77777777" w:rsidR="0003572A" w:rsidRPr="006038F2" w:rsidRDefault="0003572A" w:rsidP="0003572A">
      <w:pPr>
        <w:jc w:val="center"/>
        <w:rPr>
          <w:rFonts w:ascii="Times New Roman" w:hAnsi="Times New Roman" w:cs="Times New Roman"/>
        </w:rPr>
      </w:pPr>
    </w:p>
    <w:p w14:paraId="2E672CA7" w14:textId="77777777" w:rsidR="0003572A" w:rsidRPr="006038F2" w:rsidRDefault="0003572A" w:rsidP="0003572A">
      <w:pPr>
        <w:jc w:val="center"/>
        <w:rPr>
          <w:rFonts w:ascii="Times New Roman" w:hAnsi="Times New Roman" w:cs="Times New Roman"/>
        </w:rPr>
      </w:pPr>
    </w:p>
    <w:p w14:paraId="4728C32E" w14:textId="77777777" w:rsidR="0003572A" w:rsidRPr="006038F2" w:rsidRDefault="0003572A" w:rsidP="0003572A">
      <w:pPr>
        <w:jc w:val="center"/>
        <w:rPr>
          <w:rFonts w:ascii="Times New Roman" w:hAnsi="Times New Roman" w:cs="Times New Roman"/>
        </w:rPr>
      </w:pPr>
    </w:p>
    <w:p w14:paraId="01D4A49D" w14:textId="77777777" w:rsidR="0003572A" w:rsidRPr="006038F2" w:rsidRDefault="0003572A" w:rsidP="0003572A">
      <w:pPr>
        <w:jc w:val="center"/>
        <w:rPr>
          <w:rFonts w:ascii="Times New Roman" w:hAnsi="Times New Roman" w:cs="Times New Roman"/>
        </w:rPr>
      </w:pPr>
    </w:p>
    <w:p w14:paraId="55BBD9E6"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22A3359C"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6A4C5F1C"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0EE9B348" w14:textId="14F82AAE" w:rsidR="0003572A" w:rsidRPr="006038F2" w:rsidRDefault="00AC3772" w:rsidP="00AC3772">
      <w:pPr>
        <w:spacing w:before="100" w:beforeAutospacing="1" w:after="100" w:afterAutospacing="1"/>
        <w:jc w:val="center"/>
        <w:rPr>
          <w:rFonts w:ascii="Times New Roman" w:eastAsia="Times New Roman" w:hAnsi="Times New Roman" w:cs="Times New Roman"/>
        </w:rPr>
      </w:pPr>
      <w:r w:rsidRPr="006038F2">
        <w:rPr>
          <w:rFonts w:ascii="Times New Roman" w:eastAsia="Times New Roman" w:hAnsi="Times New Roman" w:cs="Times New Roman"/>
        </w:rPr>
        <w:t>BY THE COMMITTEE CONSISTING OF</w:t>
      </w:r>
    </w:p>
    <w:p w14:paraId="368F792B" w14:textId="77777777" w:rsidR="0003572A" w:rsidRPr="006038F2" w:rsidRDefault="0003572A" w:rsidP="0003572A">
      <w:pPr>
        <w:jc w:val="center"/>
        <w:rPr>
          <w:rFonts w:ascii="Times New Roman" w:hAnsi="Times New Roman" w:cs="Times New Roman"/>
        </w:rPr>
      </w:pPr>
    </w:p>
    <w:p w14:paraId="39284050" w14:textId="77777777" w:rsidR="0003572A" w:rsidRPr="006038F2" w:rsidRDefault="0003572A" w:rsidP="0003572A">
      <w:pPr>
        <w:jc w:val="center"/>
        <w:rPr>
          <w:rFonts w:ascii="Times New Roman" w:hAnsi="Times New Roman" w:cs="Times New Roman"/>
        </w:rPr>
      </w:pPr>
    </w:p>
    <w:p w14:paraId="583800CC" w14:textId="77777777" w:rsidR="0003572A" w:rsidRPr="006038F2" w:rsidRDefault="0003572A" w:rsidP="0003572A">
      <w:pPr>
        <w:jc w:val="center"/>
        <w:rPr>
          <w:rFonts w:ascii="Times New Roman" w:hAnsi="Times New Roman" w:cs="Times New Roman"/>
        </w:rPr>
      </w:pPr>
    </w:p>
    <w:p w14:paraId="778373BD" w14:textId="77777777" w:rsidR="0003572A" w:rsidRPr="006038F2" w:rsidRDefault="0003572A" w:rsidP="0003572A">
      <w:pPr>
        <w:spacing w:before="100" w:beforeAutospacing="1" w:after="100" w:afterAutospacing="1"/>
        <w:jc w:val="right"/>
        <w:rPr>
          <w:rFonts w:ascii="Times New Roman" w:eastAsia="Times New Roman" w:hAnsi="Times New Roman" w:cs="Times New Roman"/>
        </w:rPr>
      </w:pPr>
      <w:r w:rsidRPr="006038F2">
        <w:rPr>
          <w:rFonts w:ascii="Times New Roman" w:eastAsia="Times New Roman" w:hAnsi="Times New Roman" w:cs="Times New Roman"/>
        </w:rPr>
        <w:t xml:space="preserve">Dr. Wei R. Chen, Chair </w:t>
      </w:r>
    </w:p>
    <w:p w14:paraId="08FC0D81" w14:textId="77777777" w:rsidR="0003572A" w:rsidRPr="006038F2" w:rsidRDefault="0003572A" w:rsidP="0003572A">
      <w:pPr>
        <w:spacing w:before="100" w:beforeAutospacing="1" w:after="100" w:afterAutospacing="1"/>
        <w:jc w:val="right"/>
        <w:rPr>
          <w:rFonts w:ascii="Times New Roman" w:eastAsia="Times New Roman" w:hAnsi="Times New Roman" w:cs="Times New Roman"/>
          <w:color w:val="000000" w:themeColor="text1"/>
        </w:rPr>
      </w:pPr>
      <w:r w:rsidRPr="006038F2">
        <w:rPr>
          <w:rFonts w:ascii="Times New Roman" w:eastAsia="Times New Roman" w:hAnsi="Times New Roman" w:cs="Times New Roman"/>
          <w:color w:val="000000" w:themeColor="text1"/>
        </w:rPr>
        <w:t xml:space="preserve">Dr. Handan </w:t>
      </w:r>
      <w:proofErr w:type="spellStart"/>
      <w:r w:rsidRPr="006038F2">
        <w:rPr>
          <w:rFonts w:ascii="Times New Roman" w:eastAsia="Times New Roman" w:hAnsi="Times New Roman" w:cs="Times New Roman"/>
          <w:color w:val="000000" w:themeColor="text1"/>
        </w:rPr>
        <w:t>Acar</w:t>
      </w:r>
      <w:proofErr w:type="spellEnd"/>
    </w:p>
    <w:p w14:paraId="489EBA4C" w14:textId="77777777" w:rsidR="0003572A" w:rsidRPr="006038F2" w:rsidRDefault="0003572A" w:rsidP="0003572A">
      <w:pPr>
        <w:spacing w:before="100" w:beforeAutospacing="1" w:after="100" w:afterAutospacing="1"/>
        <w:jc w:val="right"/>
        <w:rPr>
          <w:rFonts w:ascii="Times New Roman" w:eastAsia="Times New Roman" w:hAnsi="Times New Roman" w:cs="Times New Roman"/>
          <w:color w:val="000000" w:themeColor="text1"/>
        </w:rPr>
      </w:pPr>
      <w:r w:rsidRPr="006038F2">
        <w:rPr>
          <w:rFonts w:ascii="Times New Roman" w:eastAsia="Times New Roman" w:hAnsi="Times New Roman" w:cs="Times New Roman"/>
          <w:color w:val="000000" w:themeColor="text1"/>
        </w:rPr>
        <w:t xml:space="preserve">Dr. </w:t>
      </w:r>
      <w:proofErr w:type="spellStart"/>
      <w:r w:rsidRPr="006038F2">
        <w:rPr>
          <w:rFonts w:ascii="Times New Roman" w:eastAsia="Times New Roman" w:hAnsi="Times New Roman" w:cs="Times New Roman"/>
          <w:color w:val="000000" w:themeColor="text1"/>
        </w:rPr>
        <w:t>Qinggong</w:t>
      </w:r>
      <w:proofErr w:type="spellEnd"/>
      <w:r w:rsidRPr="006038F2">
        <w:rPr>
          <w:rFonts w:ascii="Times New Roman" w:eastAsia="Times New Roman" w:hAnsi="Times New Roman" w:cs="Times New Roman"/>
          <w:color w:val="000000" w:themeColor="text1"/>
        </w:rPr>
        <w:t xml:space="preserve"> Tang </w:t>
      </w:r>
    </w:p>
    <w:p w14:paraId="42983BC2" w14:textId="77777777" w:rsidR="00FD64F1" w:rsidRPr="006038F2" w:rsidRDefault="00FD64F1" w:rsidP="0003572A">
      <w:pPr>
        <w:spacing w:before="100" w:beforeAutospacing="1" w:after="100" w:afterAutospacing="1"/>
        <w:jc w:val="right"/>
        <w:rPr>
          <w:rFonts w:ascii="Times New Roman" w:eastAsia="Times New Roman" w:hAnsi="Times New Roman" w:cs="Times New Roman"/>
          <w:color w:val="000000" w:themeColor="text1"/>
        </w:rPr>
      </w:pPr>
    </w:p>
    <w:p w14:paraId="0C5DC470" w14:textId="77777777" w:rsidR="0003572A" w:rsidRPr="006038F2" w:rsidRDefault="0003572A" w:rsidP="0003572A">
      <w:pPr>
        <w:pStyle w:val="TitleTNR"/>
        <w:rPr>
          <w:rFonts w:ascii="Times New Roman" w:hAnsi="Times New Roman" w:cs="Times New Roman"/>
        </w:rPr>
      </w:pPr>
    </w:p>
    <w:p w14:paraId="0445B377" w14:textId="77777777" w:rsidR="0003572A" w:rsidRPr="006038F2" w:rsidRDefault="0003572A" w:rsidP="0003572A">
      <w:pPr>
        <w:rPr>
          <w:rFonts w:ascii="Times New Roman" w:hAnsi="Times New Roman" w:cs="Times New Roman"/>
        </w:rPr>
      </w:pPr>
    </w:p>
    <w:p w14:paraId="0102873E" w14:textId="77777777" w:rsidR="0003572A" w:rsidRPr="006038F2" w:rsidRDefault="0003572A" w:rsidP="0003572A">
      <w:pPr>
        <w:rPr>
          <w:rFonts w:ascii="Times New Roman" w:eastAsiaTheme="majorEastAsia" w:hAnsi="Times New Roman" w:cs="Times New Roman"/>
          <w:b/>
          <w:i/>
          <w:spacing w:val="-10"/>
          <w:kern w:val="28"/>
          <w:sz w:val="56"/>
          <w:szCs w:val="56"/>
        </w:rPr>
      </w:pPr>
      <w:r w:rsidRPr="006038F2">
        <w:rPr>
          <w:rFonts w:ascii="Times New Roman" w:hAnsi="Times New Roman" w:cs="Times New Roman"/>
        </w:rPr>
        <w:br w:type="page"/>
      </w:r>
    </w:p>
    <w:p w14:paraId="590B130A"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18E64559"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54FF16B0"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59162FFC"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433BAC6A"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63523E7D"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65343566"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1EF16ACA"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2E9A8DF7"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7A451A9D"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481AE9BA"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4B85659A"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5797A766"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6FFDE7D1"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7AB32F1D"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472364D8"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33E08F4E"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48E67F33"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4DAA9587"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24373941"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p>
    <w:p w14:paraId="759C4AF3"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r w:rsidRPr="006038F2">
        <w:rPr>
          <w:rFonts w:ascii="Times New Roman" w:eastAsia="Times New Roman" w:hAnsi="Times New Roman" w:cs="Times New Roman"/>
        </w:rPr>
        <w:t>© Copyright by MALAYNA UNKEL 2024</w:t>
      </w:r>
    </w:p>
    <w:p w14:paraId="07F45267" w14:textId="77777777" w:rsidR="0003572A" w:rsidRPr="006038F2" w:rsidRDefault="0003572A" w:rsidP="0003572A">
      <w:pPr>
        <w:spacing w:before="100" w:beforeAutospacing="1" w:after="100" w:afterAutospacing="1"/>
        <w:jc w:val="center"/>
        <w:rPr>
          <w:rFonts w:ascii="Times New Roman" w:eastAsia="Times New Roman" w:hAnsi="Times New Roman" w:cs="Times New Roman"/>
        </w:rPr>
      </w:pPr>
      <w:r w:rsidRPr="006038F2">
        <w:rPr>
          <w:rFonts w:ascii="Times New Roman" w:eastAsia="Times New Roman" w:hAnsi="Times New Roman" w:cs="Times New Roman"/>
        </w:rPr>
        <w:t>All Rights Reserved.</w:t>
      </w:r>
    </w:p>
    <w:p w14:paraId="1F3B38FA" w14:textId="77777777" w:rsidR="002F1C3A" w:rsidRPr="006038F2" w:rsidRDefault="002F1C3A" w:rsidP="0003572A">
      <w:pPr>
        <w:rPr>
          <w:rFonts w:ascii="Times New Roman" w:hAnsi="Times New Roman" w:cs="Times New Roman"/>
        </w:rPr>
        <w:sectPr w:rsidR="002F1C3A" w:rsidRPr="006038F2" w:rsidSect="003A02FC">
          <w:footerReference w:type="even" r:id="rId8"/>
          <w:pgSz w:w="12240" w:h="15840"/>
          <w:pgMar w:top="1440" w:right="1440" w:bottom="1440" w:left="1440" w:header="720" w:footer="720" w:gutter="0"/>
          <w:pgNumType w:fmt="lowerRoman"/>
          <w:cols w:space="720"/>
          <w:docGrid w:linePitch="360"/>
        </w:sectPr>
      </w:pPr>
    </w:p>
    <w:p w14:paraId="6F9B15CF" w14:textId="77A8E9A5" w:rsidR="0003572A" w:rsidRPr="006038F2" w:rsidRDefault="0003572A" w:rsidP="002F1C3A">
      <w:pPr>
        <w:jc w:val="center"/>
        <w:rPr>
          <w:rFonts w:ascii="Times New Roman" w:eastAsiaTheme="majorEastAsia" w:hAnsi="Times New Roman" w:cs="Times New Roman"/>
          <w:b/>
          <w:i/>
          <w:color w:val="0F4761" w:themeColor="accent1" w:themeShade="BF"/>
          <w:spacing w:val="-10"/>
          <w:kern w:val="28"/>
          <w:sz w:val="40"/>
          <w:szCs w:val="40"/>
        </w:rPr>
      </w:pPr>
      <w:r w:rsidRPr="006038F2">
        <w:rPr>
          <w:rFonts w:ascii="Times New Roman" w:hAnsi="Times New Roman" w:cs="Times New Roman"/>
          <w:color w:val="0F4761" w:themeColor="accent1" w:themeShade="BF"/>
          <w:sz w:val="40"/>
          <w:szCs w:val="40"/>
        </w:rPr>
        <w:lastRenderedPageBreak/>
        <w:t>Acknowledgment</w:t>
      </w:r>
    </w:p>
    <w:p w14:paraId="35D1736A" w14:textId="77777777" w:rsidR="00B84141" w:rsidRPr="006038F2" w:rsidRDefault="00B84141" w:rsidP="0003572A">
      <w:pPr>
        <w:rPr>
          <w:rFonts w:ascii="Times New Roman" w:hAnsi="Times New Roman" w:cs="Times New Roman"/>
        </w:rPr>
      </w:pPr>
    </w:p>
    <w:p w14:paraId="2BA09206" w14:textId="6BEB1D57" w:rsidR="0003572A" w:rsidRPr="006038F2" w:rsidRDefault="0003572A" w:rsidP="0003572A">
      <w:pPr>
        <w:rPr>
          <w:rFonts w:ascii="Times New Roman" w:hAnsi="Times New Roman" w:cs="Times New Roman"/>
        </w:rPr>
      </w:pPr>
      <w:r w:rsidRPr="006038F2">
        <w:rPr>
          <w:rFonts w:ascii="Times New Roman" w:hAnsi="Times New Roman" w:cs="Times New Roman"/>
        </w:rPr>
        <w:t>I first want to thank Dr. Wei R. Chen, my Principal Investigator, for his guidance and for taking a chance on me. Your support in my research and other academic endeavors has been very much appreciated.</w:t>
      </w:r>
    </w:p>
    <w:p w14:paraId="4A0EB257" w14:textId="77777777" w:rsidR="0003572A" w:rsidRPr="006038F2" w:rsidRDefault="0003572A" w:rsidP="0003572A">
      <w:pPr>
        <w:rPr>
          <w:rFonts w:ascii="Times New Roman" w:hAnsi="Times New Roman" w:cs="Times New Roman"/>
        </w:rPr>
      </w:pPr>
    </w:p>
    <w:p w14:paraId="30DC9C5B" w14:textId="77777777" w:rsidR="0003572A" w:rsidRPr="006038F2" w:rsidRDefault="0003572A" w:rsidP="0003572A">
      <w:pPr>
        <w:rPr>
          <w:rFonts w:ascii="Times New Roman" w:hAnsi="Times New Roman" w:cs="Times New Roman"/>
        </w:rPr>
      </w:pPr>
      <w:r w:rsidRPr="006038F2">
        <w:rPr>
          <w:rFonts w:ascii="Times New Roman" w:hAnsi="Times New Roman" w:cs="Times New Roman"/>
        </w:rPr>
        <w:t xml:space="preserve">To my defense committee members, Dr. Handan </w:t>
      </w:r>
      <w:proofErr w:type="spellStart"/>
      <w:r w:rsidRPr="006038F2">
        <w:rPr>
          <w:rFonts w:ascii="Times New Roman" w:hAnsi="Times New Roman" w:cs="Times New Roman"/>
        </w:rPr>
        <w:t>Acar</w:t>
      </w:r>
      <w:proofErr w:type="spellEnd"/>
      <w:r w:rsidRPr="006038F2">
        <w:rPr>
          <w:rFonts w:ascii="Times New Roman" w:hAnsi="Times New Roman" w:cs="Times New Roman"/>
        </w:rPr>
        <w:t xml:space="preserve"> and Dr. </w:t>
      </w:r>
      <w:proofErr w:type="spellStart"/>
      <w:r w:rsidRPr="006038F2">
        <w:rPr>
          <w:rFonts w:ascii="Times New Roman" w:hAnsi="Times New Roman" w:cs="Times New Roman"/>
        </w:rPr>
        <w:t>Qinggong</w:t>
      </w:r>
      <w:proofErr w:type="spellEnd"/>
      <w:r w:rsidRPr="006038F2">
        <w:rPr>
          <w:rFonts w:ascii="Times New Roman" w:hAnsi="Times New Roman" w:cs="Times New Roman"/>
        </w:rPr>
        <w:t xml:space="preserve"> Tang, thank you for lending your time and your feedback.</w:t>
      </w:r>
    </w:p>
    <w:p w14:paraId="1A67265A" w14:textId="77777777" w:rsidR="0003572A" w:rsidRPr="006038F2" w:rsidRDefault="0003572A" w:rsidP="0003572A">
      <w:pPr>
        <w:rPr>
          <w:rFonts w:ascii="Times New Roman" w:hAnsi="Times New Roman" w:cs="Times New Roman"/>
        </w:rPr>
      </w:pPr>
    </w:p>
    <w:p w14:paraId="023715A1" w14:textId="77777777" w:rsidR="0003572A" w:rsidRPr="006038F2" w:rsidRDefault="0003572A" w:rsidP="0003572A">
      <w:pPr>
        <w:rPr>
          <w:rFonts w:ascii="Times New Roman" w:hAnsi="Times New Roman" w:cs="Times New Roman"/>
        </w:rPr>
      </w:pPr>
      <w:r w:rsidRPr="006038F2">
        <w:rPr>
          <w:rFonts w:ascii="Times New Roman" w:hAnsi="Times New Roman" w:cs="Times New Roman"/>
        </w:rPr>
        <w:t xml:space="preserve">Further thanks go to my lab colleagues who have contributed invaluably to my work. Trisha Valerio for her patience and support, Jacob Adams for his assistance, </w:t>
      </w:r>
      <w:proofErr w:type="spellStart"/>
      <w:r w:rsidRPr="006038F2">
        <w:rPr>
          <w:rFonts w:ascii="Times New Roman" w:hAnsi="Times New Roman" w:cs="Times New Roman"/>
        </w:rPr>
        <w:t>Coline</w:t>
      </w:r>
      <w:proofErr w:type="spellEnd"/>
      <w:r w:rsidRPr="006038F2">
        <w:rPr>
          <w:rFonts w:ascii="Times New Roman" w:hAnsi="Times New Roman" w:cs="Times New Roman"/>
        </w:rPr>
        <w:t xml:space="preserve"> </w:t>
      </w:r>
      <w:proofErr w:type="spellStart"/>
      <w:r w:rsidRPr="006038F2">
        <w:rPr>
          <w:rFonts w:ascii="Times New Roman" w:hAnsi="Times New Roman" w:cs="Times New Roman"/>
        </w:rPr>
        <w:t>Furrer</w:t>
      </w:r>
      <w:proofErr w:type="spellEnd"/>
      <w:r w:rsidRPr="006038F2">
        <w:rPr>
          <w:rFonts w:ascii="Times New Roman" w:hAnsi="Times New Roman" w:cs="Times New Roman"/>
        </w:rPr>
        <w:t xml:space="preserve"> for her advice, Vinit Sheth for his disposition, and </w:t>
      </w:r>
      <w:proofErr w:type="spellStart"/>
      <w:r w:rsidRPr="006038F2">
        <w:rPr>
          <w:rFonts w:ascii="Times New Roman" w:hAnsi="Times New Roman" w:cs="Times New Roman"/>
        </w:rPr>
        <w:t>Kaili</w:t>
      </w:r>
      <w:proofErr w:type="spellEnd"/>
      <w:r w:rsidRPr="006038F2">
        <w:rPr>
          <w:rFonts w:ascii="Times New Roman" w:hAnsi="Times New Roman" w:cs="Times New Roman"/>
        </w:rPr>
        <w:t xml:space="preserve"> Liu for his expertise. </w:t>
      </w:r>
    </w:p>
    <w:p w14:paraId="1645672E" w14:textId="77777777" w:rsidR="0003572A" w:rsidRPr="006038F2" w:rsidRDefault="0003572A" w:rsidP="0003572A">
      <w:pPr>
        <w:rPr>
          <w:rFonts w:ascii="Times New Roman" w:hAnsi="Times New Roman" w:cs="Times New Roman"/>
        </w:rPr>
      </w:pPr>
    </w:p>
    <w:p w14:paraId="7F941132" w14:textId="77777777" w:rsidR="0003572A" w:rsidRPr="006038F2" w:rsidRDefault="0003572A" w:rsidP="0003572A">
      <w:pPr>
        <w:rPr>
          <w:rFonts w:ascii="Times New Roman" w:hAnsi="Times New Roman" w:cs="Times New Roman"/>
        </w:rPr>
      </w:pPr>
      <w:r w:rsidRPr="006038F2">
        <w:rPr>
          <w:rFonts w:ascii="Times New Roman" w:hAnsi="Times New Roman" w:cs="Times New Roman"/>
        </w:rPr>
        <w:t xml:space="preserve">To Dr. Ashley Hoover, who was gracious enough to extend her help and lend her expertise, I also express my gratitude. This project would not have been possible without you. </w:t>
      </w:r>
    </w:p>
    <w:p w14:paraId="6E64B8ED" w14:textId="77777777" w:rsidR="0003572A" w:rsidRPr="006038F2" w:rsidRDefault="0003572A" w:rsidP="0003572A">
      <w:pPr>
        <w:rPr>
          <w:rFonts w:ascii="Times New Roman" w:hAnsi="Times New Roman" w:cs="Times New Roman"/>
        </w:rPr>
      </w:pPr>
    </w:p>
    <w:p w14:paraId="29174F6A" w14:textId="77777777" w:rsidR="0003572A" w:rsidRPr="006038F2" w:rsidRDefault="0003572A" w:rsidP="0003572A">
      <w:pPr>
        <w:rPr>
          <w:rFonts w:ascii="Times New Roman" w:hAnsi="Times New Roman" w:cs="Times New Roman"/>
        </w:rPr>
      </w:pPr>
      <w:r w:rsidRPr="006038F2">
        <w:rPr>
          <w:rFonts w:ascii="Times New Roman" w:hAnsi="Times New Roman" w:cs="Times New Roman"/>
        </w:rPr>
        <w:t>Finally, to my family, and especially my parents, I would not be the person I am today without you. None of this would have been possible without you shaping me to get here. I am endlessly thankful for your love and support.</w:t>
      </w:r>
    </w:p>
    <w:p w14:paraId="7E4E5DF6" w14:textId="77777777" w:rsidR="0003572A" w:rsidRPr="006038F2" w:rsidRDefault="0003572A" w:rsidP="0003572A">
      <w:pPr>
        <w:rPr>
          <w:rFonts w:ascii="Times New Roman" w:hAnsi="Times New Roman" w:cs="Times New Roman"/>
        </w:rPr>
      </w:pPr>
    </w:p>
    <w:p w14:paraId="1F779903" w14:textId="77777777" w:rsidR="0003572A" w:rsidRPr="006038F2" w:rsidRDefault="0003572A" w:rsidP="0003572A">
      <w:pPr>
        <w:rPr>
          <w:rFonts w:ascii="Times New Roman" w:hAnsi="Times New Roman" w:cs="Times New Roman"/>
        </w:rPr>
      </w:pPr>
      <w:r w:rsidRPr="006038F2">
        <w:rPr>
          <w:rFonts w:ascii="Times New Roman" w:hAnsi="Times New Roman" w:cs="Times New Roman"/>
        </w:rPr>
        <w:br w:type="page"/>
      </w:r>
    </w:p>
    <w:sdt>
      <w:sdtPr>
        <w:rPr>
          <w:rFonts w:ascii="Times New Roman" w:eastAsiaTheme="minorEastAsia" w:hAnsi="Times New Roman" w:cs="Times New Roman"/>
          <w:b w:val="0"/>
          <w:bCs w:val="0"/>
          <w:color w:val="auto"/>
          <w:sz w:val="24"/>
          <w:szCs w:val="24"/>
        </w:rPr>
        <w:id w:val="1553884868"/>
        <w:docPartObj>
          <w:docPartGallery w:val="Table of Contents"/>
          <w:docPartUnique/>
        </w:docPartObj>
      </w:sdtPr>
      <w:sdtEndPr>
        <w:rPr>
          <w:noProof/>
        </w:rPr>
      </w:sdtEndPr>
      <w:sdtContent>
        <w:p w14:paraId="4A35B81E" w14:textId="77777777" w:rsidR="0003572A" w:rsidRPr="006038F2" w:rsidRDefault="0003572A" w:rsidP="0003572A">
          <w:pPr>
            <w:pStyle w:val="TOCHeading"/>
            <w:rPr>
              <w:rFonts w:ascii="Times New Roman" w:hAnsi="Times New Roman" w:cs="Times New Roman"/>
            </w:rPr>
          </w:pPr>
          <w:r w:rsidRPr="006038F2">
            <w:rPr>
              <w:rFonts w:ascii="Times New Roman" w:hAnsi="Times New Roman" w:cs="Times New Roman"/>
            </w:rPr>
            <w:t>Table of Contents</w:t>
          </w:r>
        </w:p>
        <w:p w14:paraId="49465F55" w14:textId="4AE89C8C" w:rsidR="00E1722D" w:rsidRPr="006038F2" w:rsidRDefault="0003572A">
          <w:pPr>
            <w:pStyle w:val="TOC1"/>
            <w:tabs>
              <w:tab w:val="right" w:leader="dot" w:pos="9350"/>
            </w:tabs>
            <w:rPr>
              <w:rFonts w:ascii="Times New Roman" w:hAnsi="Times New Roman" w:cs="Times New Roman"/>
              <w:b w:val="0"/>
              <w:bCs w:val="0"/>
              <w:i w:val="0"/>
              <w:iCs w:val="0"/>
              <w:noProof/>
              <w:kern w:val="2"/>
              <w:lang w:eastAsia="en-US"/>
              <w14:ligatures w14:val="standardContextual"/>
            </w:rPr>
          </w:pPr>
          <w:r w:rsidRPr="006038F2">
            <w:rPr>
              <w:rFonts w:ascii="Times New Roman" w:hAnsi="Times New Roman" w:cs="Times New Roman"/>
              <w:b w:val="0"/>
              <w:bCs w:val="0"/>
            </w:rPr>
            <w:fldChar w:fldCharType="begin"/>
          </w:r>
          <w:r w:rsidRPr="006038F2">
            <w:rPr>
              <w:rFonts w:ascii="Times New Roman" w:hAnsi="Times New Roman" w:cs="Times New Roman"/>
            </w:rPr>
            <w:instrText xml:space="preserve"> TOC \o "1-3" \h \z \u </w:instrText>
          </w:r>
          <w:r w:rsidRPr="006038F2">
            <w:rPr>
              <w:rFonts w:ascii="Times New Roman" w:hAnsi="Times New Roman" w:cs="Times New Roman"/>
              <w:b w:val="0"/>
              <w:bCs w:val="0"/>
            </w:rPr>
            <w:fldChar w:fldCharType="separate"/>
          </w:r>
          <w:hyperlink w:anchor="_Toc172659129" w:history="1">
            <w:r w:rsidR="00E1722D" w:rsidRPr="006038F2">
              <w:rPr>
                <w:rStyle w:val="Hyperlink"/>
                <w:rFonts w:ascii="Times New Roman" w:hAnsi="Times New Roman" w:cs="Times New Roman"/>
                <w:noProof/>
              </w:rPr>
              <w:t>Abstract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_Toc172659129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xi</w:t>
            </w:r>
            <w:r w:rsidR="00E1722D" w:rsidRPr="006038F2">
              <w:rPr>
                <w:rFonts w:ascii="Times New Roman" w:hAnsi="Times New Roman" w:cs="Times New Roman"/>
                <w:noProof/>
                <w:webHidden/>
              </w:rPr>
              <w:fldChar w:fldCharType="end"/>
            </w:r>
          </w:hyperlink>
        </w:p>
        <w:p w14:paraId="2BC426C2" w14:textId="6DE00BDE"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30" w:history="1">
            <w:r w:rsidR="00E1722D" w:rsidRPr="006038F2">
              <w:rPr>
                <w:rStyle w:val="Hyperlink"/>
                <w:rFonts w:ascii="Times New Roman" w:hAnsi="Times New Roman" w:cs="Times New Roman"/>
                <w:noProof/>
              </w:rPr>
              <w:t>Chapter 1</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w:t>
            </w:r>
            <w:r w:rsidR="00E1722D" w:rsidRPr="006038F2">
              <w:rPr>
                <w:rFonts w:ascii="Times New Roman" w:hAnsi="Times New Roman" w:cs="Times New Roman"/>
                <w:noProof/>
                <w:webHidden/>
              </w:rPr>
              <w:fldChar w:fldCharType="end"/>
            </w:r>
          </w:hyperlink>
        </w:p>
        <w:p w14:paraId="1F0FA304" w14:textId="3772BE1A"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31" w:history="1">
            <w:r w:rsidR="00E1722D" w:rsidRPr="006038F2">
              <w:rPr>
                <w:rStyle w:val="Hyperlink"/>
                <w:rFonts w:ascii="Times New Roman" w:hAnsi="Times New Roman" w:cs="Times New Roman"/>
                <w:noProof/>
              </w:rPr>
              <w:t>Introduction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w:t>
            </w:r>
            <w:r w:rsidR="00E1722D" w:rsidRPr="006038F2">
              <w:rPr>
                <w:rFonts w:ascii="Times New Roman" w:hAnsi="Times New Roman" w:cs="Times New Roman"/>
                <w:noProof/>
                <w:webHidden/>
              </w:rPr>
              <w:fldChar w:fldCharType="end"/>
            </w:r>
          </w:hyperlink>
        </w:p>
        <w:p w14:paraId="35ED8F52" w14:textId="6EFB26A5"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32" w:history="1">
            <w:r w:rsidR="00E1722D" w:rsidRPr="006038F2">
              <w:rPr>
                <w:rStyle w:val="Hyperlink"/>
                <w:rFonts w:ascii="Times New Roman" w:hAnsi="Times New Roman" w:cs="Times New Roman"/>
                <w:noProof/>
              </w:rPr>
              <w:t>1.1 Immunostimulants/Immunoadjuvants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w:t>
            </w:r>
            <w:r w:rsidR="00E1722D" w:rsidRPr="006038F2">
              <w:rPr>
                <w:rFonts w:ascii="Times New Roman" w:hAnsi="Times New Roman" w:cs="Times New Roman"/>
                <w:noProof/>
                <w:webHidden/>
              </w:rPr>
              <w:fldChar w:fldCharType="end"/>
            </w:r>
          </w:hyperlink>
        </w:p>
        <w:p w14:paraId="759FFF79" w14:textId="772681B1"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33" w:history="1">
            <w:r w:rsidR="00E1722D" w:rsidRPr="006038F2">
              <w:rPr>
                <w:rStyle w:val="Hyperlink"/>
                <w:rFonts w:ascii="Times New Roman" w:hAnsi="Times New Roman" w:cs="Times New Roman"/>
                <w:noProof/>
              </w:rPr>
              <w:t>1.2 Glycated Chitosan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w:t>
            </w:r>
            <w:r w:rsidR="00E1722D" w:rsidRPr="006038F2">
              <w:rPr>
                <w:rFonts w:ascii="Times New Roman" w:hAnsi="Times New Roman" w:cs="Times New Roman"/>
                <w:noProof/>
                <w:webHidden/>
              </w:rPr>
              <w:fldChar w:fldCharType="end"/>
            </w:r>
          </w:hyperlink>
        </w:p>
        <w:p w14:paraId="1618B820" w14:textId="0E488F84"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34" w:history="1">
            <w:r w:rsidR="00E1722D" w:rsidRPr="006038F2">
              <w:rPr>
                <w:rStyle w:val="Hyperlink"/>
                <w:rFonts w:ascii="Times New Roman" w:hAnsi="Times New Roman" w:cs="Times New Roman"/>
                <w:noProof/>
              </w:rPr>
              <w:t>1.3 GC in Laser Immunotherapy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w:t>
            </w:r>
            <w:r w:rsidR="00E1722D" w:rsidRPr="006038F2">
              <w:rPr>
                <w:rFonts w:ascii="Times New Roman" w:hAnsi="Times New Roman" w:cs="Times New Roman"/>
                <w:noProof/>
                <w:webHidden/>
              </w:rPr>
              <w:fldChar w:fldCharType="end"/>
            </w:r>
          </w:hyperlink>
        </w:p>
        <w:p w14:paraId="4D5C5E25" w14:textId="414168EF"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35" w:history="1">
            <w:r w:rsidR="00E1722D" w:rsidRPr="006038F2">
              <w:rPr>
                <w:rStyle w:val="Hyperlink"/>
                <w:rFonts w:ascii="Times New Roman" w:hAnsi="Times New Roman" w:cs="Times New Roman"/>
                <w:noProof/>
              </w:rPr>
              <w:t>1.4 Interferon Response</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w:t>
            </w:r>
            <w:r w:rsidR="00E1722D" w:rsidRPr="006038F2">
              <w:rPr>
                <w:rFonts w:ascii="Times New Roman" w:hAnsi="Times New Roman" w:cs="Times New Roman"/>
                <w:noProof/>
                <w:webHidden/>
              </w:rPr>
              <w:fldChar w:fldCharType="end"/>
            </w:r>
          </w:hyperlink>
        </w:p>
        <w:p w14:paraId="6B9485F5" w14:textId="55747B6F"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36" w:history="1">
            <w:r w:rsidR="00E1722D" w:rsidRPr="006038F2">
              <w:rPr>
                <w:rStyle w:val="Hyperlink"/>
                <w:rFonts w:ascii="Times New Roman" w:hAnsi="Times New Roman" w:cs="Times New Roman"/>
                <w:noProof/>
              </w:rPr>
              <w:t>1.5 Intranasal and NALT analysis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6</w:t>
            </w:r>
            <w:r w:rsidR="00E1722D" w:rsidRPr="006038F2">
              <w:rPr>
                <w:rFonts w:ascii="Times New Roman" w:hAnsi="Times New Roman" w:cs="Times New Roman"/>
                <w:noProof/>
                <w:webHidden/>
              </w:rPr>
              <w:fldChar w:fldCharType="end"/>
            </w:r>
          </w:hyperlink>
        </w:p>
        <w:p w14:paraId="3BE40403" w14:textId="33BC41AD"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37" w:history="1">
            <w:r w:rsidR="00E1722D" w:rsidRPr="006038F2">
              <w:rPr>
                <w:rStyle w:val="Hyperlink"/>
                <w:rFonts w:ascii="Times New Roman" w:hAnsi="Times New Roman" w:cs="Times New Roman"/>
                <w:noProof/>
              </w:rPr>
              <w:t>1.6 Study’s Analysis Methods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8</w:t>
            </w:r>
            <w:r w:rsidR="00E1722D" w:rsidRPr="006038F2">
              <w:rPr>
                <w:rFonts w:ascii="Times New Roman" w:hAnsi="Times New Roman" w:cs="Times New Roman"/>
                <w:noProof/>
                <w:webHidden/>
              </w:rPr>
              <w:fldChar w:fldCharType="end"/>
            </w:r>
          </w:hyperlink>
        </w:p>
        <w:p w14:paraId="357AB23E" w14:textId="547B5C74"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38" w:history="1">
            <w:r w:rsidR="00E1722D" w:rsidRPr="006038F2">
              <w:rPr>
                <w:rStyle w:val="Hyperlink"/>
                <w:rFonts w:ascii="Times New Roman" w:hAnsi="Times New Roman" w:cs="Times New Roman"/>
                <w:noProof/>
              </w:rPr>
              <w:t>1.6.1 IVIS and Interferon Reporter Mouse</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8</w:t>
            </w:r>
            <w:r w:rsidR="00E1722D" w:rsidRPr="006038F2">
              <w:rPr>
                <w:rFonts w:ascii="Times New Roman" w:hAnsi="Times New Roman" w:cs="Times New Roman"/>
                <w:noProof/>
                <w:webHidden/>
              </w:rPr>
              <w:fldChar w:fldCharType="end"/>
            </w:r>
          </w:hyperlink>
        </w:p>
        <w:p w14:paraId="3F14D57B" w14:textId="7D162118"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39" w:history="1">
            <w:r w:rsidR="00E1722D" w:rsidRPr="006038F2">
              <w:rPr>
                <w:rStyle w:val="Hyperlink"/>
                <w:rFonts w:ascii="Times New Roman" w:hAnsi="Times New Roman" w:cs="Times New Roman"/>
                <w:noProof/>
              </w:rPr>
              <w:t>1.6.2 Bulk-RNA</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_Toc172659139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9</w:t>
            </w:r>
            <w:r w:rsidR="00E1722D" w:rsidRPr="006038F2">
              <w:rPr>
                <w:rFonts w:ascii="Times New Roman" w:hAnsi="Times New Roman" w:cs="Times New Roman"/>
                <w:noProof/>
                <w:webHidden/>
              </w:rPr>
              <w:fldChar w:fldCharType="end"/>
            </w:r>
          </w:hyperlink>
        </w:p>
        <w:p w14:paraId="1D4EAB2C" w14:textId="128A103A"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40" w:history="1">
            <w:r w:rsidR="00E1722D" w:rsidRPr="006038F2">
              <w:rPr>
                <w:rStyle w:val="Hyperlink"/>
                <w:rFonts w:ascii="Times New Roman" w:hAnsi="Times New Roman" w:cs="Times New Roman"/>
                <w:noProof/>
              </w:rPr>
              <w:t>1.7 Objectives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10</w:t>
            </w:r>
            <w:r w:rsidR="00E1722D" w:rsidRPr="006038F2">
              <w:rPr>
                <w:rFonts w:ascii="Times New Roman" w:hAnsi="Times New Roman" w:cs="Times New Roman"/>
                <w:noProof/>
                <w:webHidden/>
              </w:rPr>
              <w:fldChar w:fldCharType="end"/>
            </w:r>
          </w:hyperlink>
        </w:p>
        <w:p w14:paraId="6E098881" w14:textId="0AB39382"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41" w:history="1">
            <w:r w:rsidR="00E1722D" w:rsidRPr="006038F2">
              <w:rPr>
                <w:rStyle w:val="Hyperlink"/>
                <w:rFonts w:ascii="Times New Roman" w:hAnsi="Times New Roman" w:cs="Times New Roman"/>
                <w:noProof/>
              </w:rPr>
              <w:t>Chapter 2</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11</w:t>
            </w:r>
            <w:r w:rsidR="00E1722D" w:rsidRPr="006038F2">
              <w:rPr>
                <w:rFonts w:ascii="Times New Roman" w:hAnsi="Times New Roman" w:cs="Times New Roman"/>
                <w:noProof/>
                <w:webHidden/>
              </w:rPr>
              <w:fldChar w:fldCharType="end"/>
            </w:r>
          </w:hyperlink>
        </w:p>
        <w:p w14:paraId="7EC6AEAD" w14:textId="66D56DAB"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42" w:history="1">
            <w:r w:rsidR="00E1722D" w:rsidRPr="006038F2">
              <w:rPr>
                <w:rStyle w:val="Hyperlink"/>
                <w:rFonts w:ascii="Times New Roman" w:hAnsi="Times New Roman" w:cs="Times New Roman"/>
                <w:noProof/>
              </w:rPr>
              <w:t>GC Administration Induces a Potent Type-1 IFN Response In Vivo</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11</w:t>
            </w:r>
            <w:r w:rsidR="00E1722D" w:rsidRPr="006038F2">
              <w:rPr>
                <w:rFonts w:ascii="Times New Roman" w:hAnsi="Times New Roman" w:cs="Times New Roman"/>
                <w:noProof/>
                <w:webHidden/>
              </w:rPr>
              <w:fldChar w:fldCharType="end"/>
            </w:r>
          </w:hyperlink>
        </w:p>
        <w:p w14:paraId="27281FC1" w14:textId="547467C4"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43" w:history="1">
            <w:r w:rsidR="00E1722D" w:rsidRPr="006038F2">
              <w:rPr>
                <w:rStyle w:val="Hyperlink"/>
                <w:rFonts w:ascii="Times New Roman" w:hAnsi="Times New Roman" w:cs="Times New Roman"/>
                <w:noProof/>
              </w:rPr>
              <w:t>2.1 Objective</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11</w:t>
            </w:r>
            <w:r w:rsidR="00E1722D" w:rsidRPr="006038F2">
              <w:rPr>
                <w:rFonts w:ascii="Times New Roman" w:hAnsi="Times New Roman" w:cs="Times New Roman"/>
                <w:noProof/>
                <w:webHidden/>
              </w:rPr>
              <w:fldChar w:fldCharType="end"/>
            </w:r>
          </w:hyperlink>
        </w:p>
        <w:p w14:paraId="49570129" w14:textId="56A427A8"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44" w:history="1">
            <w:r w:rsidR="00E1722D" w:rsidRPr="006038F2">
              <w:rPr>
                <w:rStyle w:val="Hyperlink"/>
                <w:rFonts w:ascii="Times New Roman" w:hAnsi="Times New Roman" w:cs="Times New Roman"/>
                <w:noProof/>
              </w:rPr>
              <w:t>2.2 Materials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11</w:t>
            </w:r>
            <w:r w:rsidR="00E1722D" w:rsidRPr="006038F2">
              <w:rPr>
                <w:rFonts w:ascii="Times New Roman" w:hAnsi="Times New Roman" w:cs="Times New Roman"/>
                <w:noProof/>
                <w:webHidden/>
              </w:rPr>
              <w:fldChar w:fldCharType="end"/>
            </w:r>
          </w:hyperlink>
        </w:p>
        <w:p w14:paraId="29D457C4" w14:textId="7158BE19"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45" w:history="1">
            <w:r w:rsidR="00E1722D" w:rsidRPr="006038F2">
              <w:rPr>
                <w:rStyle w:val="Hyperlink"/>
                <w:rFonts w:ascii="Times New Roman" w:hAnsi="Times New Roman" w:cs="Times New Roman"/>
                <w:noProof/>
              </w:rPr>
              <w:t>2.3 Methods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11</w:t>
            </w:r>
            <w:r w:rsidR="00E1722D" w:rsidRPr="006038F2">
              <w:rPr>
                <w:rFonts w:ascii="Times New Roman" w:hAnsi="Times New Roman" w:cs="Times New Roman"/>
                <w:noProof/>
                <w:webHidden/>
              </w:rPr>
              <w:fldChar w:fldCharType="end"/>
            </w:r>
          </w:hyperlink>
        </w:p>
        <w:p w14:paraId="5237B3D2" w14:textId="3043E13C"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46" w:history="1">
            <w:r w:rsidR="00E1722D" w:rsidRPr="006038F2">
              <w:rPr>
                <w:rStyle w:val="Hyperlink"/>
                <w:rFonts w:ascii="Times New Roman" w:hAnsi="Times New Roman" w:cs="Times New Roman"/>
                <w:noProof/>
              </w:rPr>
              <w:t>2.3.1. Intranasal vaccination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11</w:t>
            </w:r>
            <w:r w:rsidR="00E1722D" w:rsidRPr="006038F2">
              <w:rPr>
                <w:rFonts w:ascii="Times New Roman" w:hAnsi="Times New Roman" w:cs="Times New Roman"/>
                <w:noProof/>
                <w:webHidden/>
              </w:rPr>
              <w:fldChar w:fldCharType="end"/>
            </w:r>
          </w:hyperlink>
        </w:p>
        <w:p w14:paraId="3DFA7347" w14:textId="101991E4"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47" w:history="1">
            <w:r w:rsidR="00E1722D" w:rsidRPr="006038F2">
              <w:rPr>
                <w:rStyle w:val="Hyperlink"/>
                <w:rFonts w:ascii="Times New Roman" w:hAnsi="Times New Roman" w:cs="Times New Roman"/>
                <w:noProof/>
              </w:rPr>
              <w:t>2.3.2. Subcutaneous vaccination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12</w:t>
            </w:r>
            <w:r w:rsidR="00E1722D" w:rsidRPr="006038F2">
              <w:rPr>
                <w:rFonts w:ascii="Times New Roman" w:hAnsi="Times New Roman" w:cs="Times New Roman"/>
                <w:noProof/>
                <w:webHidden/>
              </w:rPr>
              <w:fldChar w:fldCharType="end"/>
            </w:r>
          </w:hyperlink>
        </w:p>
        <w:p w14:paraId="4C254B86" w14:textId="25C82344"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48" w:history="1">
            <w:r w:rsidR="00E1722D" w:rsidRPr="006038F2">
              <w:rPr>
                <w:rStyle w:val="Hyperlink"/>
                <w:rFonts w:ascii="Times New Roman" w:hAnsi="Times New Roman" w:cs="Times New Roman"/>
                <w:noProof/>
              </w:rPr>
              <w:t>2.3.3. IVIS imaging</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13</w:t>
            </w:r>
            <w:r w:rsidR="00E1722D" w:rsidRPr="006038F2">
              <w:rPr>
                <w:rFonts w:ascii="Times New Roman" w:hAnsi="Times New Roman" w:cs="Times New Roman"/>
                <w:noProof/>
                <w:webHidden/>
              </w:rPr>
              <w:fldChar w:fldCharType="end"/>
            </w:r>
          </w:hyperlink>
        </w:p>
        <w:p w14:paraId="4DCF40A0" w14:textId="62D4F2C2"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49" w:history="1">
            <w:r w:rsidR="00E1722D" w:rsidRPr="006038F2">
              <w:rPr>
                <w:rStyle w:val="Hyperlink"/>
                <w:rFonts w:ascii="Times New Roman" w:hAnsi="Times New Roman" w:cs="Times New Roman"/>
                <w:noProof/>
              </w:rPr>
              <w:t>2.3.4 Analysis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_Toc172659149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14</w:t>
            </w:r>
            <w:r w:rsidR="00E1722D" w:rsidRPr="006038F2">
              <w:rPr>
                <w:rFonts w:ascii="Times New Roman" w:hAnsi="Times New Roman" w:cs="Times New Roman"/>
                <w:noProof/>
                <w:webHidden/>
              </w:rPr>
              <w:fldChar w:fldCharType="end"/>
            </w:r>
          </w:hyperlink>
        </w:p>
        <w:p w14:paraId="22EF1803" w14:textId="133450B3"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50" w:history="1">
            <w:r w:rsidR="00E1722D" w:rsidRPr="006038F2">
              <w:rPr>
                <w:rStyle w:val="Hyperlink"/>
                <w:rFonts w:ascii="Times New Roman" w:hAnsi="Times New Roman" w:cs="Times New Roman"/>
                <w:noProof/>
              </w:rPr>
              <w:t>2.4 Results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15</w:t>
            </w:r>
            <w:r w:rsidR="00E1722D" w:rsidRPr="006038F2">
              <w:rPr>
                <w:rFonts w:ascii="Times New Roman" w:hAnsi="Times New Roman" w:cs="Times New Roman"/>
                <w:noProof/>
                <w:webHidden/>
              </w:rPr>
              <w:fldChar w:fldCharType="end"/>
            </w:r>
          </w:hyperlink>
        </w:p>
        <w:p w14:paraId="4978F56B" w14:textId="3BE4091E"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1" w:history="1">
            <w:r w:rsidR="00E1722D" w:rsidRPr="006038F2">
              <w:rPr>
                <w:rStyle w:val="Hyperlink"/>
                <w:rFonts w:ascii="Times New Roman" w:hAnsi="Times New Roman" w:cs="Times New Roman"/>
                <w:noProof/>
              </w:rPr>
              <w:t>2.4.1 IVIS Sequences and ROI Placement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15</w:t>
            </w:r>
            <w:r w:rsidR="00E1722D" w:rsidRPr="006038F2">
              <w:rPr>
                <w:rFonts w:ascii="Times New Roman" w:hAnsi="Times New Roman" w:cs="Times New Roman"/>
                <w:noProof/>
                <w:webHidden/>
              </w:rPr>
              <w:fldChar w:fldCharType="end"/>
            </w:r>
          </w:hyperlink>
        </w:p>
        <w:p w14:paraId="406BEAE7" w14:textId="1C725F1C"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2" w:history="1">
            <w:r w:rsidR="00E1722D" w:rsidRPr="006038F2">
              <w:rPr>
                <w:rStyle w:val="Hyperlink"/>
                <w:rFonts w:ascii="Times New Roman" w:hAnsi="Times New Roman" w:cs="Times New Roman"/>
                <w:noProof/>
              </w:rPr>
              <w:t>2.4.2 Intranasal vaccination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18</w:t>
            </w:r>
            <w:r w:rsidR="00E1722D" w:rsidRPr="006038F2">
              <w:rPr>
                <w:rFonts w:ascii="Times New Roman" w:hAnsi="Times New Roman" w:cs="Times New Roman"/>
                <w:noProof/>
                <w:webHidden/>
              </w:rPr>
              <w:fldChar w:fldCharType="end"/>
            </w:r>
          </w:hyperlink>
        </w:p>
        <w:p w14:paraId="071F8261" w14:textId="1A336E99"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3" w:history="1">
            <w:r w:rsidR="00E1722D" w:rsidRPr="006038F2">
              <w:rPr>
                <w:rStyle w:val="Hyperlink"/>
                <w:rFonts w:ascii="Times New Roman" w:hAnsi="Times New Roman" w:cs="Times New Roman"/>
                <w:noProof/>
              </w:rPr>
              <w:t>2.4.3 Subcutaneous vaccination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20</w:t>
            </w:r>
            <w:r w:rsidR="00E1722D" w:rsidRPr="006038F2">
              <w:rPr>
                <w:rFonts w:ascii="Times New Roman" w:hAnsi="Times New Roman" w:cs="Times New Roman"/>
                <w:noProof/>
                <w:webHidden/>
              </w:rPr>
              <w:fldChar w:fldCharType="end"/>
            </w:r>
          </w:hyperlink>
        </w:p>
        <w:p w14:paraId="5ED96A46" w14:textId="609188AF"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54" w:history="1">
            <w:r w:rsidR="00E1722D" w:rsidRPr="006038F2">
              <w:rPr>
                <w:rStyle w:val="Hyperlink"/>
                <w:rFonts w:ascii="Times New Roman" w:hAnsi="Times New Roman" w:cs="Times New Roman"/>
                <w:noProof/>
              </w:rPr>
              <w:t>2.5 Discussion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22</w:t>
            </w:r>
            <w:r w:rsidR="00E1722D" w:rsidRPr="006038F2">
              <w:rPr>
                <w:rFonts w:ascii="Times New Roman" w:hAnsi="Times New Roman" w:cs="Times New Roman"/>
                <w:noProof/>
                <w:webHidden/>
              </w:rPr>
              <w:fldChar w:fldCharType="end"/>
            </w:r>
          </w:hyperlink>
        </w:p>
        <w:p w14:paraId="55CEF19F" w14:textId="03FCBE75"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5" w:history="1">
            <w:r w:rsidR="00E1722D" w:rsidRPr="006038F2">
              <w:rPr>
                <w:rStyle w:val="Hyperlink"/>
                <w:rFonts w:ascii="Times New Roman" w:hAnsi="Times New Roman" w:cs="Times New Roman"/>
                <w:noProof/>
              </w:rPr>
              <w:t>2.5.1 Intranasal application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22</w:t>
            </w:r>
            <w:r w:rsidR="00E1722D" w:rsidRPr="006038F2">
              <w:rPr>
                <w:rFonts w:ascii="Times New Roman" w:hAnsi="Times New Roman" w:cs="Times New Roman"/>
                <w:noProof/>
                <w:webHidden/>
              </w:rPr>
              <w:fldChar w:fldCharType="end"/>
            </w:r>
          </w:hyperlink>
        </w:p>
        <w:p w14:paraId="7F1833B4" w14:textId="6AAA6E41"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6" w:history="1">
            <w:r w:rsidR="00E1722D" w:rsidRPr="006038F2">
              <w:rPr>
                <w:rStyle w:val="Hyperlink"/>
                <w:rFonts w:ascii="Times New Roman" w:hAnsi="Times New Roman" w:cs="Times New Roman"/>
                <w:noProof/>
              </w:rPr>
              <w:t>2.5.2 Subcutaneous application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23</w:t>
            </w:r>
            <w:r w:rsidR="00E1722D" w:rsidRPr="006038F2">
              <w:rPr>
                <w:rFonts w:ascii="Times New Roman" w:hAnsi="Times New Roman" w:cs="Times New Roman"/>
                <w:noProof/>
                <w:webHidden/>
              </w:rPr>
              <w:fldChar w:fldCharType="end"/>
            </w:r>
          </w:hyperlink>
        </w:p>
        <w:p w14:paraId="5E848383" w14:textId="74FF4790"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7" w:history="1">
            <w:r w:rsidR="00E1722D" w:rsidRPr="006038F2">
              <w:rPr>
                <w:rStyle w:val="Hyperlink"/>
                <w:rFonts w:ascii="Times New Roman" w:hAnsi="Times New Roman" w:cs="Times New Roman"/>
                <w:noProof/>
                <w:lang w:eastAsia="en-US"/>
              </w:rPr>
              <w:t>2.5.3 IVIS Field of View</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24</w:t>
            </w:r>
            <w:r w:rsidR="00E1722D" w:rsidRPr="006038F2">
              <w:rPr>
                <w:rFonts w:ascii="Times New Roman" w:hAnsi="Times New Roman" w:cs="Times New Roman"/>
                <w:noProof/>
                <w:webHidden/>
              </w:rPr>
              <w:fldChar w:fldCharType="end"/>
            </w:r>
          </w:hyperlink>
        </w:p>
        <w:p w14:paraId="1CB633D9" w14:textId="65CCD956"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8" w:history="1">
            <w:r w:rsidR="00E1722D" w:rsidRPr="006038F2">
              <w:rPr>
                <w:rStyle w:val="Hyperlink"/>
                <w:rFonts w:ascii="Times New Roman" w:hAnsi="Times New Roman" w:cs="Times New Roman"/>
                <w:noProof/>
                <w:lang w:eastAsia="en-US"/>
              </w:rPr>
              <w:t>2.5.4 Adverse reactions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25</w:t>
            </w:r>
            <w:r w:rsidR="00E1722D" w:rsidRPr="006038F2">
              <w:rPr>
                <w:rFonts w:ascii="Times New Roman" w:hAnsi="Times New Roman" w:cs="Times New Roman"/>
                <w:noProof/>
                <w:webHidden/>
              </w:rPr>
              <w:fldChar w:fldCharType="end"/>
            </w:r>
          </w:hyperlink>
        </w:p>
        <w:p w14:paraId="14EFDDF5" w14:textId="58ADD6BA"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59" w:history="1">
            <w:r w:rsidR="00E1722D" w:rsidRPr="006038F2">
              <w:rPr>
                <w:rStyle w:val="Hyperlink"/>
                <w:rFonts w:ascii="Times New Roman" w:hAnsi="Times New Roman" w:cs="Times New Roman"/>
                <w:noProof/>
                <w:lang w:eastAsia="en-US"/>
              </w:rPr>
              <w:t>2.5.4 Potential Limitations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_Toc172659159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26</w:t>
            </w:r>
            <w:r w:rsidR="00E1722D" w:rsidRPr="006038F2">
              <w:rPr>
                <w:rFonts w:ascii="Times New Roman" w:hAnsi="Times New Roman" w:cs="Times New Roman"/>
                <w:noProof/>
                <w:webHidden/>
              </w:rPr>
              <w:fldChar w:fldCharType="end"/>
            </w:r>
          </w:hyperlink>
        </w:p>
        <w:p w14:paraId="5122B67A" w14:textId="269C4006"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60" w:history="1">
            <w:r w:rsidR="00E1722D" w:rsidRPr="006038F2">
              <w:rPr>
                <w:rStyle w:val="Hyperlink"/>
                <w:rFonts w:ascii="Times New Roman" w:hAnsi="Times New Roman" w:cs="Times New Roman"/>
                <w:noProof/>
              </w:rPr>
              <w:t>Chapter 3</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27</w:t>
            </w:r>
            <w:r w:rsidR="00E1722D" w:rsidRPr="006038F2">
              <w:rPr>
                <w:rFonts w:ascii="Times New Roman" w:hAnsi="Times New Roman" w:cs="Times New Roman"/>
                <w:noProof/>
                <w:webHidden/>
              </w:rPr>
              <w:fldChar w:fldCharType="end"/>
            </w:r>
          </w:hyperlink>
        </w:p>
        <w:p w14:paraId="3BBF422F" w14:textId="63A8E670"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61" w:history="1">
            <w:r w:rsidR="00E1722D" w:rsidRPr="006038F2">
              <w:rPr>
                <w:rStyle w:val="Hyperlink"/>
                <w:rFonts w:ascii="Times New Roman" w:hAnsi="Times New Roman" w:cs="Times New Roman"/>
                <w:noProof/>
              </w:rPr>
              <w:t>Differential Gene Expression After GC Administration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27</w:t>
            </w:r>
            <w:r w:rsidR="00E1722D" w:rsidRPr="006038F2">
              <w:rPr>
                <w:rFonts w:ascii="Times New Roman" w:hAnsi="Times New Roman" w:cs="Times New Roman"/>
                <w:noProof/>
                <w:webHidden/>
              </w:rPr>
              <w:fldChar w:fldCharType="end"/>
            </w:r>
          </w:hyperlink>
        </w:p>
        <w:p w14:paraId="335AD313" w14:textId="689A62D9"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62" w:history="1">
            <w:r w:rsidR="00E1722D" w:rsidRPr="006038F2">
              <w:rPr>
                <w:rStyle w:val="Hyperlink"/>
                <w:rFonts w:ascii="Times New Roman" w:hAnsi="Times New Roman" w:cs="Times New Roman"/>
                <w:noProof/>
              </w:rPr>
              <w:t>3.1 Objective</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27</w:t>
            </w:r>
            <w:r w:rsidR="00E1722D" w:rsidRPr="006038F2">
              <w:rPr>
                <w:rFonts w:ascii="Times New Roman" w:hAnsi="Times New Roman" w:cs="Times New Roman"/>
                <w:noProof/>
                <w:webHidden/>
              </w:rPr>
              <w:fldChar w:fldCharType="end"/>
            </w:r>
          </w:hyperlink>
        </w:p>
        <w:p w14:paraId="3E605D1D" w14:textId="730C4ECA"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63" w:history="1">
            <w:r w:rsidR="00E1722D" w:rsidRPr="006038F2">
              <w:rPr>
                <w:rStyle w:val="Hyperlink"/>
                <w:rFonts w:ascii="Times New Roman" w:hAnsi="Times New Roman" w:cs="Times New Roman"/>
                <w:noProof/>
              </w:rPr>
              <w:t>3.2. Materials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27</w:t>
            </w:r>
            <w:r w:rsidR="00E1722D" w:rsidRPr="006038F2">
              <w:rPr>
                <w:rFonts w:ascii="Times New Roman" w:hAnsi="Times New Roman" w:cs="Times New Roman"/>
                <w:noProof/>
                <w:webHidden/>
              </w:rPr>
              <w:fldChar w:fldCharType="end"/>
            </w:r>
          </w:hyperlink>
        </w:p>
        <w:p w14:paraId="11E0F9E1" w14:textId="7E2B4B58"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64" w:history="1">
            <w:r w:rsidR="00E1722D" w:rsidRPr="006038F2">
              <w:rPr>
                <w:rStyle w:val="Hyperlink"/>
                <w:rFonts w:ascii="Times New Roman" w:hAnsi="Times New Roman" w:cs="Times New Roman"/>
                <w:noProof/>
              </w:rPr>
              <w:t>3.3. Methods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28</w:t>
            </w:r>
            <w:r w:rsidR="00E1722D" w:rsidRPr="006038F2">
              <w:rPr>
                <w:rFonts w:ascii="Times New Roman" w:hAnsi="Times New Roman" w:cs="Times New Roman"/>
                <w:noProof/>
                <w:webHidden/>
              </w:rPr>
              <w:fldChar w:fldCharType="end"/>
            </w:r>
          </w:hyperlink>
        </w:p>
        <w:p w14:paraId="7EDEE621" w14:textId="52D453FE"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65" w:history="1">
            <w:r w:rsidR="00E1722D" w:rsidRPr="006038F2">
              <w:rPr>
                <w:rStyle w:val="Hyperlink"/>
                <w:rFonts w:ascii="Times New Roman" w:hAnsi="Times New Roman" w:cs="Times New Roman"/>
                <w:noProof/>
              </w:rPr>
              <w:t>3.3.1. Intranasal vaccination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28</w:t>
            </w:r>
            <w:r w:rsidR="00E1722D" w:rsidRPr="006038F2">
              <w:rPr>
                <w:rFonts w:ascii="Times New Roman" w:hAnsi="Times New Roman" w:cs="Times New Roman"/>
                <w:noProof/>
                <w:webHidden/>
              </w:rPr>
              <w:fldChar w:fldCharType="end"/>
            </w:r>
          </w:hyperlink>
        </w:p>
        <w:p w14:paraId="482F856F" w14:textId="4114C50C"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66" w:history="1">
            <w:r w:rsidR="00E1722D" w:rsidRPr="006038F2">
              <w:rPr>
                <w:rStyle w:val="Hyperlink"/>
                <w:rFonts w:ascii="Times New Roman" w:hAnsi="Times New Roman" w:cs="Times New Roman"/>
                <w:noProof/>
              </w:rPr>
              <w:t>3.3.2. NALT extraction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28</w:t>
            </w:r>
            <w:r w:rsidR="00E1722D" w:rsidRPr="006038F2">
              <w:rPr>
                <w:rFonts w:ascii="Times New Roman" w:hAnsi="Times New Roman" w:cs="Times New Roman"/>
                <w:noProof/>
                <w:webHidden/>
              </w:rPr>
              <w:fldChar w:fldCharType="end"/>
            </w:r>
          </w:hyperlink>
        </w:p>
        <w:p w14:paraId="621EE07E" w14:textId="02D0B379"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67" w:history="1">
            <w:r w:rsidR="00E1722D" w:rsidRPr="006038F2">
              <w:rPr>
                <w:rStyle w:val="Hyperlink"/>
                <w:rFonts w:ascii="Times New Roman" w:hAnsi="Times New Roman" w:cs="Times New Roman"/>
                <w:noProof/>
              </w:rPr>
              <w:t>3.3.3. RNA extraction and preparation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29</w:t>
            </w:r>
            <w:r w:rsidR="00E1722D" w:rsidRPr="006038F2">
              <w:rPr>
                <w:rFonts w:ascii="Times New Roman" w:hAnsi="Times New Roman" w:cs="Times New Roman"/>
                <w:noProof/>
                <w:webHidden/>
              </w:rPr>
              <w:fldChar w:fldCharType="end"/>
            </w:r>
          </w:hyperlink>
        </w:p>
        <w:p w14:paraId="55973490" w14:textId="629021DD"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68" w:history="1">
            <w:r w:rsidR="00E1722D" w:rsidRPr="006038F2">
              <w:rPr>
                <w:rStyle w:val="Hyperlink"/>
                <w:rFonts w:ascii="Times New Roman" w:hAnsi="Times New Roman" w:cs="Times New Roman"/>
                <w:noProof/>
              </w:rPr>
              <w:t>3.3.4. RNA processing and sequencing</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30</w:t>
            </w:r>
            <w:r w:rsidR="00E1722D" w:rsidRPr="006038F2">
              <w:rPr>
                <w:rFonts w:ascii="Times New Roman" w:hAnsi="Times New Roman" w:cs="Times New Roman"/>
                <w:noProof/>
                <w:webHidden/>
              </w:rPr>
              <w:fldChar w:fldCharType="end"/>
            </w:r>
          </w:hyperlink>
        </w:p>
        <w:p w14:paraId="24C85CA5" w14:textId="3B51B94F"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69" w:history="1">
            <w:r w:rsidR="00E1722D" w:rsidRPr="006038F2">
              <w:rPr>
                <w:rStyle w:val="Hyperlink"/>
                <w:rFonts w:ascii="Times New Roman" w:hAnsi="Times New Roman" w:cs="Times New Roman"/>
                <w:noProof/>
              </w:rPr>
              <w:t>3.3.5 Previous study’s BMDC culture and stimulation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_Toc172659169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30</w:t>
            </w:r>
            <w:r w:rsidR="00E1722D" w:rsidRPr="006038F2">
              <w:rPr>
                <w:rFonts w:ascii="Times New Roman" w:hAnsi="Times New Roman" w:cs="Times New Roman"/>
                <w:noProof/>
                <w:webHidden/>
              </w:rPr>
              <w:fldChar w:fldCharType="end"/>
            </w:r>
          </w:hyperlink>
        </w:p>
        <w:p w14:paraId="3596E1BC" w14:textId="0E7F9F38"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70" w:history="1">
            <w:r w:rsidR="00E1722D" w:rsidRPr="006038F2">
              <w:rPr>
                <w:rStyle w:val="Hyperlink"/>
                <w:rFonts w:ascii="Times New Roman" w:hAnsi="Times New Roman" w:cs="Times New Roman"/>
                <w:noProof/>
              </w:rPr>
              <w:t>3.4. Results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31</w:t>
            </w:r>
            <w:r w:rsidR="00E1722D" w:rsidRPr="006038F2">
              <w:rPr>
                <w:rFonts w:ascii="Times New Roman" w:hAnsi="Times New Roman" w:cs="Times New Roman"/>
                <w:noProof/>
                <w:webHidden/>
              </w:rPr>
              <w:fldChar w:fldCharType="end"/>
            </w:r>
          </w:hyperlink>
        </w:p>
        <w:p w14:paraId="785EC12F" w14:textId="510422DF"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71" w:history="1">
            <w:r w:rsidR="00E1722D" w:rsidRPr="006038F2">
              <w:rPr>
                <w:rStyle w:val="Hyperlink"/>
                <w:rFonts w:ascii="Times New Roman" w:hAnsi="Times New Roman" w:cs="Times New Roman"/>
                <w:noProof/>
              </w:rPr>
              <w:t>3.4.1 Study basis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31</w:t>
            </w:r>
            <w:r w:rsidR="00E1722D" w:rsidRPr="006038F2">
              <w:rPr>
                <w:rFonts w:ascii="Times New Roman" w:hAnsi="Times New Roman" w:cs="Times New Roman"/>
                <w:noProof/>
                <w:webHidden/>
              </w:rPr>
              <w:fldChar w:fldCharType="end"/>
            </w:r>
          </w:hyperlink>
        </w:p>
        <w:p w14:paraId="66262ABF" w14:textId="61475909"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72" w:history="1">
            <w:r w:rsidR="00E1722D" w:rsidRPr="006038F2">
              <w:rPr>
                <w:rStyle w:val="Hyperlink"/>
                <w:rFonts w:ascii="Times New Roman" w:hAnsi="Times New Roman" w:cs="Times New Roman"/>
                <w:noProof/>
              </w:rPr>
              <w:t>3.4.2 Current results versus previous results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32</w:t>
            </w:r>
            <w:r w:rsidR="00E1722D" w:rsidRPr="006038F2">
              <w:rPr>
                <w:rFonts w:ascii="Times New Roman" w:hAnsi="Times New Roman" w:cs="Times New Roman"/>
                <w:noProof/>
                <w:webHidden/>
              </w:rPr>
              <w:fldChar w:fldCharType="end"/>
            </w:r>
          </w:hyperlink>
        </w:p>
        <w:p w14:paraId="6142D932" w14:textId="04427546"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73" w:history="1">
            <w:r w:rsidR="00E1722D" w:rsidRPr="006038F2">
              <w:rPr>
                <w:rStyle w:val="Hyperlink"/>
                <w:rFonts w:ascii="Times New Roman" w:hAnsi="Times New Roman" w:cs="Times New Roman"/>
                <w:noProof/>
              </w:rPr>
              <w:t>3.4.3 Sample RNA readings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35</w:t>
            </w:r>
            <w:r w:rsidR="00E1722D" w:rsidRPr="006038F2">
              <w:rPr>
                <w:rFonts w:ascii="Times New Roman" w:hAnsi="Times New Roman" w:cs="Times New Roman"/>
                <w:noProof/>
                <w:webHidden/>
              </w:rPr>
              <w:fldChar w:fldCharType="end"/>
            </w:r>
          </w:hyperlink>
        </w:p>
        <w:p w14:paraId="5C933E03" w14:textId="1550F9B8"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74" w:history="1">
            <w:r w:rsidR="00E1722D" w:rsidRPr="006038F2">
              <w:rPr>
                <w:rStyle w:val="Hyperlink"/>
                <w:rFonts w:ascii="Times New Roman" w:hAnsi="Times New Roman" w:cs="Times New Roman"/>
                <w:noProof/>
              </w:rPr>
              <w:t>3.5 Discussion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36</w:t>
            </w:r>
            <w:r w:rsidR="00E1722D" w:rsidRPr="006038F2">
              <w:rPr>
                <w:rFonts w:ascii="Times New Roman" w:hAnsi="Times New Roman" w:cs="Times New Roman"/>
                <w:noProof/>
                <w:webHidden/>
              </w:rPr>
              <w:fldChar w:fldCharType="end"/>
            </w:r>
          </w:hyperlink>
        </w:p>
        <w:p w14:paraId="17BED3AE" w14:textId="3DEBD172"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75" w:history="1">
            <w:r w:rsidR="00E1722D" w:rsidRPr="006038F2">
              <w:rPr>
                <w:rStyle w:val="Hyperlink"/>
                <w:rFonts w:ascii="Times New Roman" w:hAnsi="Times New Roman" w:cs="Times New Roman"/>
                <w:noProof/>
              </w:rPr>
              <w:t>3.5.1 Expression difference interpretation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36</w:t>
            </w:r>
            <w:r w:rsidR="00E1722D" w:rsidRPr="006038F2">
              <w:rPr>
                <w:rFonts w:ascii="Times New Roman" w:hAnsi="Times New Roman" w:cs="Times New Roman"/>
                <w:noProof/>
                <w:webHidden/>
              </w:rPr>
              <w:fldChar w:fldCharType="end"/>
            </w:r>
          </w:hyperlink>
        </w:p>
        <w:p w14:paraId="0ECB84D8" w14:textId="0BAE0941"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76" w:history="1">
            <w:r w:rsidR="00E1722D" w:rsidRPr="006038F2">
              <w:rPr>
                <w:rStyle w:val="Hyperlink"/>
                <w:rFonts w:ascii="Times New Roman" w:hAnsi="Times New Roman" w:cs="Times New Roman"/>
                <w:noProof/>
              </w:rPr>
              <w:t>3.5.2 RNA quality assessment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37</w:t>
            </w:r>
            <w:r w:rsidR="00E1722D" w:rsidRPr="006038F2">
              <w:rPr>
                <w:rFonts w:ascii="Times New Roman" w:hAnsi="Times New Roman" w:cs="Times New Roman"/>
                <w:noProof/>
                <w:webHidden/>
              </w:rPr>
              <w:fldChar w:fldCharType="end"/>
            </w:r>
          </w:hyperlink>
        </w:p>
        <w:p w14:paraId="30B402A6" w14:textId="29AB7AF9"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77" w:history="1">
            <w:r w:rsidR="00E1722D" w:rsidRPr="006038F2">
              <w:rPr>
                <w:rStyle w:val="Hyperlink"/>
                <w:rFonts w:ascii="Times New Roman" w:hAnsi="Times New Roman" w:cs="Times New Roman"/>
                <w:noProof/>
              </w:rPr>
              <w:t>3.5.3 Reasons for variable results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38</w:t>
            </w:r>
            <w:r w:rsidR="00E1722D" w:rsidRPr="006038F2">
              <w:rPr>
                <w:rFonts w:ascii="Times New Roman" w:hAnsi="Times New Roman" w:cs="Times New Roman"/>
                <w:noProof/>
                <w:webHidden/>
              </w:rPr>
              <w:fldChar w:fldCharType="end"/>
            </w:r>
          </w:hyperlink>
        </w:p>
        <w:p w14:paraId="04D66C48" w14:textId="42A75F49"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78" w:history="1">
            <w:r w:rsidR="00E1722D" w:rsidRPr="006038F2">
              <w:rPr>
                <w:rStyle w:val="Hyperlink"/>
                <w:rFonts w:ascii="Times New Roman" w:hAnsi="Times New Roman" w:cs="Times New Roman"/>
                <w:noProof/>
              </w:rPr>
              <w:t>Chapter 4</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40</w:t>
            </w:r>
            <w:r w:rsidR="00E1722D" w:rsidRPr="006038F2">
              <w:rPr>
                <w:rFonts w:ascii="Times New Roman" w:hAnsi="Times New Roman" w:cs="Times New Roman"/>
                <w:noProof/>
                <w:webHidden/>
              </w:rPr>
              <w:fldChar w:fldCharType="end"/>
            </w:r>
          </w:hyperlink>
        </w:p>
        <w:p w14:paraId="3104AEB2" w14:textId="41C35A0B"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79" w:history="1">
            <w:r w:rsidR="00E1722D" w:rsidRPr="006038F2">
              <w:rPr>
                <w:rStyle w:val="Hyperlink"/>
                <w:rFonts w:ascii="Times New Roman" w:hAnsi="Times New Roman" w:cs="Times New Roman"/>
                <w:noProof/>
              </w:rPr>
              <w:t>Conclusions and Future Directions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_Toc172659179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40</w:t>
            </w:r>
            <w:r w:rsidR="00E1722D" w:rsidRPr="006038F2">
              <w:rPr>
                <w:rFonts w:ascii="Times New Roman" w:hAnsi="Times New Roman" w:cs="Times New Roman"/>
                <w:noProof/>
                <w:webHidden/>
              </w:rPr>
              <w:fldChar w:fldCharType="end"/>
            </w:r>
          </w:hyperlink>
        </w:p>
        <w:p w14:paraId="1BAEA068" w14:textId="17B73513"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80" w:history="1">
            <w:r w:rsidR="00E1722D" w:rsidRPr="006038F2">
              <w:rPr>
                <w:rStyle w:val="Hyperlink"/>
                <w:rFonts w:ascii="Times New Roman" w:hAnsi="Times New Roman" w:cs="Times New Roman"/>
                <w:noProof/>
              </w:rPr>
              <w:t>4.1 Conclusion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40</w:t>
            </w:r>
            <w:r w:rsidR="00E1722D" w:rsidRPr="006038F2">
              <w:rPr>
                <w:rFonts w:ascii="Times New Roman" w:hAnsi="Times New Roman" w:cs="Times New Roman"/>
                <w:noProof/>
                <w:webHidden/>
              </w:rPr>
              <w:fldChar w:fldCharType="end"/>
            </w:r>
          </w:hyperlink>
        </w:p>
        <w:p w14:paraId="154C8309" w14:textId="29AE1D7B"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81" w:history="1">
            <w:r w:rsidR="00E1722D" w:rsidRPr="006038F2">
              <w:rPr>
                <w:rStyle w:val="Hyperlink"/>
                <w:rFonts w:ascii="Times New Roman" w:hAnsi="Times New Roman" w:cs="Times New Roman"/>
                <w:noProof/>
              </w:rPr>
              <w:t>4.2 Future Directions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41</w:t>
            </w:r>
            <w:r w:rsidR="00E1722D" w:rsidRPr="006038F2">
              <w:rPr>
                <w:rFonts w:ascii="Times New Roman" w:hAnsi="Times New Roman" w:cs="Times New Roman"/>
                <w:noProof/>
                <w:webHidden/>
              </w:rPr>
              <w:fldChar w:fldCharType="end"/>
            </w:r>
          </w:hyperlink>
        </w:p>
        <w:p w14:paraId="334BAE29" w14:textId="01EFD77E"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82" w:history="1">
            <w:r w:rsidR="00E1722D" w:rsidRPr="006038F2">
              <w:rPr>
                <w:rStyle w:val="Hyperlink"/>
                <w:rFonts w:ascii="Times New Roman" w:hAnsi="Times New Roman" w:cs="Times New Roman"/>
                <w:noProof/>
                <w:lang w:eastAsia="en-US"/>
              </w:rPr>
              <w:t>4.2.1 IVIS study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41</w:t>
            </w:r>
            <w:r w:rsidR="00E1722D" w:rsidRPr="006038F2">
              <w:rPr>
                <w:rFonts w:ascii="Times New Roman" w:hAnsi="Times New Roman" w:cs="Times New Roman"/>
                <w:noProof/>
                <w:webHidden/>
              </w:rPr>
              <w:fldChar w:fldCharType="end"/>
            </w:r>
          </w:hyperlink>
        </w:p>
        <w:p w14:paraId="79653614" w14:textId="282AFCBC"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83" w:history="1">
            <w:r w:rsidR="00E1722D" w:rsidRPr="006038F2">
              <w:rPr>
                <w:rStyle w:val="Hyperlink"/>
                <w:rFonts w:ascii="Times New Roman" w:hAnsi="Times New Roman" w:cs="Times New Roman"/>
                <w:noProof/>
                <w:lang w:eastAsia="en-US"/>
              </w:rPr>
              <w:t>4.2.2 Homogenization method</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41</w:t>
            </w:r>
            <w:r w:rsidR="00E1722D" w:rsidRPr="006038F2">
              <w:rPr>
                <w:rFonts w:ascii="Times New Roman" w:hAnsi="Times New Roman" w:cs="Times New Roman"/>
                <w:noProof/>
                <w:webHidden/>
              </w:rPr>
              <w:fldChar w:fldCharType="end"/>
            </w:r>
          </w:hyperlink>
        </w:p>
        <w:p w14:paraId="3AD89FA4" w14:textId="54E37159"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84" w:history="1">
            <w:r w:rsidR="00E1722D" w:rsidRPr="006038F2">
              <w:rPr>
                <w:rStyle w:val="Hyperlink"/>
                <w:rFonts w:ascii="Times New Roman" w:hAnsi="Times New Roman" w:cs="Times New Roman"/>
                <w:noProof/>
                <w:lang w:eastAsia="en-US"/>
              </w:rPr>
              <w:t>4.2.3 Studies for future applications of GC</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42</w:t>
            </w:r>
            <w:r w:rsidR="00E1722D" w:rsidRPr="006038F2">
              <w:rPr>
                <w:rFonts w:ascii="Times New Roman" w:hAnsi="Times New Roman" w:cs="Times New Roman"/>
                <w:noProof/>
                <w:webHidden/>
              </w:rPr>
              <w:fldChar w:fldCharType="end"/>
            </w:r>
          </w:hyperlink>
        </w:p>
        <w:p w14:paraId="23713284" w14:textId="3A69481C"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85" w:history="1">
            <w:r w:rsidR="00E1722D" w:rsidRPr="006038F2">
              <w:rPr>
                <w:rStyle w:val="Hyperlink"/>
                <w:rFonts w:ascii="Times New Roman" w:hAnsi="Times New Roman" w:cs="Times New Roman"/>
                <w:noProof/>
              </w:rPr>
              <w:t>Bibliography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44</w:t>
            </w:r>
            <w:r w:rsidR="00E1722D" w:rsidRPr="006038F2">
              <w:rPr>
                <w:rFonts w:ascii="Times New Roman" w:hAnsi="Times New Roman" w:cs="Times New Roman"/>
                <w:noProof/>
                <w:webHidden/>
              </w:rPr>
              <w:fldChar w:fldCharType="end"/>
            </w:r>
          </w:hyperlink>
        </w:p>
        <w:p w14:paraId="48ABC6EC" w14:textId="44CFE02B" w:rsidR="00E1722D" w:rsidRPr="006038F2" w:rsidRDefault="00000000">
          <w:pPr>
            <w:pStyle w:val="TOC1"/>
            <w:tabs>
              <w:tab w:val="right" w:leader="dot" w:pos="9350"/>
            </w:tabs>
            <w:rPr>
              <w:rFonts w:ascii="Times New Roman" w:hAnsi="Times New Roman" w:cs="Times New Roman"/>
              <w:b w:val="0"/>
              <w:bCs w:val="0"/>
              <w:i w:val="0"/>
              <w:iCs w:val="0"/>
              <w:noProof/>
              <w:kern w:val="2"/>
              <w:lang w:eastAsia="en-US"/>
              <w14:ligatures w14:val="standardContextual"/>
            </w:rPr>
          </w:pPr>
          <w:hyperlink w:anchor="_Toc172659186" w:history="1">
            <w:r w:rsidR="00E1722D" w:rsidRPr="006038F2">
              <w:rPr>
                <w:rStyle w:val="Hyperlink"/>
                <w:rFonts w:ascii="Times New Roman" w:hAnsi="Times New Roman" w:cs="Times New Roman"/>
                <w:noProof/>
              </w:rPr>
              <w:t>Supplemental Materials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47</w:t>
            </w:r>
            <w:r w:rsidR="00E1722D" w:rsidRPr="006038F2">
              <w:rPr>
                <w:rFonts w:ascii="Times New Roman" w:hAnsi="Times New Roman" w:cs="Times New Roman"/>
                <w:noProof/>
                <w:webHidden/>
              </w:rPr>
              <w:fldChar w:fldCharType="end"/>
            </w:r>
          </w:hyperlink>
        </w:p>
        <w:p w14:paraId="00FB24D4" w14:textId="7057C2D3"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87" w:history="1">
            <w:r w:rsidR="00E1722D" w:rsidRPr="006038F2">
              <w:rPr>
                <w:rStyle w:val="Hyperlink"/>
                <w:rFonts w:ascii="Times New Roman" w:hAnsi="Times New Roman" w:cs="Times New Roman"/>
                <w:noProof/>
              </w:rPr>
              <w:t>Appendix A: IVIS Adverse Reactions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47</w:t>
            </w:r>
            <w:r w:rsidR="00E1722D" w:rsidRPr="006038F2">
              <w:rPr>
                <w:rFonts w:ascii="Times New Roman" w:hAnsi="Times New Roman" w:cs="Times New Roman"/>
                <w:noProof/>
                <w:webHidden/>
              </w:rPr>
              <w:fldChar w:fldCharType="end"/>
            </w:r>
          </w:hyperlink>
        </w:p>
        <w:p w14:paraId="3DC08B5E" w14:textId="57C751FE"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88" w:history="1">
            <w:r w:rsidR="00E1722D" w:rsidRPr="006038F2">
              <w:rPr>
                <w:rStyle w:val="Hyperlink"/>
                <w:rFonts w:ascii="Times New Roman" w:hAnsi="Times New Roman" w:cs="Times New Roman"/>
                <w:noProof/>
              </w:rPr>
              <w:t>Appendix B: Previous RNA Sequencing</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47</w:t>
            </w:r>
            <w:r w:rsidR="00E1722D" w:rsidRPr="006038F2">
              <w:rPr>
                <w:rFonts w:ascii="Times New Roman" w:hAnsi="Times New Roman" w:cs="Times New Roman"/>
                <w:noProof/>
                <w:webHidden/>
              </w:rPr>
              <w:fldChar w:fldCharType="end"/>
            </w:r>
          </w:hyperlink>
        </w:p>
        <w:p w14:paraId="1EAF7164" w14:textId="0F1BA83E"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89" w:history="1">
            <w:r w:rsidR="00E1722D" w:rsidRPr="006038F2">
              <w:rPr>
                <w:rStyle w:val="Hyperlink"/>
                <w:rFonts w:ascii="Times New Roman" w:hAnsi="Times New Roman" w:cs="Times New Roman"/>
                <w:noProof/>
                <w:lang w:eastAsia="en-US"/>
              </w:rPr>
              <w:t>Appendix C: IVIS Optimization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_Toc172659189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50</w:t>
            </w:r>
            <w:r w:rsidR="00E1722D" w:rsidRPr="006038F2">
              <w:rPr>
                <w:rFonts w:ascii="Times New Roman" w:hAnsi="Times New Roman" w:cs="Times New Roman"/>
                <w:noProof/>
                <w:webHidden/>
              </w:rPr>
              <w:fldChar w:fldCharType="end"/>
            </w:r>
          </w:hyperlink>
        </w:p>
        <w:p w14:paraId="4B9DB8E8" w14:textId="550FC496"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90" w:history="1">
            <w:r w:rsidR="00E1722D" w:rsidRPr="006038F2">
              <w:rPr>
                <w:rStyle w:val="Hyperlink"/>
                <w:rFonts w:ascii="Times New Roman" w:hAnsi="Times New Roman" w:cs="Times New Roman"/>
                <w:noProof/>
                <w:lang w:eastAsia="en-US"/>
              </w:rPr>
              <w:t>C1: Chlorophyll Free Diet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50</w:t>
            </w:r>
            <w:r w:rsidR="00E1722D" w:rsidRPr="006038F2">
              <w:rPr>
                <w:rFonts w:ascii="Times New Roman" w:hAnsi="Times New Roman" w:cs="Times New Roman"/>
                <w:noProof/>
                <w:webHidden/>
              </w:rPr>
              <w:fldChar w:fldCharType="end"/>
            </w:r>
          </w:hyperlink>
        </w:p>
        <w:p w14:paraId="7CCB833B" w14:textId="5EE371E5"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91" w:history="1">
            <w:r w:rsidR="00E1722D" w:rsidRPr="006038F2">
              <w:rPr>
                <w:rStyle w:val="Hyperlink"/>
                <w:rFonts w:ascii="Times New Roman" w:hAnsi="Times New Roman" w:cs="Times New Roman"/>
                <w:noProof/>
                <w:lang w:eastAsia="en-US"/>
              </w:rPr>
              <w:t>C2: IVIS Field of Views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51</w:t>
            </w:r>
            <w:r w:rsidR="00E1722D" w:rsidRPr="006038F2">
              <w:rPr>
                <w:rFonts w:ascii="Times New Roman" w:hAnsi="Times New Roman" w:cs="Times New Roman"/>
                <w:noProof/>
                <w:webHidden/>
              </w:rPr>
              <w:fldChar w:fldCharType="end"/>
            </w:r>
          </w:hyperlink>
        </w:p>
        <w:p w14:paraId="26765E4E" w14:textId="36459490"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92" w:history="1">
            <w:r w:rsidR="00E1722D" w:rsidRPr="006038F2">
              <w:rPr>
                <w:rStyle w:val="Hyperlink"/>
                <w:rFonts w:ascii="Times New Roman" w:hAnsi="Times New Roman" w:cs="Times New Roman"/>
                <w:noProof/>
              </w:rPr>
              <w:t>C3: Initial Round Relevant Results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52</w:t>
            </w:r>
            <w:r w:rsidR="00E1722D" w:rsidRPr="006038F2">
              <w:rPr>
                <w:rFonts w:ascii="Times New Roman" w:hAnsi="Times New Roman" w:cs="Times New Roman"/>
                <w:noProof/>
                <w:webHidden/>
              </w:rPr>
              <w:fldChar w:fldCharType="end"/>
            </w:r>
          </w:hyperlink>
        </w:p>
        <w:p w14:paraId="260C9128" w14:textId="75F10053"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93" w:history="1">
            <w:r w:rsidR="00E1722D" w:rsidRPr="006038F2">
              <w:rPr>
                <w:rStyle w:val="Hyperlink"/>
                <w:rFonts w:ascii="Times New Roman" w:hAnsi="Times New Roman" w:cs="Times New Roman"/>
                <w:noProof/>
              </w:rPr>
              <w:t>Appendix D: Previous COVID survival study with GC</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55</w:t>
            </w:r>
            <w:r w:rsidR="00E1722D" w:rsidRPr="006038F2">
              <w:rPr>
                <w:rFonts w:ascii="Times New Roman" w:hAnsi="Times New Roman" w:cs="Times New Roman"/>
                <w:noProof/>
                <w:webHidden/>
              </w:rPr>
              <w:fldChar w:fldCharType="end"/>
            </w:r>
          </w:hyperlink>
        </w:p>
        <w:p w14:paraId="4B29758F" w14:textId="40DAE8AF" w:rsidR="00E1722D" w:rsidRPr="006038F2" w:rsidRDefault="00000000">
          <w:pPr>
            <w:pStyle w:val="TOC2"/>
            <w:tabs>
              <w:tab w:val="right" w:leader="dot" w:pos="9350"/>
            </w:tabs>
            <w:rPr>
              <w:rFonts w:ascii="Times New Roman" w:hAnsi="Times New Roman" w:cs="Times New Roman"/>
              <w:b w:val="0"/>
              <w:bCs w:val="0"/>
              <w:noProof/>
              <w:kern w:val="2"/>
              <w:sz w:val="24"/>
              <w:szCs w:val="24"/>
              <w:lang w:eastAsia="en-US"/>
              <w14:ligatures w14:val="standardContextual"/>
            </w:rPr>
          </w:pPr>
          <w:hyperlink w:anchor="_Toc172659194" w:history="1">
            <w:r w:rsidR="00E1722D" w:rsidRPr="006038F2">
              <w:rPr>
                <w:rStyle w:val="Hyperlink"/>
                <w:rFonts w:ascii="Times New Roman" w:hAnsi="Times New Roman" w:cs="Times New Roman"/>
                <w:noProof/>
              </w:rPr>
              <w:t>Appendix E: Genotyping</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55</w:t>
            </w:r>
            <w:r w:rsidR="00E1722D" w:rsidRPr="006038F2">
              <w:rPr>
                <w:rFonts w:ascii="Times New Roman" w:hAnsi="Times New Roman" w:cs="Times New Roman"/>
                <w:noProof/>
                <w:webHidden/>
              </w:rPr>
              <w:fldChar w:fldCharType="end"/>
            </w:r>
          </w:hyperlink>
        </w:p>
        <w:p w14:paraId="108FDA79" w14:textId="688A892F"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95" w:history="1">
            <w:r w:rsidR="00E1722D" w:rsidRPr="006038F2">
              <w:rPr>
                <w:rStyle w:val="Hyperlink"/>
                <w:rFonts w:ascii="Times New Roman" w:hAnsi="Times New Roman" w:cs="Times New Roman"/>
                <w:noProof/>
              </w:rPr>
              <w:t>E1: Custom Primers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55</w:t>
            </w:r>
            <w:r w:rsidR="00E1722D" w:rsidRPr="006038F2">
              <w:rPr>
                <w:rFonts w:ascii="Times New Roman" w:hAnsi="Times New Roman" w:cs="Times New Roman"/>
                <w:noProof/>
                <w:webHidden/>
              </w:rPr>
              <w:fldChar w:fldCharType="end"/>
            </w:r>
          </w:hyperlink>
        </w:p>
        <w:p w14:paraId="79BD2088" w14:textId="7A73CD6C" w:rsidR="00E1722D" w:rsidRPr="006038F2" w:rsidRDefault="00000000">
          <w:pPr>
            <w:pStyle w:val="TOC3"/>
            <w:tabs>
              <w:tab w:val="right" w:leader="dot" w:pos="9350"/>
            </w:tabs>
            <w:rPr>
              <w:rFonts w:ascii="Times New Roman" w:hAnsi="Times New Roman" w:cs="Times New Roman"/>
              <w:noProof/>
              <w:kern w:val="2"/>
              <w:sz w:val="24"/>
              <w:szCs w:val="24"/>
              <w:lang w:eastAsia="en-US"/>
              <w14:ligatures w14:val="standardContextual"/>
            </w:rPr>
          </w:pPr>
          <w:hyperlink w:anchor="_Toc172659196" w:history="1">
            <w:r w:rsidR="00E1722D" w:rsidRPr="006038F2">
              <w:rPr>
                <w:rStyle w:val="Hyperlink"/>
                <w:rFonts w:ascii="Times New Roman" w:hAnsi="Times New Roman" w:cs="Times New Roman"/>
                <w:noProof/>
              </w:rPr>
              <w:t>E2: Protocol</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2F2F56" w:rsidRPr="006038F2">
              <w:rPr>
                <w:rFonts w:ascii="Times New Roman" w:hAnsi="Times New Roman" w:cs="Times New Roman"/>
                <w:noProof/>
                <w:webHidden/>
              </w:rPr>
              <w:t>56</w:t>
            </w:r>
            <w:r w:rsidR="00E1722D" w:rsidRPr="006038F2">
              <w:rPr>
                <w:rFonts w:ascii="Times New Roman" w:hAnsi="Times New Roman" w:cs="Times New Roman"/>
                <w:noProof/>
                <w:webHidden/>
              </w:rPr>
              <w:fldChar w:fldCharType="end"/>
            </w:r>
          </w:hyperlink>
        </w:p>
        <w:p w14:paraId="29F5CA59" w14:textId="6795F3AB" w:rsidR="0003572A" w:rsidRPr="006038F2" w:rsidRDefault="0003572A" w:rsidP="0003572A">
          <w:pPr>
            <w:rPr>
              <w:rFonts w:ascii="Times New Roman" w:hAnsi="Times New Roman" w:cs="Times New Roman"/>
              <w:b/>
              <w:bCs/>
              <w:noProof/>
            </w:rPr>
          </w:pPr>
          <w:r w:rsidRPr="006038F2">
            <w:rPr>
              <w:rFonts w:ascii="Times New Roman" w:hAnsi="Times New Roman" w:cs="Times New Roman"/>
              <w:b/>
              <w:bCs/>
              <w:noProof/>
            </w:rPr>
            <w:fldChar w:fldCharType="end"/>
          </w:r>
        </w:p>
      </w:sdtContent>
    </w:sdt>
    <w:p w14:paraId="55607A45" w14:textId="77777777" w:rsidR="0003572A" w:rsidRPr="006038F2" w:rsidRDefault="0003572A" w:rsidP="0003572A">
      <w:pPr>
        <w:rPr>
          <w:rFonts w:ascii="Times New Roman" w:hAnsi="Times New Roman" w:cs="Times New Roman"/>
          <w:b/>
          <w:bCs/>
          <w:noProof/>
        </w:rPr>
      </w:pPr>
      <w:r w:rsidRPr="006038F2">
        <w:rPr>
          <w:rFonts w:ascii="Times New Roman" w:hAnsi="Times New Roman" w:cs="Times New Roman"/>
        </w:rPr>
        <w:br w:type="page"/>
      </w:r>
    </w:p>
    <w:p w14:paraId="42B68952" w14:textId="70A827AF" w:rsidR="00E1722D" w:rsidRPr="006038F2" w:rsidRDefault="0003572A">
      <w:pPr>
        <w:pStyle w:val="TableofFigures"/>
        <w:tabs>
          <w:tab w:val="right" w:leader="dot" w:pos="9350"/>
        </w:tabs>
        <w:rPr>
          <w:rFonts w:ascii="Times New Roman" w:hAnsi="Times New Roman" w:cs="Times New Roman"/>
          <w:noProof/>
          <w:kern w:val="2"/>
          <w:lang w:eastAsia="en-US"/>
          <w14:ligatures w14:val="standardContextual"/>
        </w:rPr>
      </w:pPr>
      <w:r w:rsidRPr="006038F2">
        <w:rPr>
          <w:rFonts w:ascii="Times New Roman" w:hAnsi="Times New Roman" w:cs="Times New Roman"/>
        </w:rPr>
        <w:lastRenderedPageBreak/>
        <w:fldChar w:fldCharType="begin"/>
      </w:r>
      <w:r w:rsidRPr="006038F2">
        <w:rPr>
          <w:rFonts w:ascii="Times New Roman" w:hAnsi="Times New Roman" w:cs="Times New Roman"/>
        </w:rPr>
        <w:instrText xml:space="preserve"> TOC \h \z \c "Figure" </w:instrText>
      </w:r>
      <w:r w:rsidRPr="006038F2">
        <w:rPr>
          <w:rFonts w:ascii="Times New Roman" w:hAnsi="Times New Roman" w:cs="Times New Roman"/>
        </w:rPr>
        <w:fldChar w:fldCharType="separate"/>
      </w:r>
      <w:hyperlink w:anchor="_Toc172659198" w:history="1">
        <w:r w:rsidR="00E1722D" w:rsidRPr="006038F2">
          <w:rPr>
            <w:rStyle w:val="Hyperlink"/>
            <w:rFonts w:ascii="Times New Roman" w:hAnsi="Times New Roman" w:cs="Times New Roman"/>
            <w:b/>
            <w:bCs/>
            <w:noProof/>
          </w:rPr>
          <w:t xml:space="preserve">Figure 1: Glycated Chitosan Chemical Structure. </w:t>
        </w:r>
        <w:r w:rsidR="00E1722D" w:rsidRPr="006038F2">
          <w:rPr>
            <w:rStyle w:val="Hyperlink"/>
            <w:rFonts w:ascii="Times New Roman" w:hAnsi="Times New Roman" w:cs="Times New Roman"/>
            <w:noProof/>
          </w:rPr>
          <w:t>This figure shows the chemical structure of GC, a novel immunoadjuvant derived from parent chitosan.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2</w:t>
        </w:r>
        <w:r w:rsidR="00E1722D" w:rsidRPr="006038F2">
          <w:rPr>
            <w:rFonts w:ascii="Times New Roman" w:hAnsi="Times New Roman" w:cs="Times New Roman"/>
            <w:noProof/>
            <w:webHidden/>
          </w:rPr>
          <w:fldChar w:fldCharType="end"/>
        </w:r>
      </w:hyperlink>
    </w:p>
    <w:p w14:paraId="6FBEDAD7" w14:textId="165B3E67"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199" w:history="1">
        <w:r w:rsidR="00E1722D" w:rsidRPr="006038F2">
          <w:rPr>
            <w:rStyle w:val="Hyperlink"/>
            <w:rFonts w:ascii="Times New Roman" w:hAnsi="Times New Roman" w:cs="Times New Roman"/>
            <w:b/>
            <w:bCs/>
            <w:noProof/>
          </w:rPr>
          <w:t xml:space="preserve">Figure 2: Previous results using LIT. </w:t>
        </w:r>
        <w:r w:rsidR="00E1722D" w:rsidRPr="006038F2">
          <w:rPr>
            <w:rStyle w:val="Hyperlink"/>
            <w:rFonts w:ascii="Times New Roman" w:hAnsi="Times New Roman" w:cs="Times New Roman"/>
            <w:noProof/>
          </w:rPr>
          <w:t>This figure is from a study that can be found in (Li, 2011). The figure shows CT scans of pulmonary metastatic nodule in the left lung of a late-stage breast cancer patient. The nodule is marked by the arrow in images A-C. It depicts the progression of tumor reduction in response to laser immunotherapy treatment. Image A is at the pre-treatment time point, image B at 1 week-post treatment, image C at 2.5 months post-treatment, and image D at 12 months post-treatment.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_Toc172659199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w:t>
        </w:r>
        <w:r w:rsidR="00E1722D" w:rsidRPr="006038F2">
          <w:rPr>
            <w:rFonts w:ascii="Times New Roman" w:hAnsi="Times New Roman" w:cs="Times New Roman"/>
            <w:noProof/>
            <w:webHidden/>
          </w:rPr>
          <w:fldChar w:fldCharType="end"/>
        </w:r>
      </w:hyperlink>
    </w:p>
    <w:p w14:paraId="07DE51F6" w14:textId="48BDA327"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0" w:history="1">
        <w:r w:rsidR="00E1722D" w:rsidRPr="006038F2">
          <w:rPr>
            <w:rStyle w:val="Hyperlink"/>
            <w:rFonts w:ascii="Times New Roman" w:hAnsi="Times New Roman" w:cs="Times New Roman"/>
            <w:b/>
            <w:bCs/>
            <w:noProof/>
          </w:rPr>
          <w:t xml:space="preserve">Figure 3: Type I Interferon Effects. </w:t>
        </w:r>
        <w:r w:rsidR="00E1722D" w:rsidRPr="006038F2">
          <w:rPr>
            <w:rStyle w:val="Hyperlink"/>
            <w:rFonts w:ascii="Times New Roman" w:hAnsi="Times New Roman" w:cs="Times New Roman"/>
            <w:noProof/>
          </w:rPr>
          <w:t>(Yu R. e., 2022)</w:t>
        </w:r>
        <w:r w:rsidR="00E1722D" w:rsidRPr="006038F2">
          <w:rPr>
            <w:rStyle w:val="Hyperlink"/>
            <w:rFonts w:ascii="Times New Roman" w:hAnsi="Times New Roman" w:cs="Times New Roman"/>
            <w:b/>
            <w:bCs/>
            <w:noProof/>
          </w:rPr>
          <w:t xml:space="preserve"> </w:t>
        </w:r>
        <w:r w:rsidR="00E1722D" w:rsidRPr="006038F2">
          <w:rPr>
            <w:rStyle w:val="Hyperlink"/>
            <w:rFonts w:ascii="Times New Roman" w:hAnsi="Times New Roman" w:cs="Times New Roman"/>
            <w:noProof/>
          </w:rPr>
          <w:t>This figure provides an illustration of the effects of type I IFNS in the tumor microenvironment. This gives relevant information for the type I IFN response in the view of the current application of GC, explaining why this response is desired. It shows that Type I IFNs can exhibit  upregulation of  tumor suppression factors and downregulation of  tumor proliferation factors.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w:t>
        </w:r>
        <w:r w:rsidR="00E1722D" w:rsidRPr="006038F2">
          <w:rPr>
            <w:rFonts w:ascii="Times New Roman" w:hAnsi="Times New Roman" w:cs="Times New Roman"/>
            <w:noProof/>
            <w:webHidden/>
          </w:rPr>
          <w:fldChar w:fldCharType="end"/>
        </w:r>
      </w:hyperlink>
    </w:p>
    <w:p w14:paraId="76FAF466" w14:textId="34CD8EE4"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1" w:history="1">
        <w:r w:rsidR="00E1722D" w:rsidRPr="006038F2">
          <w:rPr>
            <w:rStyle w:val="Hyperlink"/>
            <w:rFonts w:ascii="Times New Roman" w:hAnsi="Times New Roman" w:cs="Times New Roman"/>
            <w:b/>
            <w:bCs/>
            <w:noProof/>
          </w:rPr>
          <w:t xml:space="preserve">Figure 4: Close View of Nasal Associated Lymphoid Tissue. </w:t>
        </w:r>
        <w:r w:rsidR="00E1722D" w:rsidRPr="006038F2">
          <w:rPr>
            <w:rStyle w:val="Hyperlink"/>
            <w:rFonts w:ascii="Times New Roman" w:hAnsi="Times New Roman" w:cs="Times New Roman"/>
            <w:noProof/>
          </w:rPr>
          <w:t>This image shows the upper jaw of a rodent to illustrate NALT location. The figure was found in literature but modified with the back dashed lines to indicate the area of the top palette that was excised for the extraction of NALT ( (Bittner-Eddy, 2017).</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6</w:t>
        </w:r>
        <w:r w:rsidR="00E1722D" w:rsidRPr="006038F2">
          <w:rPr>
            <w:rFonts w:ascii="Times New Roman" w:hAnsi="Times New Roman" w:cs="Times New Roman"/>
            <w:noProof/>
            <w:webHidden/>
          </w:rPr>
          <w:fldChar w:fldCharType="end"/>
        </w:r>
      </w:hyperlink>
    </w:p>
    <w:p w14:paraId="147EE970" w14:textId="5CB86F8A"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2" w:history="1">
        <w:r w:rsidR="00E1722D" w:rsidRPr="006038F2">
          <w:rPr>
            <w:rStyle w:val="Hyperlink"/>
            <w:rFonts w:ascii="Times New Roman" w:hAnsi="Times New Roman" w:cs="Times New Roman"/>
            <w:b/>
            <w:bCs/>
            <w:noProof/>
          </w:rPr>
          <w:t xml:space="preserve">Figure 5: Overview of the function of the interferon reporter mouse. </w:t>
        </w:r>
        <w:r w:rsidR="00E1722D" w:rsidRPr="006038F2">
          <w:rPr>
            <w:rStyle w:val="Hyperlink"/>
            <w:rFonts w:ascii="Times New Roman" w:hAnsi="Times New Roman" w:cs="Times New Roman"/>
            <w:noProof/>
          </w:rPr>
          <w:t>The top left schematic shows the gene that was modified (Irgm1) to produce the interferon stimulation fluorescence (DsRed). The bottom left schematic is an example of in vitro fluorescent imaging to show the activity. These mice can be utilized at different imaging options to report on all types of interferons, but the purposes of this study report on type I. This image is pulled from a literature article that introduced this new strain of mouse and its function( (Stifter, 2019).</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8</w:t>
        </w:r>
        <w:r w:rsidR="00E1722D" w:rsidRPr="006038F2">
          <w:rPr>
            <w:rFonts w:ascii="Times New Roman" w:hAnsi="Times New Roman" w:cs="Times New Roman"/>
            <w:noProof/>
            <w:webHidden/>
          </w:rPr>
          <w:fldChar w:fldCharType="end"/>
        </w:r>
      </w:hyperlink>
    </w:p>
    <w:p w14:paraId="63CE353E" w14:textId="2EA81C45"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3" w:history="1">
        <w:r w:rsidR="00E1722D" w:rsidRPr="006038F2">
          <w:rPr>
            <w:rStyle w:val="Hyperlink"/>
            <w:rFonts w:ascii="Times New Roman" w:hAnsi="Times New Roman" w:cs="Times New Roman"/>
            <w:b/>
            <w:bCs/>
            <w:noProof/>
          </w:rPr>
          <w:t xml:space="preserve">Figure 6: Illustration of differences between bulk-RNA sequencing and single cell RNA sequencing. </w:t>
        </w:r>
        <w:r w:rsidR="00E1722D" w:rsidRPr="006038F2">
          <w:rPr>
            <w:rStyle w:val="Hyperlink"/>
            <w:rFonts w:ascii="Times New Roman" w:hAnsi="Times New Roman" w:cs="Times New Roman"/>
            <w:noProof/>
          </w:rPr>
          <w:t>This figure was pulled from a literature piece to provide further explanation of the principle of bulk-RNA sequencing ( (Yu X. e., 2021). The figure shows the average expression found in bulk sequencing versus the individualized, cell-specific expression found in single cell sequencing.</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9</w:t>
        </w:r>
        <w:r w:rsidR="00E1722D" w:rsidRPr="006038F2">
          <w:rPr>
            <w:rFonts w:ascii="Times New Roman" w:hAnsi="Times New Roman" w:cs="Times New Roman"/>
            <w:noProof/>
            <w:webHidden/>
          </w:rPr>
          <w:fldChar w:fldCharType="end"/>
        </w:r>
      </w:hyperlink>
    </w:p>
    <w:p w14:paraId="78DD7744" w14:textId="4882C935"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4" w:history="1">
        <w:r w:rsidR="00E1722D" w:rsidRPr="006038F2">
          <w:rPr>
            <w:rStyle w:val="Hyperlink"/>
            <w:rFonts w:ascii="Times New Roman" w:hAnsi="Times New Roman" w:cs="Times New Roman"/>
            <w:b/>
            <w:bCs/>
            <w:noProof/>
          </w:rPr>
          <w:t xml:space="preserve">Figure 7: Timeline for IVIS imaging experiment. </w:t>
        </w:r>
        <w:r w:rsidR="00E1722D" w:rsidRPr="006038F2">
          <w:rPr>
            <w:rStyle w:val="Hyperlink"/>
            <w:rFonts w:ascii="Times New Roman" w:hAnsi="Times New Roman" w:cs="Times New Roman"/>
            <w:noProof/>
          </w:rPr>
          <w:t>This figure shows the various events performed for the IVIS imaging experiment plotted on a timeline (not a continuous interval width). Shown are the diet switch, shaving, vaccination, and various imaging points.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13</w:t>
        </w:r>
        <w:r w:rsidR="00E1722D" w:rsidRPr="006038F2">
          <w:rPr>
            <w:rFonts w:ascii="Times New Roman" w:hAnsi="Times New Roman" w:cs="Times New Roman"/>
            <w:noProof/>
            <w:webHidden/>
          </w:rPr>
          <w:fldChar w:fldCharType="end"/>
        </w:r>
      </w:hyperlink>
    </w:p>
    <w:p w14:paraId="6335738C" w14:textId="323C85B2"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5" w:history="1">
        <w:r w:rsidR="00E1722D" w:rsidRPr="006038F2">
          <w:rPr>
            <w:rStyle w:val="Hyperlink"/>
            <w:rFonts w:ascii="Times New Roman" w:hAnsi="Times New Roman" w:cs="Times New Roman"/>
            <w:b/>
            <w:bCs/>
            <w:noProof/>
          </w:rPr>
          <w:t xml:space="preserve">Figure 8: Representation of ROI placement for the IVIS imaging study. </w:t>
        </w:r>
        <w:r w:rsidR="00E1722D" w:rsidRPr="006038F2">
          <w:rPr>
            <w:rStyle w:val="Hyperlink"/>
            <w:rFonts w:ascii="Times New Roman" w:hAnsi="Times New Roman" w:cs="Times New Roman"/>
            <w:noProof/>
          </w:rPr>
          <w:t>This figure shows the placement of the intranasal and subcutaneous ROI boxes for measurement of total radiant efficiency after GC administration. Two ROIs are placed on each mouse, one in the intranasal area and one in the local subcutaneous area on the hind flank. The group represented here were mice in the control group (i.e., reporter mice with no stimulation). All relevant time points, as mentioned in the methods section, are labelled accordingly.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15</w:t>
        </w:r>
        <w:r w:rsidR="00E1722D" w:rsidRPr="006038F2">
          <w:rPr>
            <w:rFonts w:ascii="Times New Roman" w:hAnsi="Times New Roman" w:cs="Times New Roman"/>
            <w:noProof/>
            <w:webHidden/>
          </w:rPr>
          <w:fldChar w:fldCharType="end"/>
        </w:r>
      </w:hyperlink>
    </w:p>
    <w:p w14:paraId="149EA7D7" w14:textId="31CDEB42"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6" w:history="1">
        <w:r w:rsidR="00E1722D" w:rsidRPr="006038F2">
          <w:rPr>
            <w:rStyle w:val="Hyperlink"/>
            <w:rFonts w:ascii="Times New Roman" w:hAnsi="Times New Roman" w:cs="Times New Roman"/>
            <w:b/>
            <w:bCs/>
            <w:noProof/>
          </w:rPr>
          <w:t xml:space="preserve">Figure 9: IVIS acquisition images of the 100µL test group for the imaging experiment. </w:t>
        </w:r>
        <w:r w:rsidR="00E1722D" w:rsidRPr="006038F2">
          <w:rPr>
            <w:rStyle w:val="Hyperlink"/>
            <w:rFonts w:ascii="Times New Roman" w:hAnsi="Times New Roman" w:cs="Times New Roman"/>
            <w:noProof/>
          </w:rPr>
          <w:t>This figure shows the total radiant efficiency reading increases of the intranasal and subcutaneous areas after GC administration. Two areas of fluorescent increase are relevant on each mouse, one in the intranasal area and one in the local subcutaneous area on the hind flank. The group represented here were mice in the 100µL test group. All relevant time points, as mentioned in the methods section, are labelled accordingly.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16</w:t>
        </w:r>
        <w:r w:rsidR="00E1722D" w:rsidRPr="006038F2">
          <w:rPr>
            <w:rFonts w:ascii="Times New Roman" w:hAnsi="Times New Roman" w:cs="Times New Roman"/>
            <w:noProof/>
            <w:webHidden/>
          </w:rPr>
          <w:fldChar w:fldCharType="end"/>
        </w:r>
      </w:hyperlink>
    </w:p>
    <w:p w14:paraId="25999EC0" w14:textId="7DF44783"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7" w:history="1">
        <w:r w:rsidR="00E1722D" w:rsidRPr="006038F2">
          <w:rPr>
            <w:rStyle w:val="Hyperlink"/>
            <w:rFonts w:ascii="Times New Roman" w:hAnsi="Times New Roman" w:cs="Times New Roman"/>
            <w:b/>
            <w:bCs/>
            <w:noProof/>
          </w:rPr>
          <w:t>Figure 10: IVIS acquisition images of the 50µL test group for the imaging experiment.</w:t>
        </w:r>
        <w:r w:rsidR="00E1722D" w:rsidRPr="006038F2">
          <w:rPr>
            <w:rStyle w:val="Hyperlink"/>
            <w:rFonts w:ascii="Times New Roman" w:hAnsi="Times New Roman" w:cs="Times New Roman"/>
            <w:noProof/>
          </w:rPr>
          <w:t xml:space="preserve"> This figure shows the total radiant efficiency reading increases of the intranasal and subcutaneous areas after GC administration. Two areas of fluorescent increase are relevant on each mouse, one </w:t>
        </w:r>
        <w:r w:rsidR="00E1722D" w:rsidRPr="006038F2">
          <w:rPr>
            <w:rStyle w:val="Hyperlink"/>
            <w:rFonts w:ascii="Times New Roman" w:hAnsi="Times New Roman" w:cs="Times New Roman"/>
            <w:noProof/>
          </w:rPr>
          <w:lastRenderedPageBreak/>
          <w:t>in the intranasal area and one in the local subcutaneous area on the hind flank. The group represented here were mice in the 100µL test group. All relevant time points, as mentioned in the methods section, are labelled accordingly.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17</w:t>
        </w:r>
        <w:r w:rsidR="00E1722D" w:rsidRPr="006038F2">
          <w:rPr>
            <w:rFonts w:ascii="Times New Roman" w:hAnsi="Times New Roman" w:cs="Times New Roman"/>
            <w:noProof/>
            <w:webHidden/>
          </w:rPr>
          <w:fldChar w:fldCharType="end"/>
        </w:r>
      </w:hyperlink>
    </w:p>
    <w:p w14:paraId="116BF5B5" w14:textId="1343EC0F"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8" w:history="1">
        <w:r w:rsidR="00E1722D" w:rsidRPr="006038F2">
          <w:rPr>
            <w:rStyle w:val="Hyperlink"/>
            <w:rFonts w:ascii="Times New Roman" w:hAnsi="Times New Roman" w:cs="Times New Roman"/>
            <w:b/>
            <w:bCs/>
            <w:noProof/>
          </w:rPr>
          <w:t>Figure 11: Increase in total radiant efficiency in nasal cavity above background reading after GC administration: control vs test.</w:t>
        </w:r>
        <w:r w:rsidR="00E1722D" w:rsidRPr="006038F2">
          <w:rPr>
            <w:rStyle w:val="Hyperlink"/>
            <w:rFonts w:ascii="Times New Roman" w:hAnsi="Times New Roman" w:cs="Times New Roman"/>
            <w:noProof/>
          </w:rPr>
          <w:t xml:space="preserve"> Grouped column bar graph depicting the percent increase of total radiant efficiency in the nasal area following intranasal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control and test group for each time point, for which one star indicates significance greater than 0.05 and two stars indicates greater than 0.01. (Significance readings below 0.1 are not shown.)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18</w:t>
        </w:r>
        <w:r w:rsidR="00E1722D" w:rsidRPr="006038F2">
          <w:rPr>
            <w:rFonts w:ascii="Times New Roman" w:hAnsi="Times New Roman" w:cs="Times New Roman"/>
            <w:noProof/>
            <w:webHidden/>
          </w:rPr>
          <w:fldChar w:fldCharType="end"/>
        </w:r>
      </w:hyperlink>
    </w:p>
    <w:p w14:paraId="75BDDEF1" w14:textId="271121AE"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09" w:history="1">
        <w:r w:rsidR="00E1722D" w:rsidRPr="006038F2">
          <w:rPr>
            <w:rStyle w:val="Hyperlink"/>
            <w:rFonts w:ascii="Times New Roman" w:hAnsi="Times New Roman" w:cs="Times New Roman"/>
            <w:b/>
            <w:bCs/>
            <w:noProof/>
          </w:rPr>
          <w:t>Figure 12:</w:t>
        </w:r>
        <w:r w:rsidR="00E1722D" w:rsidRPr="006038F2">
          <w:rPr>
            <w:rStyle w:val="Hyperlink"/>
            <w:rFonts w:ascii="Times New Roman" w:hAnsi="Times New Roman" w:cs="Times New Roman"/>
            <w:noProof/>
          </w:rPr>
          <w:t xml:space="preserve"> </w:t>
        </w:r>
        <w:r w:rsidR="00E1722D" w:rsidRPr="006038F2">
          <w:rPr>
            <w:rStyle w:val="Hyperlink"/>
            <w:rFonts w:ascii="Times New Roman" w:hAnsi="Times New Roman" w:cs="Times New Roman"/>
            <w:b/>
            <w:bCs/>
            <w:noProof/>
          </w:rPr>
          <w:t>Increase in total radiant efficiency in nasal cavity above background reading after GC administration: time point vs background.</w:t>
        </w:r>
        <w:r w:rsidR="00E1722D" w:rsidRPr="006038F2">
          <w:rPr>
            <w:rStyle w:val="Hyperlink"/>
            <w:rFonts w:ascii="Times New Roman" w:hAnsi="Times New Roman" w:cs="Times New Roman"/>
            <w:noProof/>
          </w:rPr>
          <w:t xml:space="preserve"> Grouped column bar graph depicting the percent increase of total radiant efficiency in the nasal area following intranasal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background (i.e., base signal) and each time point for individual test groups, for which one star indicates significance greater than 0.05 and two stars indicates greater than 0.01. (Significance readings below 0.1 are not shown.)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_Toc172659209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19</w:t>
        </w:r>
        <w:r w:rsidR="00E1722D" w:rsidRPr="006038F2">
          <w:rPr>
            <w:rFonts w:ascii="Times New Roman" w:hAnsi="Times New Roman" w:cs="Times New Roman"/>
            <w:noProof/>
            <w:webHidden/>
          </w:rPr>
          <w:fldChar w:fldCharType="end"/>
        </w:r>
      </w:hyperlink>
    </w:p>
    <w:p w14:paraId="101EBA9D" w14:textId="081F1491"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0" w:history="1">
        <w:r w:rsidR="00E1722D" w:rsidRPr="006038F2">
          <w:rPr>
            <w:rStyle w:val="Hyperlink"/>
            <w:rFonts w:ascii="Times New Roman" w:hAnsi="Times New Roman" w:cs="Times New Roman"/>
            <w:b/>
            <w:bCs/>
            <w:noProof/>
          </w:rPr>
          <w:t>Figure 13:</w:t>
        </w:r>
        <w:r w:rsidR="00E1722D" w:rsidRPr="006038F2">
          <w:rPr>
            <w:rStyle w:val="Hyperlink"/>
            <w:rFonts w:ascii="Times New Roman" w:hAnsi="Times New Roman" w:cs="Times New Roman"/>
            <w:noProof/>
          </w:rPr>
          <w:t xml:space="preserve"> </w:t>
        </w:r>
        <w:r w:rsidR="00E1722D" w:rsidRPr="006038F2">
          <w:rPr>
            <w:rStyle w:val="Hyperlink"/>
            <w:rFonts w:ascii="Times New Roman" w:hAnsi="Times New Roman" w:cs="Times New Roman"/>
            <w:b/>
            <w:bCs/>
            <w:noProof/>
          </w:rPr>
          <w:t>Increase in total radiant efficiency above background reading in area after subcutaneous GC injection: control vs test.</w:t>
        </w:r>
        <w:r w:rsidR="00E1722D" w:rsidRPr="006038F2">
          <w:rPr>
            <w:rStyle w:val="Hyperlink"/>
            <w:rFonts w:ascii="Times New Roman" w:hAnsi="Times New Roman" w:cs="Times New Roman"/>
            <w:noProof/>
          </w:rPr>
          <w:t xml:space="preserve"> Grouped column bar graph depicting the percent increase of total radiant efficiency in the local area following subcutaneous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control and test group for each time point, for which one star indicates significance greater than 0.05, two stars indicates greater than 0.01, and “ns” indicates significance between 0.1 and 0.05. (Significance readings below 0.1 are not shown.)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20</w:t>
        </w:r>
        <w:r w:rsidR="00E1722D" w:rsidRPr="006038F2">
          <w:rPr>
            <w:rFonts w:ascii="Times New Roman" w:hAnsi="Times New Roman" w:cs="Times New Roman"/>
            <w:noProof/>
            <w:webHidden/>
          </w:rPr>
          <w:fldChar w:fldCharType="end"/>
        </w:r>
      </w:hyperlink>
    </w:p>
    <w:p w14:paraId="05E9E4A4" w14:textId="47AEE23C"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1" w:history="1">
        <w:r w:rsidR="00E1722D" w:rsidRPr="006038F2">
          <w:rPr>
            <w:rStyle w:val="Hyperlink"/>
            <w:rFonts w:ascii="Times New Roman" w:hAnsi="Times New Roman" w:cs="Times New Roman"/>
            <w:b/>
            <w:bCs/>
            <w:noProof/>
          </w:rPr>
          <w:t xml:space="preserve">Figure 14: Increase in total radiant efficiency above background reading in area after subcutaneous GC injection: time point vs background. </w:t>
        </w:r>
        <w:r w:rsidR="00E1722D" w:rsidRPr="006038F2">
          <w:rPr>
            <w:rStyle w:val="Hyperlink"/>
            <w:rFonts w:ascii="Times New Roman" w:hAnsi="Times New Roman" w:cs="Times New Roman"/>
            <w:noProof/>
          </w:rPr>
          <w:t>Grouped column bar graph depicted the percent increase of total radiant efficiency in the local area following subcutaneous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background (i.e., base signal) and each time point for individual test groups, for which one star indicates significance greater than 0.05, two stars as greater than 0.01, and three stars as greater than 0.001. (Significance readings below 0.1 are not shown.)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21</w:t>
        </w:r>
        <w:r w:rsidR="00E1722D" w:rsidRPr="006038F2">
          <w:rPr>
            <w:rFonts w:ascii="Times New Roman" w:hAnsi="Times New Roman" w:cs="Times New Roman"/>
            <w:noProof/>
            <w:webHidden/>
          </w:rPr>
          <w:fldChar w:fldCharType="end"/>
        </w:r>
      </w:hyperlink>
    </w:p>
    <w:p w14:paraId="78F5259E" w14:textId="0AAD0613"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2" w:history="1">
        <w:r w:rsidR="00E1722D" w:rsidRPr="006038F2">
          <w:rPr>
            <w:rStyle w:val="Hyperlink"/>
            <w:rFonts w:ascii="Times New Roman" w:hAnsi="Times New Roman" w:cs="Times New Roman"/>
            <w:b/>
            <w:bCs/>
            <w:noProof/>
          </w:rPr>
          <w:t xml:space="preserve">Figure 15: Timeline for NALT RNA sequencing experiment. </w:t>
        </w:r>
        <w:r w:rsidR="00E1722D" w:rsidRPr="006038F2">
          <w:rPr>
            <w:rStyle w:val="Hyperlink"/>
            <w:rFonts w:ascii="Times New Roman" w:hAnsi="Times New Roman" w:cs="Times New Roman"/>
            <w:noProof/>
          </w:rPr>
          <w:t>This figure shows the various events performed for the vaccination and NALT extraction in the RNA sequencing experiment, as plotted on a timeline (not a continuous interval width). Shown are the  vaccination and multiple group-based harvesting time points.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28</w:t>
        </w:r>
        <w:r w:rsidR="00E1722D" w:rsidRPr="006038F2">
          <w:rPr>
            <w:rFonts w:ascii="Times New Roman" w:hAnsi="Times New Roman" w:cs="Times New Roman"/>
            <w:noProof/>
            <w:webHidden/>
          </w:rPr>
          <w:fldChar w:fldCharType="end"/>
        </w:r>
      </w:hyperlink>
    </w:p>
    <w:p w14:paraId="6FB10785" w14:textId="690EA914"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3" w:history="1">
        <w:r w:rsidR="00E1722D" w:rsidRPr="006038F2">
          <w:rPr>
            <w:rStyle w:val="Hyperlink"/>
            <w:rFonts w:ascii="Times New Roman" w:hAnsi="Times New Roman" w:cs="Times New Roman"/>
            <w:b/>
            <w:bCs/>
            <w:noProof/>
          </w:rPr>
          <w:t xml:space="preserve">Figure 16: Gene Differential Expression of wild-type BMDCs GC-stimulated vs Unstimulated. </w:t>
        </w:r>
        <w:r w:rsidR="00E1722D" w:rsidRPr="006038F2">
          <w:rPr>
            <w:rStyle w:val="Hyperlink"/>
            <w:rFonts w:ascii="Times New Roman" w:hAnsi="Times New Roman" w:cs="Times New Roman"/>
            <w:noProof/>
          </w:rPr>
          <w:t>Heatmap illustrating comparisons between treatment groups in gene expression variability counts. Results were generated from RNA sequencing data from BMDCs stimulated for 24 hours before being stained, sorted, and isolated for RNA content. Highlighted is the comparison in wild-type mice between unstimulated and GC treated groups. (These results are from a previously run experiment in the lab, which I am using for reference purposes.) (Hoover, 2022)</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31</w:t>
        </w:r>
        <w:r w:rsidR="00E1722D" w:rsidRPr="006038F2">
          <w:rPr>
            <w:rFonts w:ascii="Times New Roman" w:hAnsi="Times New Roman" w:cs="Times New Roman"/>
            <w:noProof/>
            <w:webHidden/>
          </w:rPr>
          <w:fldChar w:fldCharType="end"/>
        </w:r>
      </w:hyperlink>
    </w:p>
    <w:p w14:paraId="757A7386" w14:textId="66BA13E5"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4" w:history="1">
        <w:r w:rsidR="00E1722D" w:rsidRPr="006038F2">
          <w:rPr>
            <w:rStyle w:val="Hyperlink"/>
            <w:rFonts w:ascii="Times New Roman" w:hAnsi="Times New Roman" w:cs="Times New Roman"/>
            <w:b/>
            <w:bCs/>
            <w:noProof/>
          </w:rPr>
          <w:t xml:space="preserve">Figure 17: Previous experiment's distance heat map. </w:t>
        </w:r>
        <w:r w:rsidR="00E1722D" w:rsidRPr="006038F2">
          <w:rPr>
            <w:rStyle w:val="Hyperlink"/>
            <w:rFonts w:ascii="Times New Roman" w:hAnsi="Times New Roman" w:cs="Times New Roman"/>
            <w:noProof/>
          </w:rPr>
          <w:t>Heat maps for distance data of RNA samples generated from RNA sequencing data from BMDCs that were stimulated for 24 hours before being stained, sorted, and isolated. Different test groups are classified under two variables: genotype (STING knockout vs WT) and treatment (unstimulated vs GC stimulated). (These results are from a previously run experiment in the lab, which I am using for comparison purposes. Methods for this can be found in Appendix B.) A higher divergence in expression profiles is indicated by a larger distance. (Hoover, 2022)</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32</w:t>
        </w:r>
        <w:r w:rsidR="00E1722D" w:rsidRPr="006038F2">
          <w:rPr>
            <w:rFonts w:ascii="Times New Roman" w:hAnsi="Times New Roman" w:cs="Times New Roman"/>
            <w:noProof/>
            <w:webHidden/>
          </w:rPr>
          <w:fldChar w:fldCharType="end"/>
        </w:r>
      </w:hyperlink>
    </w:p>
    <w:p w14:paraId="75AEBF68" w14:textId="6F29C0C7"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5" w:history="1">
        <w:r w:rsidR="00E1722D" w:rsidRPr="006038F2">
          <w:rPr>
            <w:rStyle w:val="Hyperlink"/>
            <w:rFonts w:ascii="Times New Roman" w:hAnsi="Times New Roman" w:cs="Times New Roman"/>
            <w:b/>
            <w:bCs/>
            <w:noProof/>
          </w:rPr>
          <w:t xml:space="preserve">Figure 18: Current experiment's distance heat map. </w:t>
        </w:r>
        <w:r w:rsidR="00E1722D" w:rsidRPr="006038F2">
          <w:rPr>
            <w:rStyle w:val="Hyperlink"/>
            <w:rFonts w:ascii="Times New Roman" w:hAnsi="Times New Roman" w:cs="Times New Roman"/>
            <w:noProof/>
          </w:rPr>
          <w:t>Heat maps for distance data of RNA samples generated from RNA sequencing data from homogenized NALT following intranasal vaccination. Samples names provide vaccination solution in letters (vaccination with GC or with PBS) then time point post-vaccination of tissue collection in numbers (24h, 48h, or 72h) then sample number (mouse 1, 2, or 3 for the respective group). A higher divergence in expression profiles is indicated by a larger distance.</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33</w:t>
        </w:r>
        <w:r w:rsidR="00E1722D" w:rsidRPr="006038F2">
          <w:rPr>
            <w:rFonts w:ascii="Times New Roman" w:hAnsi="Times New Roman" w:cs="Times New Roman"/>
            <w:noProof/>
            <w:webHidden/>
          </w:rPr>
          <w:fldChar w:fldCharType="end"/>
        </w:r>
      </w:hyperlink>
    </w:p>
    <w:p w14:paraId="4BF1EFFE" w14:textId="10127781"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6" w:history="1">
        <w:r w:rsidR="00E1722D" w:rsidRPr="006038F2">
          <w:rPr>
            <w:rStyle w:val="Hyperlink"/>
            <w:rFonts w:ascii="Times New Roman" w:hAnsi="Times New Roman" w:cs="Times New Roman"/>
            <w:b/>
            <w:bCs/>
            <w:noProof/>
          </w:rPr>
          <w:t xml:space="preserve">Figure 19: Previous experiment's PCA plots with variance stabilization. </w:t>
        </w:r>
        <w:r w:rsidR="00E1722D" w:rsidRPr="006038F2">
          <w:rPr>
            <w:rStyle w:val="Hyperlink"/>
            <w:rFonts w:ascii="Times New Roman" w:hAnsi="Times New Roman" w:cs="Times New Roman"/>
            <w:noProof/>
          </w:rPr>
          <w:t>PCA plots of various subsets for the BMDC data, as previously referenced. Graph formulation utilizes count data from RNA sequencing reads from RNA isolated post-GC-stimulation. Samples are divided under two variable types: genotype (STINGKO vs WT) and treatment (GC stimulated vs unstimulated). (Hoover, 2022)</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_Toc172659216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33</w:t>
        </w:r>
        <w:r w:rsidR="00E1722D" w:rsidRPr="006038F2">
          <w:rPr>
            <w:rFonts w:ascii="Times New Roman" w:hAnsi="Times New Roman" w:cs="Times New Roman"/>
            <w:noProof/>
            <w:webHidden/>
          </w:rPr>
          <w:fldChar w:fldCharType="end"/>
        </w:r>
      </w:hyperlink>
    </w:p>
    <w:p w14:paraId="1B90BCD1" w14:textId="67D64E0C"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7" w:history="1">
        <w:r w:rsidR="00E1722D" w:rsidRPr="006038F2">
          <w:rPr>
            <w:rStyle w:val="Hyperlink"/>
            <w:rFonts w:ascii="Times New Roman" w:hAnsi="Times New Roman" w:cs="Times New Roman"/>
            <w:b/>
            <w:bCs/>
            <w:noProof/>
          </w:rPr>
          <w:t>Figure 20: Current experiment's PCA plots with variance stabilization</w:t>
        </w:r>
        <w:r w:rsidR="00E1722D" w:rsidRPr="006038F2">
          <w:rPr>
            <w:rStyle w:val="Hyperlink"/>
            <w:rFonts w:ascii="Times New Roman" w:hAnsi="Times New Roman" w:cs="Times New Roman"/>
            <w:noProof/>
          </w:rPr>
          <w:t>. PCA plots of various subsets for the NALT data, as completed for this study. Graph formulation utilizes count data from RNA sequencing reads from RNA isolated post-GC intranasal administration. Samples are divided under two variable types: treatment (GC stimulated or PBS stimulated) and time point post-vaccination of tissue harvest (24h, 48h, or 72h).</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_Toc172659217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34</w:t>
        </w:r>
        <w:r w:rsidR="00E1722D" w:rsidRPr="006038F2">
          <w:rPr>
            <w:rFonts w:ascii="Times New Roman" w:hAnsi="Times New Roman" w:cs="Times New Roman"/>
            <w:noProof/>
            <w:webHidden/>
          </w:rPr>
          <w:fldChar w:fldCharType="end"/>
        </w:r>
      </w:hyperlink>
    </w:p>
    <w:p w14:paraId="1AA853BA" w14:textId="5C6F55C6"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8" w:history="1">
        <w:r w:rsidR="00E1722D" w:rsidRPr="006038F2">
          <w:rPr>
            <w:rStyle w:val="Hyperlink"/>
            <w:rFonts w:ascii="Times New Roman" w:hAnsi="Times New Roman" w:cs="Times New Roman"/>
            <w:b/>
            <w:bCs/>
            <w:noProof/>
          </w:rPr>
          <w:t>Figure 21:</w:t>
        </w:r>
        <w:r w:rsidR="00E1722D" w:rsidRPr="006038F2">
          <w:rPr>
            <w:rStyle w:val="Hyperlink"/>
            <w:rFonts w:ascii="Times New Roman" w:hAnsi="Times New Roman" w:cs="Times New Roman"/>
            <w:noProof/>
          </w:rPr>
          <w:t xml:space="preserve"> </w:t>
        </w:r>
        <w:r w:rsidR="00E1722D" w:rsidRPr="006038F2">
          <w:rPr>
            <w:rStyle w:val="Hyperlink"/>
            <w:rFonts w:ascii="Times New Roman" w:hAnsi="Times New Roman" w:cs="Times New Roman"/>
            <w:b/>
            <w:bCs/>
            <w:noProof/>
          </w:rPr>
          <w:t xml:space="preserve">RNA content vs RNA integrity. </w:t>
        </w:r>
        <w:r w:rsidR="00E1722D" w:rsidRPr="006038F2">
          <w:rPr>
            <w:rStyle w:val="Hyperlink"/>
            <w:rFonts w:ascii="Times New Roman" w:hAnsi="Times New Roman" w:cs="Times New Roman"/>
            <w:noProof/>
          </w:rPr>
          <w:t>Bar graph with secondary axis graph depicting a sample-by-sample comparison of each sample’s RNA integrity number (RIN) and nucleic acid content amount (ng/µL), where each sample is the RNA content isolated from extracted murine NALT following intranasal vaccination. Sample names provide vaccination solution in letters (vaccination with GC or with PBS) then time point post- vaccination of tissue collection in umbers (24h, 48h, or 72h) then sample number (mouse 1, 2, or 3 for the respective group). Attempt to show trend or lack thereof between the values for each sample.</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_Toc172659218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35</w:t>
        </w:r>
        <w:r w:rsidR="00E1722D" w:rsidRPr="006038F2">
          <w:rPr>
            <w:rFonts w:ascii="Times New Roman" w:hAnsi="Times New Roman" w:cs="Times New Roman"/>
            <w:noProof/>
            <w:webHidden/>
          </w:rPr>
          <w:fldChar w:fldCharType="end"/>
        </w:r>
      </w:hyperlink>
    </w:p>
    <w:p w14:paraId="46A0CA15" w14:textId="6912AB37"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19" w:history="1">
        <w:r w:rsidR="00E1722D" w:rsidRPr="006038F2">
          <w:rPr>
            <w:rStyle w:val="Hyperlink"/>
            <w:rFonts w:ascii="Times New Roman" w:hAnsi="Times New Roman" w:cs="Times New Roman"/>
            <w:b/>
            <w:bCs/>
            <w:noProof/>
          </w:rPr>
          <w:t>Figure 22: GC study adverse effects</w:t>
        </w:r>
        <w:r w:rsidR="00E1722D" w:rsidRPr="006038F2">
          <w:rPr>
            <w:rStyle w:val="Hyperlink"/>
            <w:rFonts w:ascii="Times New Roman" w:hAnsi="Times New Roman" w:cs="Times New Roman"/>
            <w:noProof/>
          </w:rPr>
          <w:t>. Adverse effects involving necrosis around the injection site for subcutaneous GC vaccinations in the IVIS study discussed in Chapter 2. Pictures taken 10 days post-drug-administration.</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_Toc172659219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47</w:t>
        </w:r>
        <w:r w:rsidR="00E1722D" w:rsidRPr="006038F2">
          <w:rPr>
            <w:rFonts w:ascii="Times New Roman" w:hAnsi="Times New Roman" w:cs="Times New Roman"/>
            <w:noProof/>
            <w:webHidden/>
          </w:rPr>
          <w:fldChar w:fldCharType="end"/>
        </w:r>
      </w:hyperlink>
    </w:p>
    <w:p w14:paraId="2175545C" w14:textId="48D8210A"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20" w:history="1">
        <w:r w:rsidR="00E1722D" w:rsidRPr="006038F2">
          <w:rPr>
            <w:rStyle w:val="Hyperlink"/>
            <w:rFonts w:ascii="Times New Roman" w:hAnsi="Times New Roman" w:cs="Times New Roman"/>
            <w:b/>
            <w:bCs/>
            <w:noProof/>
          </w:rPr>
          <w:t xml:space="preserve">Figure 23: Difference in baseline fluorescence readings made by diet change. </w:t>
        </w:r>
        <w:r w:rsidR="00E1722D" w:rsidRPr="006038F2">
          <w:rPr>
            <w:rStyle w:val="Hyperlink"/>
            <w:rFonts w:ascii="Times New Roman" w:hAnsi="Times New Roman" w:cs="Times New Roman"/>
            <w:noProof/>
          </w:rPr>
          <w:t>This figure shows two images with the same fluorescence scale to show the difference on fluorescence signal made by alfalfa in the mouse’s diet. The special diet reduces background noise (Taylor).</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_Toc172659220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50</w:t>
        </w:r>
        <w:r w:rsidR="00E1722D" w:rsidRPr="006038F2">
          <w:rPr>
            <w:rFonts w:ascii="Times New Roman" w:hAnsi="Times New Roman" w:cs="Times New Roman"/>
            <w:noProof/>
            <w:webHidden/>
          </w:rPr>
          <w:fldChar w:fldCharType="end"/>
        </w:r>
      </w:hyperlink>
    </w:p>
    <w:p w14:paraId="2D3200E6" w14:textId="6A351A07"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21" w:history="1">
        <w:r w:rsidR="00E1722D" w:rsidRPr="006038F2">
          <w:rPr>
            <w:rStyle w:val="Hyperlink"/>
            <w:rFonts w:ascii="Times New Roman" w:hAnsi="Times New Roman" w:cs="Times New Roman"/>
            <w:b/>
            <w:bCs/>
            <w:noProof/>
          </w:rPr>
          <w:t xml:space="preserve">Figure 24: Field of view options in IVIS Spectrum imaging. </w:t>
        </w:r>
        <w:r w:rsidR="00E1722D" w:rsidRPr="006038F2">
          <w:rPr>
            <w:rStyle w:val="Hyperlink"/>
            <w:rFonts w:ascii="Times New Roman" w:hAnsi="Times New Roman" w:cs="Times New Roman"/>
            <w:noProof/>
          </w:rPr>
          <w:t xml:space="preserve">This image shows the different levels of field of view that are possible for imaging on the IVIS Spectrum CT machine. Different </w:t>
        </w:r>
        <w:r w:rsidR="00E1722D" w:rsidRPr="006038F2">
          <w:rPr>
            <w:rStyle w:val="Hyperlink"/>
            <w:rFonts w:ascii="Times New Roman" w:hAnsi="Times New Roman" w:cs="Times New Roman"/>
            <w:noProof/>
          </w:rPr>
          <w:lastRenderedPageBreak/>
          <w:t>FOVs pose different advantages, e.g., FOV D can image more mice but has a farther distance for acquisition (Taylor).</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_Toc172659221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51</w:t>
        </w:r>
        <w:r w:rsidR="00E1722D" w:rsidRPr="006038F2">
          <w:rPr>
            <w:rFonts w:ascii="Times New Roman" w:hAnsi="Times New Roman" w:cs="Times New Roman"/>
            <w:noProof/>
            <w:webHidden/>
          </w:rPr>
          <w:fldChar w:fldCharType="end"/>
        </w:r>
      </w:hyperlink>
    </w:p>
    <w:p w14:paraId="72594939" w14:textId="63FE8319"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22" w:history="1">
        <w:r w:rsidR="00E1722D" w:rsidRPr="006038F2">
          <w:rPr>
            <w:rStyle w:val="Hyperlink"/>
            <w:rFonts w:ascii="Times New Roman" w:hAnsi="Times New Roman" w:cs="Times New Roman"/>
            <w:b/>
            <w:bCs/>
            <w:noProof/>
          </w:rPr>
          <w:t xml:space="preserve">Figure 25: Preliminary subcutaneous results for percent increase in total radiant efficiency after GC administration. </w:t>
        </w:r>
        <w:r w:rsidR="00E1722D" w:rsidRPr="006038F2">
          <w:rPr>
            <w:rStyle w:val="Hyperlink"/>
            <w:rFonts w:ascii="Times New Roman" w:hAnsi="Times New Roman" w:cs="Times New Roman"/>
            <w:noProof/>
          </w:rPr>
          <w:t>Grouped bar graph depicting the percent change in total radiant efficiency measurements, as normalized to the background signal, in the local area after subcutaneous GC injection. This experiment was in the first round of IVIS imaging, done with only a 20µL injection volume, with WT mice as the control and IFN reporter mice as the test, both with GC treatment.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_Toc172659222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52</w:t>
        </w:r>
        <w:r w:rsidR="00E1722D" w:rsidRPr="006038F2">
          <w:rPr>
            <w:rFonts w:ascii="Times New Roman" w:hAnsi="Times New Roman" w:cs="Times New Roman"/>
            <w:noProof/>
            <w:webHidden/>
          </w:rPr>
          <w:fldChar w:fldCharType="end"/>
        </w:r>
      </w:hyperlink>
    </w:p>
    <w:p w14:paraId="665B0F75" w14:textId="0AE83D80"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23" w:history="1">
        <w:r w:rsidR="00E1722D" w:rsidRPr="006038F2">
          <w:rPr>
            <w:rStyle w:val="Hyperlink"/>
            <w:rFonts w:ascii="Times New Roman" w:hAnsi="Times New Roman" w:cs="Times New Roman"/>
            <w:b/>
            <w:bCs/>
            <w:noProof/>
          </w:rPr>
          <w:t xml:space="preserve">Figure 26: Preliminary intranasal results for raw total radiant efficiency counts after GC administration. </w:t>
        </w:r>
        <w:r w:rsidR="00E1722D" w:rsidRPr="006038F2">
          <w:rPr>
            <w:rStyle w:val="Hyperlink"/>
            <w:rFonts w:ascii="Times New Roman" w:hAnsi="Times New Roman" w:cs="Times New Roman"/>
            <w:noProof/>
          </w:rPr>
          <w:t>Line graph depicting the changes in total radiant efficiency measurements after intranasal vaccination with GC. This experiment was one of the primarily run rounds set for optimization and preliminary results. The difference between the two groups is essentially insignificant at all time points.</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_Toc172659223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53</w:t>
        </w:r>
        <w:r w:rsidR="00E1722D" w:rsidRPr="006038F2">
          <w:rPr>
            <w:rFonts w:ascii="Times New Roman" w:hAnsi="Times New Roman" w:cs="Times New Roman"/>
            <w:noProof/>
            <w:webHidden/>
          </w:rPr>
          <w:fldChar w:fldCharType="end"/>
        </w:r>
      </w:hyperlink>
    </w:p>
    <w:p w14:paraId="4E6CF02B" w14:textId="574574B2"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24" w:history="1">
        <w:r w:rsidR="00E1722D" w:rsidRPr="006038F2">
          <w:rPr>
            <w:rStyle w:val="Hyperlink"/>
            <w:rFonts w:ascii="Times New Roman" w:hAnsi="Times New Roman" w:cs="Times New Roman"/>
            <w:b/>
            <w:bCs/>
            <w:noProof/>
          </w:rPr>
          <w:t xml:space="preserve">Figure 27: Previous round of intranasal imaging percentage increase in total radiant efficiency. </w:t>
        </w:r>
        <w:r w:rsidR="00E1722D" w:rsidRPr="006038F2">
          <w:rPr>
            <w:rStyle w:val="Hyperlink"/>
            <w:rFonts w:ascii="Times New Roman" w:hAnsi="Times New Roman" w:cs="Times New Roman"/>
            <w:noProof/>
          </w:rPr>
          <w:t>Bar graph depicting the percent increase in nasal fluorescent signal after intranasal vaccination with GC, as normalized to the background signal. This experiment was one of the primarily run rounds, where GC was administered to both WT (control) and IFN Reporter mice (test). No significance was found in comparisons between time points or between control and test.</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_Toc172659224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54</w:t>
        </w:r>
        <w:r w:rsidR="00E1722D" w:rsidRPr="006038F2">
          <w:rPr>
            <w:rFonts w:ascii="Times New Roman" w:hAnsi="Times New Roman" w:cs="Times New Roman"/>
            <w:noProof/>
            <w:webHidden/>
          </w:rPr>
          <w:fldChar w:fldCharType="end"/>
        </w:r>
      </w:hyperlink>
    </w:p>
    <w:p w14:paraId="44467458" w14:textId="05A64B26" w:rsidR="00E1722D" w:rsidRPr="006038F2" w:rsidRDefault="00000000">
      <w:pPr>
        <w:pStyle w:val="TableofFigures"/>
        <w:tabs>
          <w:tab w:val="right" w:leader="dot" w:pos="9350"/>
        </w:tabs>
        <w:rPr>
          <w:rFonts w:ascii="Times New Roman" w:hAnsi="Times New Roman" w:cs="Times New Roman"/>
          <w:noProof/>
          <w:kern w:val="2"/>
          <w:lang w:eastAsia="en-US"/>
          <w14:ligatures w14:val="standardContextual"/>
        </w:rPr>
      </w:pPr>
      <w:hyperlink w:anchor="_Toc172659225" w:history="1">
        <w:r w:rsidR="00E1722D" w:rsidRPr="006038F2">
          <w:rPr>
            <w:rStyle w:val="Hyperlink"/>
            <w:rFonts w:ascii="Times New Roman" w:hAnsi="Times New Roman" w:cs="Times New Roman"/>
            <w:b/>
            <w:bCs/>
            <w:noProof/>
          </w:rPr>
          <w:t xml:space="preserve">Figure 28: Previously run survival study of COVID treatment after GC and recombinant protein administration. </w:t>
        </w:r>
        <w:r w:rsidR="00E1722D" w:rsidRPr="006038F2">
          <w:rPr>
            <w:rStyle w:val="Hyperlink"/>
            <w:rFonts w:ascii="Times New Roman" w:hAnsi="Times New Roman" w:cs="Times New Roman"/>
            <w:noProof/>
          </w:rPr>
          <w:t>Graphs shows preliminary results of a previously run study in which GC was proven to reduce COVID mortality.</w:t>
        </w:r>
        <w:r w:rsidR="00E1722D" w:rsidRPr="006038F2">
          <w:rPr>
            <w:rFonts w:ascii="Times New Roman" w:hAnsi="Times New Roman" w:cs="Times New Roman"/>
            <w:noProof/>
            <w:webHidden/>
          </w:rPr>
          <w:tab/>
        </w:r>
        <w:r w:rsidR="00E1722D" w:rsidRPr="006038F2">
          <w:rPr>
            <w:rFonts w:ascii="Times New Roman" w:hAnsi="Times New Roman" w:cs="Times New Roman"/>
            <w:noProof/>
            <w:webHidden/>
          </w:rPr>
          <w:fldChar w:fldCharType="begin"/>
        </w:r>
        <w:r w:rsidR="00E1722D" w:rsidRPr="006038F2">
          <w:rPr>
            <w:rFonts w:ascii="Times New Roman" w:hAnsi="Times New Roman" w:cs="Times New Roman"/>
            <w:noProof/>
            <w:webHidden/>
          </w:rPr>
          <w:instrText xml:space="preserve"> PAGEREF _Toc172659225 \h </w:instrText>
        </w:r>
        <w:r w:rsidR="00E1722D" w:rsidRPr="006038F2">
          <w:rPr>
            <w:rFonts w:ascii="Times New Roman" w:hAnsi="Times New Roman" w:cs="Times New Roman"/>
            <w:noProof/>
            <w:webHidden/>
          </w:rPr>
        </w:r>
        <w:r w:rsidR="00E1722D" w:rsidRPr="006038F2">
          <w:rPr>
            <w:rFonts w:ascii="Times New Roman" w:hAnsi="Times New Roman" w:cs="Times New Roman"/>
            <w:noProof/>
            <w:webHidden/>
          </w:rPr>
          <w:fldChar w:fldCharType="separate"/>
        </w:r>
        <w:r w:rsidR="00952EB2" w:rsidRPr="006038F2">
          <w:rPr>
            <w:rFonts w:ascii="Times New Roman" w:hAnsi="Times New Roman" w:cs="Times New Roman"/>
            <w:noProof/>
            <w:webHidden/>
          </w:rPr>
          <w:t>55</w:t>
        </w:r>
        <w:r w:rsidR="00E1722D" w:rsidRPr="006038F2">
          <w:rPr>
            <w:rFonts w:ascii="Times New Roman" w:hAnsi="Times New Roman" w:cs="Times New Roman"/>
            <w:noProof/>
            <w:webHidden/>
          </w:rPr>
          <w:fldChar w:fldCharType="end"/>
        </w:r>
      </w:hyperlink>
    </w:p>
    <w:p w14:paraId="73874516" w14:textId="5DEA1BD3" w:rsidR="0003572A" w:rsidRPr="006038F2" w:rsidRDefault="0003572A" w:rsidP="0003572A">
      <w:pPr>
        <w:rPr>
          <w:rFonts w:ascii="Times New Roman" w:hAnsi="Times New Roman" w:cs="Times New Roman"/>
          <w:b/>
          <w:bCs/>
          <w:noProof/>
        </w:rPr>
      </w:pPr>
      <w:r w:rsidRPr="006038F2">
        <w:rPr>
          <w:rFonts w:ascii="Times New Roman" w:hAnsi="Times New Roman" w:cs="Times New Roman"/>
        </w:rPr>
        <w:fldChar w:fldCharType="end"/>
      </w:r>
    </w:p>
    <w:p w14:paraId="27724FEF" w14:textId="77777777" w:rsidR="0003572A" w:rsidRPr="006038F2" w:rsidRDefault="0003572A" w:rsidP="0003572A">
      <w:pPr>
        <w:rPr>
          <w:rFonts w:ascii="Times New Roman" w:eastAsiaTheme="majorEastAsia" w:hAnsi="Times New Roman" w:cs="Times New Roman"/>
          <w:color w:val="0F4761" w:themeColor="accent1" w:themeShade="BF"/>
          <w:kern w:val="2"/>
          <w:sz w:val="40"/>
          <w:szCs w:val="40"/>
          <w:lang w:eastAsia="en-US"/>
          <w14:ligatures w14:val="standardContextual"/>
        </w:rPr>
      </w:pPr>
      <w:r w:rsidRPr="006038F2">
        <w:rPr>
          <w:rFonts w:ascii="Times New Roman" w:hAnsi="Times New Roman" w:cs="Times New Roman"/>
        </w:rPr>
        <w:br w:type="page"/>
      </w:r>
    </w:p>
    <w:p w14:paraId="23077E60" w14:textId="7187DF6C" w:rsidR="003716CC" w:rsidRPr="006038F2" w:rsidRDefault="0003572A" w:rsidP="002F2F56">
      <w:pPr>
        <w:pStyle w:val="TitleTNR"/>
        <w:jc w:val="center"/>
        <w:rPr>
          <w:rFonts w:ascii="Times New Roman" w:hAnsi="Times New Roman" w:cs="Times New Roman"/>
          <w:b w:val="0"/>
          <w:bCs/>
          <w:i w:val="0"/>
          <w:iCs/>
          <w:color w:val="0F4761" w:themeColor="accent1" w:themeShade="BF"/>
          <w:sz w:val="40"/>
          <w:szCs w:val="40"/>
        </w:rPr>
      </w:pPr>
      <w:bookmarkStart w:id="0" w:name="_Toc172659129"/>
      <w:r w:rsidRPr="006038F2">
        <w:rPr>
          <w:rFonts w:ascii="Times New Roman" w:hAnsi="Times New Roman" w:cs="Times New Roman"/>
          <w:b w:val="0"/>
          <w:bCs/>
          <w:i w:val="0"/>
          <w:iCs/>
          <w:color w:val="0F4761" w:themeColor="accent1" w:themeShade="BF"/>
          <w:sz w:val="40"/>
          <w:szCs w:val="40"/>
        </w:rPr>
        <w:lastRenderedPageBreak/>
        <w:t>Abstract</w:t>
      </w:r>
      <w:bookmarkEnd w:id="0"/>
    </w:p>
    <w:p w14:paraId="199BF722" w14:textId="77777777" w:rsidR="003716CC" w:rsidRPr="006038F2" w:rsidRDefault="003716CC" w:rsidP="003716CC">
      <w:pPr>
        <w:rPr>
          <w:rFonts w:ascii="Times New Roman" w:hAnsi="Times New Roman" w:cs="Times New Roman"/>
        </w:rPr>
      </w:pPr>
    </w:p>
    <w:p w14:paraId="20305232" w14:textId="77777777" w:rsidR="003716CC" w:rsidRPr="006038F2" w:rsidRDefault="003716CC" w:rsidP="003716CC">
      <w:pPr>
        <w:rPr>
          <w:rFonts w:ascii="Times New Roman" w:hAnsi="Times New Roman" w:cs="Times New Roman"/>
        </w:rPr>
      </w:pPr>
    </w:p>
    <w:p w14:paraId="010C6C7D" w14:textId="77777777" w:rsidR="0003572A" w:rsidRPr="006038F2" w:rsidRDefault="0003572A" w:rsidP="009A2ADC">
      <w:pPr>
        <w:pStyle w:val="NormalWeb"/>
        <w:spacing w:line="480" w:lineRule="auto"/>
        <w:rPr>
          <w:color w:val="000000" w:themeColor="text1"/>
        </w:rPr>
      </w:pPr>
      <w:r w:rsidRPr="006038F2">
        <w:rPr>
          <w:color w:val="000000" w:themeColor="text1"/>
        </w:rPr>
        <w:t>N-</w:t>
      </w:r>
      <w:proofErr w:type="spellStart"/>
      <w:r w:rsidRPr="006038F2">
        <w:rPr>
          <w:color w:val="000000" w:themeColor="text1"/>
        </w:rPr>
        <w:t>dihydrogalactochitosan</w:t>
      </w:r>
      <w:proofErr w:type="spellEnd"/>
      <w:r w:rsidRPr="006038F2">
        <w:rPr>
          <w:color w:val="000000" w:themeColor="text1"/>
        </w:rPr>
        <w:t xml:space="preserve"> (GC) is a novel immunoadjuvant with unique physiochemical properties that poses significant improvements upon its parent molecule, chitosan. Its potent immune stimulation properties make it promising in the world of vaccinations, with already proven reduction of morbidity in COVID studies. The key to generating immunity against intracellular pathogens is to generate a type I/II interferon (IFN) response. GC stimulates the desired IFN responses while other currently used adjuvants such as MF-59 often fail to do so. For comparison purposes, the immune response specific to GC stimulation needs to be understood. It has been previously demonstrated that application of GC in combination with photothermal therapy reduces mortality in cancer treatment studies. Furthermore, intranasal application of GC in combination with recombinant viral proteins has reduced COVID-19 mortality in mice. The fundamental question remains: Is GC acting as a physical barrier, or is GC stimulating a local type I IFN response which in turn activates antiviral pathways in the respiratory epithelium? Building on previously found GC immune activations, now presented are the results of gene activation and interferon activation in </w:t>
      </w:r>
      <w:r w:rsidRPr="006038F2">
        <w:rPr>
          <w:i/>
          <w:iCs/>
          <w:color w:val="000000" w:themeColor="text1"/>
        </w:rPr>
        <w:t>in vivo</w:t>
      </w:r>
      <w:r w:rsidRPr="006038F2">
        <w:rPr>
          <w:color w:val="000000" w:themeColor="text1"/>
        </w:rPr>
        <w:t xml:space="preserve"> studies over time. This provides insight into the specific mechanisms by which GC succeeds at inducing anti-tumor and anti-viral immunological responses. </w:t>
      </w:r>
    </w:p>
    <w:p w14:paraId="54AAA9B0" w14:textId="77777777" w:rsidR="0003572A" w:rsidRPr="006038F2" w:rsidRDefault="0003572A" w:rsidP="009A2ADC">
      <w:pPr>
        <w:pStyle w:val="NormalWeb"/>
        <w:spacing w:line="480" w:lineRule="auto"/>
        <w:rPr>
          <w:color w:val="000000" w:themeColor="text1"/>
        </w:rPr>
      </w:pPr>
    </w:p>
    <w:p w14:paraId="5F2F0187" w14:textId="4BC5FAAB" w:rsidR="00062D98" w:rsidRPr="006038F2" w:rsidRDefault="0003572A" w:rsidP="003716CC">
      <w:pPr>
        <w:pStyle w:val="NormalWeb"/>
        <w:spacing w:line="480" w:lineRule="auto"/>
        <w:rPr>
          <w:color w:val="000000" w:themeColor="text1"/>
        </w:rPr>
        <w:sectPr w:rsidR="00062D98" w:rsidRPr="006038F2" w:rsidSect="003D1A49">
          <w:footerReference w:type="default" r:id="rId9"/>
          <w:pgSz w:w="12240" w:h="15840"/>
          <w:pgMar w:top="1440" w:right="1440" w:bottom="1440" w:left="1440" w:header="720" w:footer="720" w:gutter="0"/>
          <w:pgNumType w:fmt="lowerRoman" w:start="4"/>
          <w:cols w:space="720"/>
          <w:docGrid w:linePitch="360"/>
        </w:sectPr>
      </w:pPr>
      <w:r w:rsidRPr="006038F2">
        <w:rPr>
          <w:color w:val="000000" w:themeColor="text1"/>
        </w:rPr>
        <w:t>Keywords: glycated chitosan (GC); type I</w:t>
      </w:r>
      <w:r w:rsidR="003B551E" w:rsidRPr="006038F2">
        <w:rPr>
          <w:color w:val="000000" w:themeColor="text1"/>
        </w:rPr>
        <w:t xml:space="preserve"> </w:t>
      </w:r>
      <w:r w:rsidRPr="006038F2">
        <w:rPr>
          <w:color w:val="000000" w:themeColor="text1"/>
        </w:rPr>
        <w:t>interferon response; immunoadjuvant; anti-tumor and anti-viral immune response</w:t>
      </w:r>
    </w:p>
    <w:p w14:paraId="73E2F988" w14:textId="77777777" w:rsidR="009674B3" w:rsidRPr="006038F2" w:rsidRDefault="0003572A" w:rsidP="00062D98">
      <w:pPr>
        <w:pStyle w:val="Heading1"/>
        <w:spacing w:line="480" w:lineRule="auto"/>
        <w:jc w:val="center"/>
        <w:rPr>
          <w:rFonts w:ascii="Times New Roman" w:hAnsi="Times New Roman" w:cs="Times New Roman"/>
        </w:rPr>
      </w:pPr>
      <w:bookmarkStart w:id="1" w:name="_Toc172659130"/>
      <w:r w:rsidRPr="006038F2">
        <w:rPr>
          <w:rFonts w:ascii="Times New Roman" w:hAnsi="Times New Roman" w:cs="Times New Roman"/>
        </w:rPr>
        <w:lastRenderedPageBreak/>
        <w:t>Chapter 1</w:t>
      </w:r>
      <w:bookmarkEnd w:id="1"/>
    </w:p>
    <w:p w14:paraId="1D0FB301" w14:textId="7DA667A4" w:rsidR="0003572A" w:rsidRPr="006038F2" w:rsidRDefault="0003572A" w:rsidP="009674B3">
      <w:pPr>
        <w:pStyle w:val="Heading1"/>
        <w:spacing w:line="480" w:lineRule="auto"/>
        <w:jc w:val="center"/>
        <w:rPr>
          <w:rFonts w:ascii="Times New Roman" w:hAnsi="Times New Roman" w:cs="Times New Roman"/>
        </w:rPr>
      </w:pPr>
      <w:bookmarkStart w:id="2" w:name="_Toc172659131"/>
      <w:r w:rsidRPr="006038F2">
        <w:rPr>
          <w:rFonts w:ascii="Times New Roman" w:hAnsi="Times New Roman" w:cs="Times New Roman"/>
        </w:rPr>
        <w:t>Introduction</w:t>
      </w:r>
      <w:bookmarkEnd w:id="2"/>
    </w:p>
    <w:p w14:paraId="41222B81" w14:textId="77777777" w:rsidR="009674B3" w:rsidRPr="006038F2" w:rsidRDefault="009674B3" w:rsidP="00F00752">
      <w:pPr>
        <w:spacing w:line="480" w:lineRule="auto"/>
        <w:rPr>
          <w:rFonts w:ascii="Times New Roman" w:hAnsi="Times New Roman" w:cs="Times New Roman"/>
        </w:rPr>
      </w:pPr>
    </w:p>
    <w:p w14:paraId="2FC09E3E" w14:textId="77777777" w:rsidR="009674B3" w:rsidRPr="006038F2" w:rsidRDefault="009674B3" w:rsidP="00F00752">
      <w:pPr>
        <w:spacing w:line="480" w:lineRule="auto"/>
        <w:rPr>
          <w:rFonts w:ascii="Times New Roman" w:hAnsi="Times New Roman" w:cs="Times New Roman"/>
        </w:rPr>
      </w:pPr>
    </w:p>
    <w:p w14:paraId="7E52FA63" w14:textId="49531073" w:rsidR="0003572A" w:rsidRPr="006038F2" w:rsidRDefault="0003572A" w:rsidP="009A2ADC">
      <w:pPr>
        <w:pStyle w:val="Heading2"/>
        <w:spacing w:line="480" w:lineRule="auto"/>
        <w:rPr>
          <w:rFonts w:ascii="Times New Roman" w:hAnsi="Times New Roman" w:cs="Times New Roman"/>
        </w:rPr>
      </w:pPr>
      <w:bookmarkStart w:id="3" w:name="_Toc172659132"/>
      <w:r w:rsidRPr="006038F2">
        <w:rPr>
          <w:rFonts w:ascii="Times New Roman" w:hAnsi="Times New Roman" w:cs="Times New Roman"/>
        </w:rPr>
        <w:t>1.1 Immuno</w:t>
      </w:r>
      <w:r w:rsidR="003719D4" w:rsidRPr="006038F2">
        <w:rPr>
          <w:rFonts w:ascii="Times New Roman" w:hAnsi="Times New Roman" w:cs="Times New Roman"/>
        </w:rPr>
        <w:t>stimulants/Immuno</w:t>
      </w:r>
      <w:r w:rsidRPr="006038F2">
        <w:rPr>
          <w:rFonts w:ascii="Times New Roman" w:hAnsi="Times New Roman" w:cs="Times New Roman"/>
        </w:rPr>
        <w:t>adjuvants</w:t>
      </w:r>
      <w:bookmarkEnd w:id="3"/>
    </w:p>
    <w:p w14:paraId="505C9DAD" w14:textId="01AE26F9" w:rsidR="0003572A" w:rsidRPr="006038F2" w:rsidRDefault="0003572A" w:rsidP="009A2ADC">
      <w:pPr>
        <w:spacing w:line="480" w:lineRule="auto"/>
        <w:ind w:firstLine="480"/>
        <w:rPr>
          <w:rFonts w:ascii="Times New Roman" w:hAnsi="Times New Roman" w:cs="Times New Roman"/>
        </w:rPr>
      </w:pPr>
      <w:r w:rsidRPr="006038F2">
        <w:rPr>
          <w:rFonts w:ascii="Times New Roman" w:hAnsi="Times New Roman" w:cs="Times New Roman"/>
        </w:rPr>
        <w:t>Immunostimulants are substances that strengthen the body’s immune responses to protect against pathogens</w:t>
      </w:r>
      <w:sdt>
        <w:sdtPr>
          <w:rPr>
            <w:rFonts w:ascii="Times New Roman" w:hAnsi="Times New Roman" w:cs="Times New Roman"/>
          </w:rPr>
          <w:id w:val="1069616952"/>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Bal19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(Esha Bala, 2019)</w:t>
          </w:r>
          <w:r w:rsidRPr="006038F2">
            <w:rPr>
              <w:rFonts w:ascii="Times New Roman" w:hAnsi="Times New Roman" w:cs="Times New Roman"/>
            </w:rPr>
            <w:fldChar w:fldCharType="end"/>
          </w:r>
        </w:sdtContent>
      </w:sdt>
      <w:r w:rsidRPr="006038F2">
        <w:rPr>
          <w:rFonts w:ascii="Times New Roman" w:hAnsi="Times New Roman" w:cs="Times New Roman"/>
        </w:rPr>
        <w:t xml:space="preserve">. Immunoadjuvants, a subset of immunostimulants, are substances meant to enhance the immune response when used in conjugation with other inoculation substances (e.g., vaccines and recombinant proteins) </w:t>
      </w:r>
      <w:sdt>
        <w:sdtPr>
          <w:rPr>
            <w:rFonts w:ascii="Times New Roman" w:hAnsi="Times New Roman" w:cs="Times New Roman"/>
          </w:rPr>
          <w:id w:val="-1039122172"/>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Zho15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(Zhou e. a., 2015)</w:t>
          </w:r>
          <w:r w:rsidRPr="006038F2">
            <w:rPr>
              <w:rFonts w:ascii="Times New Roman" w:hAnsi="Times New Roman" w:cs="Times New Roman"/>
            </w:rPr>
            <w:fldChar w:fldCharType="end"/>
          </w:r>
        </w:sdtContent>
      </w:sdt>
      <w:r w:rsidRPr="006038F2">
        <w:rPr>
          <w:rFonts w:ascii="Times New Roman" w:hAnsi="Times New Roman" w:cs="Times New Roman"/>
        </w:rPr>
        <w:t>. The benefit is that they are able to enhance the body’s natural defense responses, generating an even stronger reaction to create protection against pathogens of all kinds</w:t>
      </w:r>
      <w:r w:rsidR="00EF28C4" w:rsidRPr="006038F2">
        <w:rPr>
          <w:rFonts w:ascii="Times New Roman" w:hAnsi="Times New Roman" w:cs="Times New Roman"/>
        </w:rPr>
        <w:t xml:space="preserve"> </w:t>
      </w:r>
      <w:sdt>
        <w:sdtPr>
          <w:rPr>
            <w:rFonts w:ascii="Times New Roman" w:hAnsi="Times New Roman" w:cs="Times New Roman"/>
          </w:rPr>
          <w:id w:val="140700161"/>
          <w:citation/>
        </w:sdtPr>
        <w:sdtContent>
          <w:r w:rsidR="00EF28C4" w:rsidRPr="006038F2">
            <w:rPr>
              <w:rFonts w:ascii="Times New Roman" w:hAnsi="Times New Roman" w:cs="Times New Roman"/>
            </w:rPr>
            <w:fldChar w:fldCharType="begin"/>
          </w:r>
          <w:r w:rsidR="00EF28C4" w:rsidRPr="006038F2">
            <w:rPr>
              <w:rFonts w:ascii="Times New Roman" w:hAnsi="Times New Roman" w:cs="Times New Roman"/>
            </w:rPr>
            <w:instrText xml:space="preserve"> CITATION McN15 \l 1033 </w:instrText>
          </w:r>
          <w:r w:rsidR="00EF28C4" w:rsidRPr="006038F2">
            <w:rPr>
              <w:rFonts w:ascii="Times New Roman" w:hAnsi="Times New Roman" w:cs="Times New Roman"/>
            </w:rPr>
            <w:fldChar w:fldCharType="separate"/>
          </w:r>
          <w:r w:rsidR="00B56B5A" w:rsidRPr="006038F2">
            <w:rPr>
              <w:rFonts w:ascii="Times New Roman" w:hAnsi="Times New Roman" w:cs="Times New Roman"/>
              <w:noProof/>
            </w:rPr>
            <w:t>(McNab, 2015)</w:t>
          </w:r>
          <w:r w:rsidR="00EF28C4" w:rsidRPr="006038F2">
            <w:rPr>
              <w:rFonts w:ascii="Times New Roman" w:hAnsi="Times New Roman" w:cs="Times New Roman"/>
            </w:rPr>
            <w:fldChar w:fldCharType="end"/>
          </w:r>
        </w:sdtContent>
      </w:sdt>
      <w:r w:rsidRPr="006038F2">
        <w:rPr>
          <w:rFonts w:ascii="Times New Roman" w:hAnsi="Times New Roman" w:cs="Times New Roman"/>
        </w:rPr>
        <w:t>. This makes them useful in vaccine formulations, and they are also coming into play with much promise in the world of cancer therapeutics</w:t>
      </w:r>
      <w:r w:rsidR="00F8104A" w:rsidRPr="006038F2">
        <w:rPr>
          <w:rFonts w:ascii="Times New Roman" w:hAnsi="Times New Roman" w:cs="Times New Roman"/>
        </w:rPr>
        <w:t>. In both of these application fields, immunoadjuvants have shown enhanced efficacy. Additionally,</w:t>
      </w:r>
      <w:r w:rsidRPr="006038F2">
        <w:rPr>
          <w:rFonts w:ascii="Times New Roman" w:hAnsi="Times New Roman" w:cs="Times New Roman"/>
        </w:rPr>
        <w:t xml:space="preserve"> both</w:t>
      </w:r>
      <w:r w:rsidR="00F8104A" w:rsidRPr="006038F2">
        <w:rPr>
          <w:rFonts w:ascii="Times New Roman" w:hAnsi="Times New Roman" w:cs="Times New Roman"/>
        </w:rPr>
        <w:t xml:space="preserve"> of these applications</w:t>
      </w:r>
      <w:r w:rsidRPr="006038F2">
        <w:rPr>
          <w:rFonts w:ascii="Times New Roman" w:hAnsi="Times New Roman" w:cs="Times New Roman"/>
        </w:rPr>
        <w:t xml:space="preserve"> demand immune interplay for success</w:t>
      </w:r>
      <w:r w:rsidR="00F8104A" w:rsidRPr="006038F2">
        <w:rPr>
          <w:rFonts w:ascii="Times New Roman" w:hAnsi="Times New Roman" w:cs="Times New Roman"/>
        </w:rPr>
        <w:t>, so better mechanistic understanding is key to improved therapies</w:t>
      </w:r>
      <w:r w:rsidRPr="006038F2">
        <w:rPr>
          <w:rFonts w:ascii="Times New Roman" w:hAnsi="Times New Roman" w:cs="Times New Roman"/>
        </w:rPr>
        <w:t xml:space="preserve"> </w:t>
      </w:r>
      <w:sdt>
        <w:sdtPr>
          <w:rPr>
            <w:rFonts w:ascii="Times New Roman" w:hAnsi="Times New Roman" w:cs="Times New Roman"/>
          </w:rPr>
          <w:id w:val="-26091385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CDC22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(CDC, 2022)</w:t>
          </w:r>
          <w:r w:rsidRPr="006038F2">
            <w:rPr>
              <w:rFonts w:ascii="Times New Roman" w:hAnsi="Times New Roman" w:cs="Times New Roman"/>
            </w:rPr>
            <w:fldChar w:fldCharType="end"/>
          </w:r>
        </w:sdtContent>
      </w:sdt>
      <w:r w:rsidRPr="006038F2">
        <w:rPr>
          <w:rFonts w:ascii="Times New Roman" w:hAnsi="Times New Roman" w:cs="Times New Roman"/>
        </w:rPr>
        <w:t xml:space="preserve">. </w:t>
      </w:r>
    </w:p>
    <w:p w14:paraId="0C19DD7A" w14:textId="77777777" w:rsidR="0003572A" w:rsidRPr="006038F2" w:rsidRDefault="0003572A" w:rsidP="007739FD">
      <w:pPr>
        <w:pStyle w:val="Heading2"/>
        <w:spacing w:line="480" w:lineRule="auto"/>
        <w:rPr>
          <w:rFonts w:ascii="Times New Roman" w:hAnsi="Times New Roman" w:cs="Times New Roman"/>
        </w:rPr>
      </w:pPr>
      <w:bookmarkStart w:id="4" w:name="_Toc172659133"/>
      <w:r w:rsidRPr="006038F2">
        <w:rPr>
          <w:rFonts w:ascii="Times New Roman" w:hAnsi="Times New Roman" w:cs="Times New Roman"/>
        </w:rPr>
        <w:lastRenderedPageBreak/>
        <w:t>1.2 Glycated Chitosan</w:t>
      </w:r>
      <w:bookmarkEnd w:id="4"/>
    </w:p>
    <w:p w14:paraId="3F73E3AE" w14:textId="77777777" w:rsidR="00221419" w:rsidRPr="006038F2" w:rsidRDefault="00221419" w:rsidP="007739FD">
      <w:pPr>
        <w:spacing w:line="480" w:lineRule="auto"/>
        <w:jc w:val="center"/>
        <w:rPr>
          <w:rFonts w:ascii="Times New Roman" w:hAnsi="Times New Roman" w:cs="Times New Roman"/>
        </w:rPr>
      </w:pPr>
      <w:r w:rsidRPr="006038F2">
        <w:rPr>
          <w:rFonts w:ascii="Times New Roman" w:hAnsi="Times New Roman" w:cs="Times New Roman"/>
          <w:noProof/>
        </w:rPr>
        <w:drawing>
          <wp:inline distT="0" distB="0" distL="0" distR="0" wp14:anchorId="79A23EAC" wp14:editId="57FA4DB1">
            <wp:extent cx="2265805" cy="3605318"/>
            <wp:effectExtent l="12700" t="12700" r="7620" b="14605"/>
            <wp:docPr id="2050" name="Picture 2">
              <a:extLst xmlns:a="http://schemas.openxmlformats.org/drawingml/2006/main">
                <a:ext uri="{FF2B5EF4-FFF2-40B4-BE49-F238E27FC236}">
                  <a16:creationId xmlns:a16="http://schemas.microsoft.com/office/drawing/2014/main" id="{30307810-A3FB-122A-D195-30C79C92B1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a:extLst>
                        <a:ext uri="{FF2B5EF4-FFF2-40B4-BE49-F238E27FC236}">
                          <a16:creationId xmlns:a16="http://schemas.microsoft.com/office/drawing/2014/main" id="{30307810-A3FB-122A-D195-30C79C92B157}"/>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34637" t="51278" r="34931" b="8652"/>
                    <a:stretch/>
                  </pic:blipFill>
                  <pic:spPr bwMode="auto">
                    <a:xfrm>
                      <a:off x="0" y="0"/>
                      <a:ext cx="2441039" cy="3884149"/>
                    </a:xfrm>
                    <a:prstGeom prst="rect">
                      <a:avLst/>
                    </a:prstGeom>
                    <a:noFill/>
                    <a:ln>
                      <a:solidFill>
                        <a:schemeClr val="tx1"/>
                      </a:solidFill>
                    </a:ln>
                  </pic:spPr>
                </pic:pic>
              </a:graphicData>
            </a:graphic>
          </wp:inline>
        </w:drawing>
      </w:r>
    </w:p>
    <w:p w14:paraId="756F0731" w14:textId="40B37B6D" w:rsidR="00221419" w:rsidRPr="006038F2" w:rsidRDefault="00221419" w:rsidP="007739FD">
      <w:pPr>
        <w:pStyle w:val="Caption"/>
        <w:spacing w:line="480" w:lineRule="auto"/>
        <w:rPr>
          <w:rFonts w:ascii="Times New Roman" w:hAnsi="Times New Roman" w:cs="Times New Roman"/>
        </w:rPr>
      </w:pPr>
      <w:bookmarkStart w:id="5" w:name="_Ref172616466"/>
      <w:bookmarkStart w:id="6" w:name="_Toc172659198"/>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w:t>
      </w:r>
      <w:r w:rsidRPr="006038F2">
        <w:rPr>
          <w:rFonts w:ascii="Times New Roman" w:hAnsi="Times New Roman" w:cs="Times New Roman"/>
          <w:b/>
          <w:bCs/>
        </w:rPr>
        <w:fldChar w:fldCharType="end"/>
      </w:r>
      <w:bookmarkEnd w:id="5"/>
      <w:r w:rsidRPr="006038F2">
        <w:rPr>
          <w:rFonts w:ascii="Times New Roman" w:hAnsi="Times New Roman" w:cs="Times New Roman"/>
          <w:b/>
          <w:bCs/>
        </w:rPr>
        <w:t xml:space="preserve">: Glycated Chitosan Chemical Structure. </w:t>
      </w:r>
      <w:r w:rsidRPr="006038F2">
        <w:rPr>
          <w:rFonts w:ascii="Times New Roman" w:hAnsi="Times New Roman" w:cs="Times New Roman"/>
        </w:rPr>
        <w:t>This figure shows the chemical structure of GC, a novel immunoadjuvant derived from parent chitosan.</w:t>
      </w:r>
      <w:bookmarkEnd w:id="6"/>
    </w:p>
    <w:p w14:paraId="57524CD0" w14:textId="7FAB349E" w:rsidR="0003572A" w:rsidRPr="006038F2" w:rsidRDefault="0003572A" w:rsidP="007739FD">
      <w:pPr>
        <w:spacing w:line="480" w:lineRule="auto"/>
        <w:ind w:firstLine="480"/>
        <w:rPr>
          <w:rFonts w:ascii="Times New Roman" w:hAnsi="Times New Roman" w:cs="Times New Roman"/>
        </w:rPr>
      </w:pPr>
      <w:r w:rsidRPr="006038F2">
        <w:rPr>
          <w:rFonts w:ascii="Times New Roman" w:hAnsi="Times New Roman" w:cs="Times New Roman"/>
        </w:rPr>
        <w:t>N-</w:t>
      </w:r>
      <w:proofErr w:type="spellStart"/>
      <w:r w:rsidRPr="006038F2">
        <w:rPr>
          <w:rFonts w:ascii="Times New Roman" w:hAnsi="Times New Roman" w:cs="Times New Roman"/>
        </w:rPr>
        <w:t>dihydrogalactochitosan</w:t>
      </w:r>
      <w:proofErr w:type="spellEnd"/>
      <w:r w:rsidRPr="006038F2">
        <w:rPr>
          <w:rFonts w:ascii="Times New Roman" w:hAnsi="Times New Roman" w:cs="Times New Roman"/>
        </w:rPr>
        <w:t>, commonly called glycated chitosan (GC), is a novel immunostimulant to improve upon the effects of current adjuvants in cancer combination therapy</w:t>
      </w:r>
      <w:r w:rsidR="00017912" w:rsidRPr="006038F2">
        <w:rPr>
          <w:rFonts w:ascii="Times New Roman" w:hAnsi="Times New Roman" w:cs="Times New Roman"/>
        </w:rPr>
        <w:t xml:space="preserve"> (</w:t>
      </w:r>
      <w:r w:rsidR="009823F3" w:rsidRPr="006038F2">
        <w:rPr>
          <w:rFonts w:ascii="Times New Roman" w:hAnsi="Times New Roman" w:cs="Times New Roman"/>
        </w:rPr>
        <w:fldChar w:fldCharType="begin"/>
      </w:r>
      <w:r w:rsidR="009823F3" w:rsidRPr="006038F2">
        <w:rPr>
          <w:rFonts w:ascii="Times New Roman" w:hAnsi="Times New Roman" w:cs="Times New Roman"/>
        </w:rPr>
        <w:instrText xml:space="preserve"> REF _Ref172616466 \h </w:instrText>
      </w:r>
      <w:r w:rsidR="007739FD" w:rsidRPr="006038F2">
        <w:rPr>
          <w:rFonts w:ascii="Times New Roman" w:hAnsi="Times New Roman" w:cs="Times New Roman"/>
        </w:rPr>
        <w:instrText xml:space="preserve"> \* MERGEFORMAT </w:instrText>
      </w:r>
      <w:r w:rsidR="009823F3" w:rsidRPr="006038F2">
        <w:rPr>
          <w:rFonts w:ascii="Times New Roman" w:hAnsi="Times New Roman" w:cs="Times New Roman"/>
        </w:rPr>
      </w:r>
      <w:r w:rsidR="009823F3" w:rsidRPr="006038F2">
        <w:rPr>
          <w:rFonts w:ascii="Times New Roman" w:hAnsi="Times New Roman" w:cs="Times New Roman"/>
        </w:rPr>
        <w:fldChar w:fldCharType="separate"/>
      </w:r>
      <w:r w:rsidR="009823F3" w:rsidRPr="006038F2">
        <w:rPr>
          <w:rFonts w:ascii="Times New Roman" w:hAnsi="Times New Roman" w:cs="Times New Roman"/>
          <w:b/>
          <w:bCs/>
        </w:rPr>
        <w:t xml:space="preserve">Figure </w:t>
      </w:r>
      <w:r w:rsidR="009823F3" w:rsidRPr="006038F2">
        <w:rPr>
          <w:rFonts w:ascii="Times New Roman" w:hAnsi="Times New Roman" w:cs="Times New Roman"/>
          <w:b/>
          <w:bCs/>
          <w:noProof/>
        </w:rPr>
        <w:t>1</w:t>
      </w:r>
      <w:r w:rsidR="009823F3" w:rsidRPr="006038F2">
        <w:rPr>
          <w:rFonts w:ascii="Times New Roman" w:hAnsi="Times New Roman" w:cs="Times New Roman"/>
        </w:rPr>
        <w:fldChar w:fldCharType="end"/>
      </w:r>
      <w:r w:rsidR="009823F3" w:rsidRPr="006038F2">
        <w:rPr>
          <w:rFonts w:ascii="Times New Roman" w:hAnsi="Times New Roman" w:cs="Times New Roman"/>
        </w:rPr>
        <w:t>)</w:t>
      </w:r>
      <w:r w:rsidRPr="006038F2">
        <w:rPr>
          <w:rFonts w:ascii="Times New Roman" w:hAnsi="Times New Roman" w:cs="Times New Roman"/>
        </w:rPr>
        <w:t xml:space="preserve">. GC retains the biological properties of its parent molecule chitosan, a commonly used adjuvant </w:t>
      </w:r>
      <w:sdt>
        <w:sdtPr>
          <w:rPr>
            <w:rFonts w:ascii="Times New Roman" w:hAnsi="Times New Roman" w:cs="Times New Roman"/>
          </w:rPr>
          <w:id w:val="171161757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Zha18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(Zhao, 2018)</w:t>
          </w:r>
          <w:r w:rsidRPr="006038F2">
            <w:rPr>
              <w:rFonts w:ascii="Times New Roman" w:hAnsi="Times New Roman" w:cs="Times New Roman"/>
            </w:rPr>
            <w:fldChar w:fldCharType="end"/>
          </w:r>
        </w:sdtContent>
      </w:sdt>
      <w:sdt>
        <w:sdtPr>
          <w:rPr>
            <w:rFonts w:ascii="Times New Roman" w:hAnsi="Times New Roman" w:cs="Times New Roman"/>
          </w:rPr>
          <w:id w:val="-1712099744"/>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Car16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(Carroll, 2016)</w:t>
          </w:r>
          <w:r w:rsidRPr="006038F2">
            <w:rPr>
              <w:rFonts w:ascii="Times New Roman" w:hAnsi="Times New Roman" w:cs="Times New Roman"/>
            </w:rPr>
            <w:fldChar w:fldCharType="end"/>
          </w:r>
        </w:sdtContent>
      </w:sdt>
      <w:r w:rsidRPr="006038F2">
        <w:rPr>
          <w:rFonts w:ascii="Times New Roman" w:hAnsi="Times New Roman" w:cs="Times New Roman"/>
        </w:rPr>
        <w:t xml:space="preserve">. However, GC also improves the biocompatibility and immune stimulation properties and adds water solubility, making it much more promising for clinical applications </w:t>
      </w:r>
      <w:sdt>
        <w:sdtPr>
          <w:rPr>
            <w:rFonts w:ascii="Times New Roman" w:hAnsi="Times New Roman" w:cs="Times New Roman"/>
          </w:rPr>
          <w:id w:val="1805187097"/>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Son09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(Song, 2009)</w:t>
          </w:r>
          <w:r w:rsidRPr="006038F2">
            <w:rPr>
              <w:rFonts w:ascii="Times New Roman" w:hAnsi="Times New Roman" w:cs="Times New Roman"/>
            </w:rPr>
            <w:fldChar w:fldCharType="end"/>
          </w:r>
        </w:sdtContent>
      </w:sdt>
      <w:r w:rsidRPr="006038F2">
        <w:rPr>
          <w:rFonts w:ascii="Times New Roman" w:hAnsi="Times New Roman" w:cs="Times New Roman"/>
        </w:rPr>
        <w:t>. Additionally, GC has been shown to induce interferon responses that significantly enhance drug efficacy in cancer therapies</w:t>
      </w:r>
      <w:sdt>
        <w:sdtPr>
          <w:rPr>
            <w:rFonts w:ascii="Times New Roman" w:hAnsi="Times New Roman" w:cs="Times New Roman"/>
          </w:rPr>
          <w:id w:val="144272618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Hoo22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(Hoover, 2022)</w:t>
          </w:r>
          <w:r w:rsidRPr="006038F2">
            <w:rPr>
              <w:rFonts w:ascii="Times New Roman" w:hAnsi="Times New Roman" w:cs="Times New Roman"/>
            </w:rPr>
            <w:fldChar w:fldCharType="end"/>
          </w:r>
        </w:sdtContent>
      </w:sdt>
      <w:r w:rsidRPr="006038F2">
        <w:rPr>
          <w:rFonts w:ascii="Times New Roman" w:hAnsi="Times New Roman" w:cs="Times New Roman"/>
        </w:rPr>
        <w:t>. When used as an immunoadjuvant, i.e., in combination with antigenic material, GC stimulates the innate response and improves the adaptive response</w:t>
      </w:r>
      <w:r w:rsidR="00EF28C4" w:rsidRPr="006038F2">
        <w:rPr>
          <w:rFonts w:ascii="Times New Roman" w:hAnsi="Times New Roman" w:cs="Times New Roman"/>
        </w:rPr>
        <w:t xml:space="preserve"> </w:t>
      </w:r>
      <w:sdt>
        <w:sdtPr>
          <w:rPr>
            <w:rFonts w:ascii="Times New Roman" w:hAnsi="Times New Roman" w:cs="Times New Roman"/>
          </w:rPr>
          <w:id w:val="790250599"/>
          <w:citation/>
        </w:sdtPr>
        <w:sdtContent>
          <w:r w:rsidR="00EF28C4" w:rsidRPr="006038F2">
            <w:rPr>
              <w:rFonts w:ascii="Times New Roman" w:hAnsi="Times New Roman" w:cs="Times New Roman"/>
            </w:rPr>
            <w:fldChar w:fldCharType="begin"/>
          </w:r>
          <w:r w:rsidR="00EF28C4" w:rsidRPr="006038F2">
            <w:rPr>
              <w:rFonts w:ascii="Times New Roman" w:hAnsi="Times New Roman" w:cs="Times New Roman"/>
            </w:rPr>
            <w:instrText xml:space="preserve"> CITATION Lie11 \l 1033 </w:instrText>
          </w:r>
          <w:r w:rsidR="00EF28C4" w:rsidRPr="006038F2">
            <w:rPr>
              <w:rFonts w:ascii="Times New Roman" w:hAnsi="Times New Roman" w:cs="Times New Roman"/>
            </w:rPr>
            <w:fldChar w:fldCharType="separate"/>
          </w:r>
          <w:r w:rsidR="00B56B5A" w:rsidRPr="006038F2">
            <w:rPr>
              <w:rFonts w:ascii="Times New Roman" w:hAnsi="Times New Roman" w:cs="Times New Roman"/>
              <w:noProof/>
            </w:rPr>
            <w:t>(Li, 2011)</w:t>
          </w:r>
          <w:r w:rsidR="00EF28C4" w:rsidRPr="006038F2">
            <w:rPr>
              <w:rFonts w:ascii="Times New Roman" w:hAnsi="Times New Roman" w:cs="Times New Roman"/>
            </w:rPr>
            <w:fldChar w:fldCharType="end"/>
          </w:r>
        </w:sdtContent>
      </w:sdt>
      <w:r w:rsidRPr="006038F2">
        <w:rPr>
          <w:rFonts w:ascii="Times New Roman" w:hAnsi="Times New Roman" w:cs="Times New Roman"/>
        </w:rPr>
        <w:t xml:space="preserve">. </w:t>
      </w:r>
    </w:p>
    <w:p w14:paraId="0B59A9F2" w14:textId="77777777" w:rsidR="0003572A" w:rsidRPr="006038F2" w:rsidRDefault="0003572A" w:rsidP="007739FD">
      <w:pPr>
        <w:pStyle w:val="Heading2"/>
        <w:spacing w:line="480" w:lineRule="auto"/>
        <w:rPr>
          <w:rFonts w:ascii="Times New Roman" w:hAnsi="Times New Roman" w:cs="Times New Roman"/>
        </w:rPr>
      </w:pPr>
      <w:bookmarkStart w:id="7" w:name="_Toc172659134"/>
      <w:r w:rsidRPr="006038F2">
        <w:rPr>
          <w:rFonts w:ascii="Times New Roman" w:hAnsi="Times New Roman" w:cs="Times New Roman"/>
        </w:rPr>
        <w:lastRenderedPageBreak/>
        <w:t>1.3 GC in Laser Immunotherapy</w:t>
      </w:r>
      <w:bookmarkEnd w:id="7"/>
    </w:p>
    <w:p w14:paraId="5C4FFCDB" w14:textId="77777777" w:rsidR="00221419" w:rsidRPr="006038F2" w:rsidRDefault="00221419" w:rsidP="007739FD">
      <w:pPr>
        <w:spacing w:line="480" w:lineRule="auto"/>
        <w:jc w:val="center"/>
        <w:rPr>
          <w:rFonts w:ascii="Times New Roman" w:hAnsi="Times New Roman" w:cs="Times New Roman"/>
        </w:rPr>
      </w:pPr>
      <w:r w:rsidRPr="006038F2">
        <w:rPr>
          <w:rFonts w:ascii="Times New Roman" w:hAnsi="Times New Roman" w:cs="Times New Roman"/>
          <w:noProof/>
        </w:rPr>
        <w:drawing>
          <wp:inline distT="0" distB="0" distL="0" distR="0" wp14:anchorId="51F3276D" wp14:editId="783C6ED0">
            <wp:extent cx="5852160" cy="5266944"/>
            <wp:effectExtent l="0" t="0" r="2540" b="3810"/>
            <wp:docPr id="1026" name="Picture 2">
              <a:extLst xmlns:a="http://schemas.openxmlformats.org/drawingml/2006/main">
                <a:ext uri="{FF2B5EF4-FFF2-40B4-BE49-F238E27FC236}">
                  <a16:creationId xmlns:a16="http://schemas.microsoft.com/office/drawing/2014/main" id="{408F1DD1-64E1-D298-4278-742D8E7D1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FF2B5EF4-FFF2-40B4-BE49-F238E27FC236}">
                          <a16:creationId xmlns:a16="http://schemas.microsoft.com/office/drawing/2014/main" id="{408F1DD1-64E1-D298-4278-742D8E7D118C}"/>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13300" cy="5321970"/>
                    </a:xfrm>
                    <a:prstGeom prst="rect">
                      <a:avLst/>
                    </a:prstGeom>
                    <a:noFill/>
                  </pic:spPr>
                </pic:pic>
              </a:graphicData>
            </a:graphic>
          </wp:inline>
        </w:drawing>
      </w:r>
    </w:p>
    <w:p w14:paraId="7F5789D7" w14:textId="7289DC56" w:rsidR="00221419" w:rsidRPr="006038F2" w:rsidRDefault="00221419" w:rsidP="007739FD">
      <w:pPr>
        <w:pStyle w:val="Caption"/>
        <w:spacing w:line="480" w:lineRule="auto"/>
        <w:rPr>
          <w:rFonts w:ascii="Times New Roman" w:hAnsi="Times New Roman" w:cs="Times New Roman"/>
        </w:rPr>
      </w:pPr>
      <w:bookmarkStart w:id="8" w:name="_Toc172659199"/>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w:t>
      </w:r>
      <w:r w:rsidRPr="006038F2">
        <w:rPr>
          <w:rFonts w:ascii="Times New Roman" w:hAnsi="Times New Roman" w:cs="Times New Roman"/>
          <w:b/>
          <w:bCs/>
        </w:rPr>
        <w:fldChar w:fldCharType="end"/>
      </w:r>
      <w:r w:rsidRPr="006038F2">
        <w:rPr>
          <w:rFonts w:ascii="Times New Roman" w:hAnsi="Times New Roman" w:cs="Times New Roman"/>
          <w:b/>
          <w:bCs/>
        </w:rPr>
        <w:t xml:space="preserve">: Previous results using LIT. </w:t>
      </w:r>
      <w:r w:rsidRPr="006038F2">
        <w:rPr>
          <w:rFonts w:ascii="Times New Roman" w:hAnsi="Times New Roman" w:cs="Times New Roman"/>
        </w:rPr>
        <w:t xml:space="preserve">This figure is from a study that can be found in </w:t>
      </w:r>
      <w:sdt>
        <w:sdtPr>
          <w:rPr>
            <w:rFonts w:ascii="Times New Roman" w:hAnsi="Times New Roman" w:cs="Times New Roman"/>
          </w:rPr>
          <w:id w:val="-302852237"/>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Lie11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(Li, 2011)</w:t>
          </w:r>
          <w:r w:rsidRPr="006038F2">
            <w:rPr>
              <w:rFonts w:ascii="Times New Roman" w:hAnsi="Times New Roman" w:cs="Times New Roman"/>
            </w:rPr>
            <w:fldChar w:fldCharType="end"/>
          </w:r>
        </w:sdtContent>
      </w:sdt>
      <w:r w:rsidRPr="006038F2">
        <w:rPr>
          <w:rFonts w:ascii="Times New Roman" w:hAnsi="Times New Roman" w:cs="Times New Roman"/>
        </w:rPr>
        <w:t xml:space="preserve">. The figure shows CT scans of pulmonary metastatic nodule in the left lung of a late-stage breast cancer patient. The nodule is marked by the arrow in images A-C. It depicts the progression of tumor reduction in response to laser immunotherapy treatment. Image A is at the pre-treatment time point, image B at 1 week-post treatment, image </w:t>
      </w:r>
      <w:proofErr w:type="spellStart"/>
      <w:r w:rsidRPr="006038F2">
        <w:rPr>
          <w:rFonts w:ascii="Times New Roman" w:hAnsi="Times New Roman" w:cs="Times New Roman"/>
        </w:rPr>
        <w:t>C at</w:t>
      </w:r>
      <w:proofErr w:type="spellEnd"/>
      <w:r w:rsidRPr="006038F2">
        <w:rPr>
          <w:rFonts w:ascii="Times New Roman" w:hAnsi="Times New Roman" w:cs="Times New Roman"/>
        </w:rPr>
        <w:t xml:space="preserve"> 2.5 months post-treatment, and image D at 12 months post-treatment.</w:t>
      </w:r>
      <w:bookmarkEnd w:id="8"/>
    </w:p>
    <w:p w14:paraId="09D96F5A" w14:textId="5EF61FCA" w:rsidR="0003572A" w:rsidRPr="006038F2" w:rsidRDefault="0003572A" w:rsidP="007739FD">
      <w:pPr>
        <w:spacing w:line="480" w:lineRule="auto"/>
        <w:ind w:firstLine="480"/>
        <w:rPr>
          <w:rFonts w:ascii="Times New Roman" w:hAnsi="Times New Roman" w:cs="Times New Roman"/>
        </w:rPr>
      </w:pPr>
      <w:r w:rsidRPr="006038F2">
        <w:rPr>
          <w:rFonts w:ascii="Times New Roman" w:hAnsi="Times New Roman" w:cs="Times New Roman"/>
        </w:rPr>
        <w:t xml:space="preserve">Cancer, which is characterized by uncontrolled cell growth, is often notorious in immune response repression </w:t>
      </w:r>
      <w:sdt>
        <w:sdtPr>
          <w:rPr>
            <w:rFonts w:ascii="Times New Roman" w:hAnsi="Times New Roman" w:cs="Times New Roman"/>
          </w:rPr>
          <w:id w:val="-90244818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NIH21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(NIH, 2021)</w:t>
          </w:r>
          <w:r w:rsidRPr="006038F2">
            <w:rPr>
              <w:rFonts w:ascii="Times New Roman" w:hAnsi="Times New Roman" w:cs="Times New Roman"/>
            </w:rPr>
            <w:fldChar w:fldCharType="end"/>
          </w:r>
        </w:sdtContent>
      </w:sdt>
      <w:r w:rsidRPr="006038F2">
        <w:rPr>
          <w:rFonts w:ascii="Times New Roman" w:hAnsi="Times New Roman" w:cs="Times New Roman"/>
        </w:rPr>
        <w:t xml:space="preserve">. Cancer cells can develop mechanisms by which to evade the body’s natural cell destruction mechanisms, allowing for the unchecked proliferation </w:t>
      </w:r>
      <w:sdt>
        <w:sdtPr>
          <w:rPr>
            <w:rFonts w:ascii="Times New Roman" w:hAnsi="Times New Roman" w:cs="Times New Roman"/>
          </w:rPr>
          <w:id w:val="682396535"/>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Kim22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(Cho, </w:t>
          </w:r>
          <w:r w:rsidR="00B56B5A" w:rsidRPr="006038F2">
            <w:rPr>
              <w:rFonts w:ascii="Times New Roman" w:hAnsi="Times New Roman" w:cs="Times New Roman"/>
              <w:noProof/>
            </w:rPr>
            <w:lastRenderedPageBreak/>
            <w:t>2022)</w:t>
          </w:r>
          <w:r w:rsidRPr="006038F2">
            <w:rPr>
              <w:rFonts w:ascii="Times New Roman" w:hAnsi="Times New Roman" w:cs="Times New Roman"/>
            </w:rPr>
            <w:fldChar w:fldCharType="end"/>
          </w:r>
        </w:sdtContent>
      </w:sdt>
      <w:r w:rsidRPr="006038F2">
        <w:rPr>
          <w:rFonts w:ascii="Times New Roman" w:hAnsi="Times New Roman" w:cs="Times New Roman"/>
        </w:rPr>
        <w:t xml:space="preserve">. Furthermore, its metastasis– spread to other parts of the body– often means a terminal outcome, with this stage designation accounting for at least 66% of cancer-related deaths </w:t>
      </w:r>
      <w:sdt>
        <w:sdtPr>
          <w:rPr>
            <w:rFonts w:ascii="Times New Roman" w:hAnsi="Times New Roman" w:cs="Times New Roman"/>
          </w:rPr>
          <w:id w:val="186146534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Dil19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(Dillekas, 2019)</w:t>
          </w:r>
          <w:r w:rsidRPr="006038F2">
            <w:rPr>
              <w:rFonts w:ascii="Times New Roman" w:hAnsi="Times New Roman" w:cs="Times New Roman"/>
            </w:rPr>
            <w:fldChar w:fldCharType="end"/>
          </w:r>
        </w:sdtContent>
      </w:sdt>
      <w:r w:rsidRPr="006038F2">
        <w:rPr>
          <w:rFonts w:ascii="Times New Roman" w:hAnsi="Times New Roman" w:cs="Times New Roman"/>
        </w:rPr>
        <w:t>.</w:t>
      </w:r>
      <w:r w:rsidR="002A475C" w:rsidRPr="006038F2">
        <w:rPr>
          <w:rFonts w:ascii="Times New Roman" w:hAnsi="Times New Roman" w:cs="Times New Roman"/>
        </w:rPr>
        <w:t xml:space="preserve"> </w:t>
      </w:r>
      <w:r w:rsidRPr="006038F2">
        <w:rPr>
          <w:rFonts w:ascii="Times New Roman" w:hAnsi="Times New Roman" w:cs="Times New Roman"/>
        </w:rPr>
        <w:t xml:space="preserve">Traditional treatments often pose the problem of later recurrence. Immunotherapy is an upcoming treatment modality that aims to maximize efficacy by reinitiating the body’s own natural defenses. The potential of immunotherapy is the production of memory immune responses </w:t>
      </w:r>
      <w:sdt>
        <w:sdtPr>
          <w:rPr>
            <w:rFonts w:ascii="Times New Roman" w:hAnsi="Times New Roman" w:cs="Times New Roman"/>
          </w:rPr>
          <w:id w:val="240530015"/>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Vat19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(Vatner, 2019)</w:t>
          </w:r>
          <w:r w:rsidRPr="006038F2">
            <w:rPr>
              <w:rFonts w:ascii="Times New Roman" w:hAnsi="Times New Roman" w:cs="Times New Roman"/>
            </w:rPr>
            <w:fldChar w:fldCharType="end"/>
          </w:r>
        </w:sdtContent>
      </w:sdt>
      <w:r w:rsidRPr="006038F2">
        <w:rPr>
          <w:rFonts w:ascii="Times New Roman" w:hAnsi="Times New Roman" w:cs="Times New Roman"/>
        </w:rPr>
        <w:t>. The treatment can produce an immediate fight against primary tumors and metastases by essentially activating the immune response to recognize the cells that have been going unnoticed, and it can later fight against recurrences with memory development. Furthermore, because immunotherapy allows for exploitation of the body’s own natural response</w:t>
      </w:r>
      <w:r w:rsidR="005A154D" w:rsidRPr="006038F2">
        <w:rPr>
          <w:rFonts w:ascii="Times New Roman" w:hAnsi="Times New Roman" w:cs="Times New Roman"/>
        </w:rPr>
        <w:t xml:space="preserve">, thus creating a strong therapy in and of itself, </w:t>
      </w:r>
      <w:r w:rsidR="00580BD0" w:rsidRPr="006038F2">
        <w:rPr>
          <w:rFonts w:ascii="Times New Roman" w:hAnsi="Times New Roman" w:cs="Times New Roman"/>
        </w:rPr>
        <w:t>a lower intensity of coupled</w:t>
      </w:r>
      <w:r w:rsidR="005A154D" w:rsidRPr="006038F2">
        <w:rPr>
          <w:rFonts w:ascii="Times New Roman" w:hAnsi="Times New Roman" w:cs="Times New Roman"/>
        </w:rPr>
        <w:t xml:space="preserve"> treatment is required to generate an effective systemic response,</w:t>
      </w:r>
      <w:r w:rsidRPr="006038F2">
        <w:rPr>
          <w:rFonts w:ascii="Times New Roman" w:hAnsi="Times New Roman" w:cs="Times New Roman"/>
        </w:rPr>
        <w:t xml:space="preserve"> making it a safer alternative in many cases.</w:t>
      </w:r>
    </w:p>
    <w:p w14:paraId="75917947" w14:textId="73BC0270" w:rsidR="0003572A" w:rsidRPr="006038F2" w:rsidRDefault="0003572A" w:rsidP="007739FD">
      <w:pPr>
        <w:spacing w:line="480" w:lineRule="auto"/>
        <w:ind w:firstLine="480"/>
        <w:rPr>
          <w:rFonts w:ascii="Times New Roman" w:hAnsi="Times New Roman" w:cs="Times New Roman"/>
        </w:rPr>
      </w:pPr>
      <w:r w:rsidRPr="006038F2">
        <w:rPr>
          <w:rFonts w:ascii="Times New Roman" w:hAnsi="Times New Roman" w:cs="Times New Roman"/>
        </w:rPr>
        <w:t xml:space="preserve">Laser immunotherapy (LIT) is a novel combination therapy developed for the treatment of cancer of various types </w:t>
      </w:r>
      <w:sdt>
        <w:sdtPr>
          <w:rPr>
            <w:rFonts w:ascii="Times New Roman" w:hAnsi="Times New Roman" w:cs="Times New Roman"/>
          </w:rPr>
          <w:id w:val="-795987652"/>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CITATION Lie11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(Li, 2011)</w:t>
          </w:r>
          <w:r w:rsidRPr="006038F2">
            <w:rPr>
              <w:rFonts w:ascii="Times New Roman" w:hAnsi="Times New Roman" w:cs="Times New Roman"/>
            </w:rPr>
            <w:fldChar w:fldCharType="end"/>
          </w:r>
        </w:sdtContent>
      </w:sdt>
      <w:r w:rsidRPr="006038F2">
        <w:rPr>
          <w:rFonts w:ascii="Times New Roman" w:hAnsi="Times New Roman" w:cs="Times New Roman"/>
        </w:rPr>
        <w:t xml:space="preserve">. It entails the application of photothermal therapy followed by an immunoadjuvant drug </w:t>
      </w:r>
      <w:sdt>
        <w:sdtPr>
          <w:rPr>
            <w:rFonts w:ascii="Times New Roman" w:hAnsi="Times New Roman" w:cs="Times New Roman"/>
          </w:rPr>
          <w:id w:val="-205506722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Nay06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(Naylor, 2006)</w:t>
          </w:r>
          <w:r w:rsidRPr="006038F2">
            <w:rPr>
              <w:rFonts w:ascii="Times New Roman" w:hAnsi="Times New Roman" w:cs="Times New Roman"/>
            </w:rPr>
            <w:fldChar w:fldCharType="end"/>
          </w:r>
        </w:sdtContent>
      </w:sdt>
      <w:r w:rsidRPr="006038F2">
        <w:rPr>
          <w:rFonts w:ascii="Times New Roman" w:hAnsi="Times New Roman" w:cs="Times New Roman"/>
        </w:rPr>
        <w:t xml:space="preserve">. GC has been developed as a novel immunoadjuvant for use in this therapy and has showed promising preliminary results in extending survival time </w:t>
      </w:r>
      <w:sdt>
        <w:sdtPr>
          <w:rPr>
            <w:rFonts w:ascii="Times New Roman" w:hAnsi="Times New Roman" w:cs="Times New Roman"/>
          </w:rPr>
          <w:id w:val="-163116423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Zho15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(Zhou e. a., 2015)</w:t>
          </w:r>
          <w:r w:rsidRPr="006038F2">
            <w:rPr>
              <w:rFonts w:ascii="Times New Roman" w:hAnsi="Times New Roman" w:cs="Times New Roman"/>
            </w:rPr>
            <w:fldChar w:fldCharType="end"/>
          </w:r>
        </w:sdtContent>
      </w:sdt>
      <w:r w:rsidRPr="006038F2">
        <w:rPr>
          <w:rFonts w:ascii="Times New Roman" w:hAnsi="Times New Roman" w:cs="Times New Roman"/>
        </w:rPr>
        <w:t xml:space="preserve">. Previous studies have shown that the major immune stimulation in ablation-GC treatment was in fact caused by GC </w:t>
      </w:r>
      <w:sdt>
        <w:sdtPr>
          <w:rPr>
            <w:rFonts w:ascii="Times New Roman" w:hAnsi="Times New Roman" w:cs="Times New Roman"/>
          </w:rPr>
          <w:id w:val="149923546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CITATION Zho18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(Zhou, 2018)</w:t>
          </w:r>
          <w:r w:rsidRPr="006038F2">
            <w:rPr>
              <w:rFonts w:ascii="Times New Roman" w:hAnsi="Times New Roman" w:cs="Times New Roman"/>
            </w:rPr>
            <w:fldChar w:fldCharType="end"/>
          </w:r>
        </w:sdtContent>
      </w:sdt>
      <w:r w:rsidRPr="006038F2">
        <w:rPr>
          <w:rFonts w:ascii="Times New Roman" w:hAnsi="Times New Roman" w:cs="Times New Roman"/>
        </w:rPr>
        <w:t xml:space="preserve">. This combination induced tumor regression of both primary tumors and metastases </w:t>
      </w:r>
      <w:sdt>
        <w:sdtPr>
          <w:rPr>
            <w:rFonts w:ascii="Times New Roman" w:hAnsi="Times New Roman" w:cs="Times New Roman"/>
          </w:rPr>
          <w:id w:val="190102310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Liu22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(Liu, 2022)</w:t>
          </w:r>
          <w:r w:rsidRPr="006038F2">
            <w:rPr>
              <w:rFonts w:ascii="Times New Roman" w:hAnsi="Times New Roman" w:cs="Times New Roman"/>
            </w:rPr>
            <w:fldChar w:fldCharType="end"/>
          </w:r>
        </w:sdtContent>
      </w:sdt>
      <w:r w:rsidRPr="006038F2">
        <w:rPr>
          <w:rFonts w:ascii="Times New Roman" w:hAnsi="Times New Roman" w:cs="Times New Roman"/>
        </w:rPr>
        <w:t>.</w:t>
      </w:r>
    </w:p>
    <w:p w14:paraId="68E691BA" w14:textId="77777777" w:rsidR="0003572A" w:rsidRPr="006038F2" w:rsidRDefault="0003572A" w:rsidP="007739FD">
      <w:pPr>
        <w:pStyle w:val="Heading2"/>
        <w:spacing w:line="480" w:lineRule="auto"/>
        <w:rPr>
          <w:rFonts w:ascii="Times New Roman" w:hAnsi="Times New Roman" w:cs="Times New Roman"/>
        </w:rPr>
      </w:pPr>
      <w:bookmarkStart w:id="9" w:name="_Toc172659135"/>
      <w:r w:rsidRPr="006038F2">
        <w:rPr>
          <w:rFonts w:ascii="Times New Roman" w:hAnsi="Times New Roman" w:cs="Times New Roman"/>
        </w:rPr>
        <w:lastRenderedPageBreak/>
        <w:t>1.4 Interferon Response</w:t>
      </w:r>
      <w:bookmarkEnd w:id="9"/>
    </w:p>
    <w:p w14:paraId="2C97FC0D" w14:textId="77777777" w:rsidR="001C3CC8" w:rsidRPr="006038F2" w:rsidRDefault="001C3CC8" w:rsidP="007739FD">
      <w:pPr>
        <w:spacing w:line="480" w:lineRule="auto"/>
        <w:jc w:val="center"/>
        <w:rPr>
          <w:rFonts w:ascii="Times New Roman" w:hAnsi="Times New Roman" w:cs="Times New Roman"/>
          <w:b/>
          <w:bCs/>
        </w:rPr>
      </w:pPr>
      <w:r w:rsidRPr="006038F2">
        <w:rPr>
          <w:rFonts w:ascii="Times New Roman" w:hAnsi="Times New Roman" w:cs="Times New Roman"/>
          <w:b/>
          <w:bCs/>
          <w:noProof/>
        </w:rPr>
        <w:drawing>
          <wp:inline distT="0" distB="0" distL="0" distR="0" wp14:anchorId="5CB88EAA" wp14:editId="2F460A0B">
            <wp:extent cx="5943600" cy="3714750"/>
            <wp:effectExtent l="12700" t="12700" r="12700" b="19050"/>
            <wp:docPr id="7" name="Picture 6" descr="A diagram of different types of cells&#10;&#10;Description automatically generated">
              <a:extLst xmlns:a="http://schemas.openxmlformats.org/drawingml/2006/main">
                <a:ext uri="{FF2B5EF4-FFF2-40B4-BE49-F238E27FC236}">
                  <a16:creationId xmlns:a16="http://schemas.microsoft.com/office/drawing/2014/main" id="{8E26226A-0829-90DD-22E7-0A3AB243C6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different types of cells&#10;&#10;Description automatically generated">
                      <a:extLst>
                        <a:ext uri="{FF2B5EF4-FFF2-40B4-BE49-F238E27FC236}">
                          <a16:creationId xmlns:a16="http://schemas.microsoft.com/office/drawing/2014/main" id="{8E26226A-0829-90DD-22E7-0A3AB243C6F9}"/>
                        </a:ext>
                      </a:extLst>
                    </pic:cNvPr>
                    <pic:cNvPicPr>
                      <a:picLocks noChangeAspect="1"/>
                    </pic:cNvPicPr>
                  </pic:nvPicPr>
                  <pic:blipFill>
                    <a:blip r:embed="rId12"/>
                    <a:stretch>
                      <a:fillRect/>
                    </a:stretch>
                  </pic:blipFill>
                  <pic:spPr>
                    <a:xfrm>
                      <a:off x="0" y="0"/>
                      <a:ext cx="5943600" cy="3714750"/>
                    </a:xfrm>
                    <a:prstGeom prst="rect">
                      <a:avLst/>
                    </a:prstGeom>
                    <a:ln>
                      <a:solidFill>
                        <a:schemeClr val="tx1"/>
                      </a:solidFill>
                    </a:ln>
                  </pic:spPr>
                </pic:pic>
              </a:graphicData>
            </a:graphic>
          </wp:inline>
        </w:drawing>
      </w:r>
    </w:p>
    <w:p w14:paraId="3ADF8903" w14:textId="3554AA83" w:rsidR="001C3CC8" w:rsidRPr="006038F2" w:rsidRDefault="001C3CC8" w:rsidP="007739FD">
      <w:pPr>
        <w:pStyle w:val="Caption"/>
        <w:spacing w:line="480" w:lineRule="auto"/>
        <w:rPr>
          <w:rFonts w:ascii="Times New Roman" w:hAnsi="Times New Roman" w:cs="Times New Roman"/>
        </w:rPr>
      </w:pPr>
      <w:bookmarkStart w:id="10" w:name="_Ref172624614"/>
      <w:bookmarkStart w:id="11" w:name="_Toc172659200"/>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3</w:t>
      </w:r>
      <w:r w:rsidRPr="006038F2">
        <w:rPr>
          <w:rFonts w:ascii="Times New Roman" w:hAnsi="Times New Roman" w:cs="Times New Roman"/>
          <w:b/>
          <w:bCs/>
        </w:rPr>
        <w:fldChar w:fldCharType="end"/>
      </w:r>
      <w:bookmarkEnd w:id="10"/>
      <w:r w:rsidRPr="006038F2">
        <w:rPr>
          <w:rFonts w:ascii="Times New Roman" w:hAnsi="Times New Roman" w:cs="Times New Roman"/>
          <w:b/>
          <w:bCs/>
        </w:rPr>
        <w:t xml:space="preserve">: Type I Interferon Effects. </w:t>
      </w:r>
      <w:sdt>
        <w:sdtPr>
          <w:rPr>
            <w:rFonts w:ascii="Times New Roman" w:hAnsi="Times New Roman" w:cs="Times New Roman"/>
            <w:b/>
            <w:bCs/>
          </w:rPr>
          <w:id w:val="1681857848"/>
          <w:citation/>
        </w:sdtPr>
        <w:sdtContent>
          <w:r w:rsidRPr="006038F2">
            <w:rPr>
              <w:rFonts w:ascii="Times New Roman" w:hAnsi="Times New Roman" w:cs="Times New Roman"/>
              <w:b/>
              <w:bCs/>
            </w:rPr>
            <w:fldChar w:fldCharType="begin"/>
          </w:r>
          <w:r w:rsidRPr="006038F2">
            <w:rPr>
              <w:rFonts w:ascii="Times New Roman" w:hAnsi="Times New Roman" w:cs="Times New Roman"/>
              <w:b/>
              <w:bCs/>
            </w:rPr>
            <w:instrText xml:space="preserve"> CITATION YuR22 \l 1033 </w:instrText>
          </w:r>
          <w:r w:rsidRPr="006038F2">
            <w:rPr>
              <w:rFonts w:ascii="Times New Roman" w:hAnsi="Times New Roman" w:cs="Times New Roman"/>
              <w:b/>
              <w:bCs/>
            </w:rPr>
            <w:fldChar w:fldCharType="separate"/>
          </w:r>
          <w:r w:rsidR="00B56B5A" w:rsidRPr="006038F2">
            <w:rPr>
              <w:rFonts w:ascii="Times New Roman" w:hAnsi="Times New Roman" w:cs="Times New Roman"/>
              <w:noProof/>
            </w:rPr>
            <w:t>(Yu R. e., 2022)</w:t>
          </w:r>
          <w:r w:rsidRPr="006038F2">
            <w:rPr>
              <w:rFonts w:ascii="Times New Roman" w:hAnsi="Times New Roman" w:cs="Times New Roman"/>
              <w:b/>
              <w:bCs/>
            </w:rPr>
            <w:fldChar w:fldCharType="end"/>
          </w:r>
        </w:sdtContent>
      </w:sdt>
      <w:r w:rsidRPr="006038F2">
        <w:rPr>
          <w:rFonts w:ascii="Times New Roman" w:hAnsi="Times New Roman" w:cs="Times New Roman"/>
          <w:b/>
          <w:bCs/>
        </w:rPr>
        <w:t xml:space="preserve"> </w:t>
      </w:r>
      <w:r w:rsidRPr="006038F2">
        <w:rPr>
          <w:rFonts w:ascii="Times New Roman" w:hAnsi="Times New Roman" w:cs="Times New Roman"/>
        </w:rPr>
        <w:t xml:space="preserve">This figure provides an illustration of the effects of type I IFNS in the tumor microenvironment. This gives relevant information for the type I IFN response in the view of the current application of GC, explaining why this response is desired. It shows that Type I IFNs can </w:t>
      </w:r>
      <w:proofErr w:type="gramStart"/>
      <w:r w:rsidRPr="006038F2">
        <w:rPr>
          <w:rFonts w:ascii="Times New Roman" w:hAnsi="Times New Roman" w:cs="Times New Roman"/>
        </w:rPr>
        <w:t>exhibit  upregulation</w:t>
      </w:r>
      <w:proofErr w:type="gramEnd"/>
      <w:r w:rsidRPr="006038F2">
        <w:rPr>
          <w:rFonts w:ascii="Times New Roman" w:hAnsi="Times New Roman" w:cs="Times New Roman"/>
        </w:rPr>
        <w:t xml:space="preserve"> of  tumor suppression factors and downregulation of  tumor proliferation factors.</w:t>
      </w:r>
      <w:bookmarkEnd w:id="11"/>
      <w:r w:rsidRPr="006038F2">
        <w:rPr>
          <w:rFonts w:ascii="Times New Roman" w:hAnsi="Times New Roman" w:cs="Times New Roman"/>
        </w:rPr>
        <w:t xml:space="preserve"> </w:t>
      </w:r>
    </w:p>
    <w:p w14:paraId="70716CDA" w14:textId="1604CDDE" w:rsidR="0003572A" w:rsidRPr="006038F2" w:rsidRDefault="0003572A" w:rsidP="007739FD">
      <w:pPr>
        <w:spacing w:line="480" w:lineRule="auto"/>
        <w:ind w:firstLine="480"/>
        <w:rPr>
          <w:rFonts w:ascii="Times New Roman" w:hAnsi="Times New Roman" w:cs="Times New Roman"/>
        </w:rPr>
      </w:pPr>
      <w:r w:rsidRPr="006038F2">
        <w:rPr>
          <w:rFonts w:ascii="Times New Roman" w:hAnsi="Times New Roman" w:cs="Times New Roman"/>
        </w:rPr>
        <w:t xml:space="preserve">Type I interferons (IFNs) are cytokines important for host defense against viruses as they are rapidly activated during viral infection and can restrict viral replication </w:t>
      </w:r>
      <w:sdt>
        <w:sdtPr>
          <w:rPr>
            <w:rFonts w:ascii="Times New Roman" w:hAnsi="Times New Roman" w:cs="Times New Roman"/>
          </w:rPr>
          <w:id w:val="-1905676242"/>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Ste06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(Stetson, 2006)</w:t>
          </w:r>
          <w:r w:rsidRPr="006038F2">
            <w:rPr>
              <w:rFonts w:ascii="Times New Roman" w:hAnsi="Times New Roman" w:cs="Times New Roman"/>
            </w:rPr>
            <w:fldChar w:fldCharType="end"/>
          </w:r>
        </w:sdtContent>
      </w:sdt>
      <w:r w:rsidRPr="006038F2">
        <w:rPr>
          <w:rFonts w:ascii="Times New Roman" w:hAnsi="Times New Roman" w:cs="Times New Roman"/>
        </w:rPr>
        <w:t xml:space="preserve">. </w:t>
      </w:r>
      <w:r w:rsidR="00E57CB7" w:rsidRPr="006038F2">
        <w:rPr>
          <w:rFonts w:ascii="Times New Roman" w:hAnsi="Times New Roman" w:cs="Times New Roman"/>
        </w:rPr>
        <w:t xml:space="preserve">They </w:t>
      </w:r>
      <w:r w:rsidR="00404C51" w:rsidRPr="006038F2">
        <w:rPr>
          <w:rFonts w:ascii="Times New Roman" w:hAnsi="Times New Roman" w:cs="Times New Roman"/>
        </w:rPr>
        <w:t>are</w:t>
      </w:r>
      <w:r w:rsidR="00E57CB7" w:rsidRPr="006038F2">
        <w:rPr>
          <w:rFonts w:ascii="Times New Roman" w:hAnsi="Times New Roman" w:cs="Times New Roman"/>
        </w:rPr>
        <w:t xml:space="preserve"> produced by dendritic cells and macrophages, which are </w:t>
      </w:r>
      <w:r w:rsidR="007E15B6" w:rsidRPr="006038F2">
        <w:rPr>
          <w:rFonts w:ascii="Times New Roman" w:hAnsi="Times New Roman" w:cs="Times New Roman"/>
        </w:rPr>
        <w:t>main components</w:t>
      </w:r>
      <w:r w:rsidR="00E57CB7" w:rsidRPr="006038F2">
        <w:rPr>
          <w:rFonts w:ascii="Times New Roman" w:hAnsi="Times New Roman" w:cs="Times New Roman"/>
        </w:rPr>
        <w:t xml:space="preserve"> </w:t>
      </w:r>
      <w:r w:rsidR="00B87170" w:rsidRPr="006038F2">
        <w:rPr>
          <w:rFonts w:ascii="Times New Roman" w:hAnsi="Times New Roman" w:cs="Times New Roman"/>
        </w:rPr>
        <w:t>in initiating</w:t>
      </w:r>
      <w:r w:rsidR="007E15B6" w:rsidRPr="006038F2">
        <w:rPr>
          <w:rFonts w:ascii="Times New Roman" w:hAnsi="Times New Roman" w:cs="Times New Roman"/>
        </w:rPr>
        <w:t xml:space="preserve"> the </w:t>
      </w:r>
      <w:r w:rsidR="00E57CB7" w:rsidRPr="006038F2">
        <w:rPr>
          <w:rFonts w:ascii="Times New Roman" w:hAnsi="Times New Roman" w:cs="Times New Roman"/>
        </w:rPr>
        <w:t xml:space="preserve">immune system’s </w:t>
      </w:r>
      <w:r w:rsidR="007E15B6" w:rsidRPr="006038F2">
        <w:rPr>
          <w:rFonts w:ascii="Times New Roman" w:hAnsi="Times New Roman" w:cs="Times New Roman"/>
        </w:rPr>
        <w:t>innate</w:t>
      </w:r>
      <w:r w:rsidR="00E57CB7" w:rsidRPr="006038F2">
        <w:rPr>
          <w:rFonts w:ascii="Times New Roman" w:hAnsi="Times New Roman" w:cs="Times New Roman"/>
        </w:rPr>
        <w:t xml:space="preserve"> defense</w:t>
      </w:r>
      <w:r w:rsidR="007E15B6" w:rsidRPr="006038F2">
        <w:rPr>
          <w:rFonts w:ascii="Times New Roman" w:hAnsi="Times New Roman" w:cs="Times New Roman"/>
        </w:rPr>
        <w:t xml:space="preserve"> response</w:t>
      </w:r>
      <w:r w:rsidR="00E57CB7" w:rsidRPr="006038F2">
        <w:rPr>
          <w:rFonts w:ascii="Times New Roman" w:hAnsi="Times New Roman" w:cs="Times New Roman"/>
        </w:rPr>
        <w:t>.</w:t>
      </w:r>
      <w:r w:rsidR="00A05C18" w:rsidRPr="006038F2">
        <w:rPr>
          <w:rFonts w:ascii="Times New Roman" w:hAnsi="Times New Roman" w:cs="Times New Roman"/>
        </w:rPr>
        <w:t xml:space="preserve"> </w:t>
      </w:r>
      <w:r w:rsidRPr="006038F2">
        <w:rPr>
          <w:rFonts w:ascii="Times New Roman" w:hAnsi="Times New Roman" w:cs="Times New Roman"/>
        </w:rPr>
        <w:t>T</w:t>
      </w:r>
      <w:r w:rsidR="00B87170" w:rsidRPr="006038F2">
        <w:rPr>
          <w:rFonts w:ascii="Times New Roman" w:hAnsi="Times New Roman" w:cs="Times New Roman"/>
        </w:rPr>
        <w:t>ype I IFNs</w:t>
      </w:r>
      <w:r w:rsidRPr="006038F2">
        <w:rPr>
          <w:rFonts w:ascii="Times New Roman" w:hAnsi="Times New Roman" w:cs="Times New Roman"/>
        </w:rPr>
        <w:t xml:space="preserve"> allow protection against pathogens while inducing minimum damage to the host</w:t>
      </w:r>
      <w:r w:rsidR="00CE0879" w:rsidRPr="006038F2">
        <w:rPr>
          <w:rFonts w:ascii="Times New Roman" w:hAnsi="Times New Roman" w:cs="Times New Roman"/>
        </w:rPr>
        <w:t>, making their utilization an attractive option for disease therapies</w:t>
      </w:r>
      <w:r w:rsidRPr="006038F2">
        <w:rPr>
          <w:rFonts w:ascii="Times New Roman" w:hAnsi="Times New Roman" w:cs="Times New Roman"/>
        </w:rPr>
        <w:t xml:space="preserve"> </w:t>
      </w:r>
      <w:sdt>
        <w:sdtPr>
          <w:rPr>
            <w:rFonts w:ascii="Times New Roman" w:hAnsi="Times New Roman" w:cs="Times New Roman"/>
          </w:rPr>
          <w:id w:val="-63723058"/>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McN15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(McNab, 2015)</w:t>
          </w:r>
          <w:r w:rsidRPr="006038F2">
            <w:rPr>
              <w:rFonts w:ascii="Times New Roman" w:hAnsi="Times New Roman" w:cs="Times New Roman"/>
            </w:rPr>
            <w:fldChar w:fldCharType="end"/>
          </w:r>
        </w:sdtContent>
      </w:sdt>
      <w:r w:rsidRPr="006038F2">
        <w:rPr>
          <w:rFonts w:ascii="Times New Roman" w:hAnsi="Times New Roman" w:cs="Times New Roman"/>
        </w:rPr>
        <w:t xml:space="preserve">. Their induction by GC is hypothesized as a main reason for the reduced mortality from COVID after GC administration in work previously done in this lab (see </w:t>
      </w:r>
      <w:r w:rsidRPr="006038F2">
        <w:rPr>
          <w:rFonts w:ascii="Times New Roman" w:hAnsi="Times New Roman" w:cs="Times New Roman"/>
        </w:rPr>
        <w:lastRenderedPageBreak/>
        <w:fldChar w:fldCharType="begin"/>
      </w:r>
      <w:r w:rsidRPr="006038F2">
        <w:rPr>
          <w:rFonts w:ascii="Times New Roman" w:hAnsi="Times New Roman" w:cs="Times New Roman"/>
        </w:rPr>
        <w:instrText xml:space="preserve"> REF _Ref171027483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rPr>
        <w:t>Appendix D: Previous COVID survival study with GC</w:t>
      </w:r>
      <w:r w:rsidRPr="006038F2">
        <w:rPr>
          <w:rFonts w:ascii="Times New Roman" w:hAnsi="Times New Roman" w:cs="Times New Roman"/>
        </w:rPr>
        <w:fldChar w:fldCharType="end"/>
      </w:r>
      <w:r w:rsidRPr="006038F2">
        <w:rPr>
          <w:rFonts w:ascii="Times New Roman" w:hAnsi="Times New Roman" w:cs="Times New Roman"/>
        </w:rPr>
        <w:t xml:space="preserve"> for results). COVID has in fact been shown to not suppress signaling of type I IFNs, which supports the evidence of GC’s IFN production </w:t>
      </w:r>
      <w:sdt>
        <w:sdtPr>
          <w:rPr>
            <w:rFonts w:ascii="Times New Roman" w:hAnsi="Times New Roman" w:cs="Times New Roman"/>
          </w:rPr>
          <w:id w:val="87350500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She21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(Shemesh, 2021)</w:t>
          </w:r>
          <w:r w:rsidRPr="006038F2">
            <w:rPr>
              <w:rFonts w:ascii="Times New Roman" w:hAnsi="Times New Roman" w:cs="Times New Roman"/>
            </w:rPr>
            <w:fldChar w:fldCharType="end"/>
          </w:r>
        </w:sdtContent>
      </w:sdt>
      <w:r w:rsidRPr="006038F2">
        <w:rPr>
          <w:rFonts w:ascii="Times New Roman" w:hAnsi="Times New Roman" w:cs="Times New Roman"/>
        </w:rPr>
        <w:t xml:space="preserve">. Furthermore, IFN-β treatment (a type of IFN-I) was shown in another study to block COVID replication </w:t>
      </w:r>
      <w:sdt>
        <w:sdtPr>
          <w:rPr>
            <w:rFonts w:ascii="Times New Roman" w:hAnsi="Times New Roman" w:cs="Times New Roman"/>
          </w:rPr>
          <w:id w:val="1738285058"/>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Lei20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(Lei, 2020)</w:t>
          </w:r>
          <w:r w:rsidRPr="006038F2">
            <w:rPr>
              <w:rFonts w:ascii="Times New Roman" w:hAnsi="Times New Roman" w:cs="Times New Roman"/>
            </w:rPr>
            <w:fldChar w:fldCharType="end"/>
          </w:r>
        </w:sdtContent>
      </w:sdt>
      <w:r w:rsidRPr="006038F2">
        <w:rPr>
          <w:rFonts w:ascii="Times New Roman" w:hAnsi="Times New Roman" w:cs="Times New Roman"/>
        </w:rPr>
        <w:t xml:space="preserve">. </w:t>
      </w:r>
    </w:p>
    <w:p w14:paraId="4A69D0B2" w14:textId="46DC626F" w:rsidR="0003572A" w:rsidRPr="006038F2" w:rsidRDefault="0003572A" w:rsidP="007739FD">
      <w:pPr>
        <w:spacing w:line="480" w:lineRule="auto"/>
        <w:ind w:firstLine="480"/>
        <w:rPr>
          <w:rFonts w:ascii="Times New Roman" w:hAnsi="Times New Roman" w:cs="Times New Roman"/>
        </w:rPr>
      </w:pPr>
      <w:r w:rsidRPr="006038F2">
        <w:rPr>
          <w:rFonts w:ascii="Times New Roman" w:hAnsi="Times New Roman" w:cs="Times New Roman"/>
        </w:rPr>
        <w:t xml:space="preserve">Additionally, type I IFNs are able to stimulate both the innate and adaptive immune responses, which is paramount in developing an effective response to cancer </w:t>
      </w:r>
      <w:r w:rsidRPr="006038F2">
        <w:rPr>
          <w:rFonts w:ascii="Times New Roman" w:hAnsi="Times New Roman" w:cs="Times New Roman"/>
          <w:i/>
          <w:iCs/>
        </w:rPr>
        <w:t>in vivo</w:t>
      </w:r>
      <w:r w:rsidRPr="006038F2">
        <w:rPr>
          <w:rFonts w:ascii="Times New Roman" w:hAnsi="Times New Roman" w:cs="Times New Roman"/>
        </w:rPr>
        <w:t xml:space="preserve"> </w:t>
      </w:r>
      <w:sdt>
        <w:sdtPr>
          <w:rPr>
            <w:rFonts w:ascii="Times New Roman" w:hAnsi="Times New Roman" w:cs="Times New Roman"/>
          </w:rPr>
          <w:id w:val="665823152"/>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Xit15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(Xitvogel, 2015)</w:t>
          </w:r>
          <w:r w:rsidRPr="006038F2">
            <w:rPr>
              <w:rFonts w:ascii="Times New Roman" w:hAnsi="Times New Roman" w:cs="Times New Roman"/>
            </w:rPr>
            <w:fldChar w:fldCharType="end"/>
          </w:r>
        </w:sdtContent>
      </w:sdt>
      <w:r w:rsidRPr="006038F2">
        <w:rPr>
          <w:rFonts w:ascii="Times New Roman" w:hAnsi="Times New Roman" w:cs="Times New Roman"/>
        </w:rPr>
        <w:t xml:space="preserve">. </w:t>
      </w:r>
      <w:r w:rsidR="00DF0833" w:rsidRPr="006038F2">
        <w:rPr>
          <w:rFonts w:ascii="Times New Roman" w:hAnsi="Times New Roman" w:cs="Times New Roman"/>
        </w:rPr>
        <w:t xml:space="preserve">Specific mechanisms of this activity can be examined in </w:t>
      </w:r>
      <w:r w:rsidR="00AF5362" w:rsidRPr="006038F2">
        <w:rPr>
          <w:rFonts w:ascii="Times New Roman" w:hAnsi="Times New Roman" w:cs="Times New Roman"/>
        </w:rPr>
        <w:fldChar w:fldCharType="begin"/>
      </w:r>
      <w:r w:rsidR="00AF5362" w:rsidRPr="006038F2">
        <w:rPr>
          <w:rFonts w:ascii="Times New Roman" w:hAnsi="Times New Roman" w:cs="Times New Roman"/>
        </w:rPr>
        <w:instrText xml:space="preserve"> REF _Ref172624614 \h </w:instrText>
      </w:r>
      <w:r w:rsidR="007739FD" w:rsidRPr="006038F2">
        <w:rPr>
          <w:rFonts w:ascii="Times New Roman" w:hAnsi="Times New Roman" w:cs="Times New Roman"/>
        </w:rPr>
        <w:instrText xml:space="preserve"> \* MERGEFORMAT </w:instrText>
      </w:r>
      <w:r w:rsidR="00AF5362" w:rsidRPr="006038F2">
        <w:rPr>
          <w:rFonts w:ascii="Times New Roman" w:hAnsi="Times New Roman" w:cs="Times New Roman"/>
        </w:rPr>
      </w:r>
      <w:r w:rsidR="00AF5362" w:rsidRPr="006038F2">
        <w:rPr>
          <w:rFonts w:ascii="Times New Roman" w:hAnsi="Times New Roman" w:cs="Times New Roman"/>
        </w:rPr>
        <w:fldChar w:fldCharType="separate"/>
      </w:r>
      <w:r w:rsidR="00AF5362" w:rsidRPr="006038F2">
        <w:rPr>
          <w:rFonts w:ascii="Times New Roman" w:hAnsi="Times New Roman" w:cs="Times New Roman"/>
          <w:b/>
          <w:bCs/>
        </w:rPr>
        <w:t xml:space="preserve">Figure </w:t>
      </w:r>
      <w:r w:rsidR="00AF5362" w:rsidRPr="006038F2">
        <w:rPr>
          <w:rFonts w:ascii="Times New Roman" w:hAnsi="Times New Roman" w:cs="Times New Roman"/>
          <w:b/>
          <w:bCs/>
          <w:noProof/>
        </w:rPr>
        <w:t>3</w:t>
      </w:r>
      <w:r w:rsidR="00AF5362" w:rsidRPr="006038F2">
        <w:rPr>
          <w:rFonts w:ascii="Times New Roman" w:hAnsi="Times New Roman" w:cs="Times New Roman"/>
        </w:rPr>
        <w:fldChar w:fldCharType="end"/>
      </w:r>
      <w:r w:rsidR="00AF5362" w:rsidRPr="006038F2">
        <w:rPr>
          <w:rFonts w:ascii="Times New Roman" w:hAnsi="Times New Roman" w:cs="Times New Roman"/>
        </w:rPr>
        <w:t xml:space="preserve">. </w:t>
      </w:r>
      <w:r w:rsidRPr="006038F2">
        <w:rPr>
          <w:rFonts w:ascii="Times New Roman" w:hAnsi="Times New Roman" w:cs="Times New Roman"/>
        </w:rPr>
        <w:t xml:space="preserve">Thus, the GC-induced IFN response is further supported by its success in clinical trials of cancer treatment with LIT </w:t>
      </w:r>
      <w:sdt>
        <w:sdtPr>
          <w:rPr>
            <w:rFonts w:ascii="Times New Roman" w:hAnsi="Times New Roman" w:cs="Times New Roman"/>
          </w:rPr>
          <w:id w:val="-797681795"/>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Zho15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(Zhou e. a., 2015)</w:t>
          </w:r>
          <w:r w:rsidRPr="006038F2">
            <w:rPr>
              <w:rFonts w:ascii="Times New Roman" w:hAnsi="Times New Roman" w:cs="Times New Roman"/>
            </w:rPr>
            <w:fldChar w:fldCharType="end"/>
          </w:r>
        </w:sdtContent>
      </w:sdt>
      <w:r w:rsidRPr="006038F2">
        <w:rPr>
          <w:rFonts w:ascii="Times New Roman" w:hAnsi="Times New Roman" w:cs="Times New Roman"/>
        </w:rPr>
        <w:t>.</w:t>
      </w:r>
    </w:p>
    <w:p w14:paraId="58780CE9" w14:textId="77777777" w:rsidR="0003572A" w:rsidRPr="006038F2" w:rsidRDefault="0003572A" w:rsidP="007739FD">
      <w:pPr>
        <w:pStyle w:val="Heading2"/>
        <w:spacing w:line="480" w:lineRule="auto"/>
        <w:rPr>
          <w:rFonts w:ascii="Times New Roman" w:hAnsi="Times New Roman" w:cs="Times New Roman"/>
        </w:rPr>
      </w:pPr>
      <w:bookmarkStart w:id="12" w:name="_Toc172659136"/>
      <w:r w:rsidRPr="006038F2">
        <w:rPr>
          <w:rFonts w:ascii="Times New Roman" w:hAnsi="Times New Roman" w:cs="Times New Roman"/>
        </w:rPr>
        <w:t>1.5 Intranasal and NALT analysis</w:t>
      </w:r>
      <w:bookmarkEnd w:id="12"/>
    </w:p>
    <w:p w14:paraId="0821E0E2" w14:textId="77777777" w:rsidR="001C3CC8" w:rsidRPr="006038F2" w:rsidRDefault="001C3CC8" w:rsidP="007739FD">
      <w:pPr>
        <w:spacing w:line="480" w:lineRule="auto"/>
        <w:jc w:val="center"/>
        <w:rPr>
          <w:rFonts w:ascii="Times New Roman" w:hAnsi="Times New Roman" w:cs="Times New Roman"/>
        </w:rPr>
      </w:pPr>
      <w:r w:rsidRPr="006038F2">
        <w:rPr>
          <w:rFonts w:ascii="Times New Roman" w:hAnsi="Times New Roman" w:cs="Times New Roman"/>
          <w:noProof/>
          <w14:ligatures w14:val="standardContextual"/>
        </w:rPr>
        <w:drawing>
          <wp:inline distT="0" distB="0" distL="0" distR="0" wp14:anchorId="68E01432" wp14:editId="14903D5B">
            <wp:extent cx="4551680" cy="3503724"/>
            <wp:effectExtent l="12700" t="12700" r="7620" b="14605"/>
            <wp:docPr id="9577083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08330" name="Picture 957708330"/>
                    <pic:cNvPicPr/>
                  </pic:nvPicPr>
                  <pic:blipFill>
                    <a:blip r:embed="rId13">
                      <a:extLst>
                        <a:ext uri="{28A0092B-C50C-407E-A947-70E740481C1C}">
                          <a14:useLocalDpi xmlns:a14="http://schemas.microsoft.com/office/drawing/2010/main" val="0"/>
                        </a:ext>
                      </a:extLst>
                    </a:blip>
                    <a:stretch>
                      <a:fillRect/>
                    </a:stretch>
                  </pic:blipFill>
                  <pic:spPr>
                    <a:xfrm>
                      <a:off x="0" y="0"/>
                      <a:ext cx="4680953" cy="3603234"/>
                    </a:xfrm>
                    <a:prstGeom prst="rect">
                      <a:avLst/>
                    </a:prstGeom>
                    <a:ln w="12700">
                      <a:solidFill>
                        <a:schemeClr val="tx1"/>
                      </a:solidFill>
                    </a:ln>
                  </pic:spPr>
                </pic:pic>
              </a:graphicData>
            </a:graphic>
          </wp:inline>
        </w:drawing>
      </w:r>
    </w:p>
    <w:p w14:paraId="018732BD" w14:textId="1A9F6ECD" w:rsidR="001C3CC8" w:rsidRPr="006038F2" w:rsidRDefault="001C3CC8" w:rsidP="007739FD">
      <w:pPr>
        <w:pStyle w:val="Caption"/>
        <w:spacing w:line="480" w:lineRule="auto"/>
        <w:rPr>
          <w:rFonts w:ascii="Times New Roman" w:hAnsi="Times New Roman" w:cs="Times New Roman"/>
        </w:rPr>
      </w:pPr>
      <w:bookmarkStart w:id="13" w:name="_Ref172625293"/>
      <w:bookmarkStart w:id="14" w:name="_Toc172659201"/>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4</w:t>
      </w:r>
      <w:r w:rsidRPr="006038F2">
        <w:rPr>
          <w:rFonts w:ascii="Times New Roman" w:hAnsi="Times New Roman" w:cs="Times New Roman"/>
          <w:b/>
          <w:bCs/>
        </w:rPr>
        <w:fldChar w:fldCharType="end"/>
      </w:r>
      <w:bookmarkEnd w:id="13"/>
      <w:r w:rsidRPr="006038F2">
        <w:rPr>
          <w:rFonts w:ascii="Times New Roman" w:hAnsi="Times New Roman" w:cs="Times New Roman"/>
          <w:b/>
          <w:bCs/>
        </w:rPr>
        <w:t xml:space="preserve">: Close View of Nasal Associated Lymphoid Tissue. </w:t>
      </w:r>
      <w:r w:rsidRPr="006038F2">
        <w:rPr>
          <w:rFonts w:ascii="Times New Roman" w:hAnsi="Times New Roman" w:cs="Times New Roman"/>
        </w:rPr>
        <w:t>This image shows the upper jaw of a rodent to illustrate NALT location. The figure was found in literature but modified with the back dashed lines to indicate the area of the top palette that was excised for the extraction of NALT (</w:t>
      </w:r>
      <w:sdt>
        <w:sdtPr>
          <w:rPr>
            <w:rFonts w:ascii="Times New Roman" w:hAnsi="Times New Roman" w:cs="Times New Roman"/>
          </w:rPr>
          <w:id w:val="64501408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Bit17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(Bittner-Eddy, 2017)</w:t>
          </w:r>
          <w:r w:rsidRPr="006038F2">
            <w:rPr>
              <w:rFonts w:ascii="Times New Roman" w:hAnsi="Times New Roman" w:cs="Times New Roman"/>
            </w:rPr>
            <w:fldChar w:fldCharType="end"/>
          </w:r>
        </w:sdtContent>
      </w:sdt>
      <w:r w:rsidRPr="006038F2">
        <w:rPr>
          <w:rFonts w:ascii="Times New Roman" w:hAnsi="Times New Roman" w:cs="Times New Roman"/>
        </w:rPr>
        <w:t>.</w:t>
      </w:r>
      <w:bookmarkEnd w:id="14"/>
      <w:r w:rsidRPr="006038F2">
        <w:rPr>
          <w:rFonts w:ascii="Times New Roman" w:hAnsi="Times New Roman" w:cs="Times New Roman"/>
        </w:rPr>
        <w:t xml:space="preserve">  </w:t>
      </w:r>
    </w:p>
    <w:p w14:paraId="1C14946F" w14:textId="7314C110" w:rsidR="00A2388E" w:rsidRPr="006038F2" w:rsidRDefault="0003572A" w:rsidP="007739FD">
      <w:pPr>
        <w:spacing w:line="480" w:lineRule="auto"/>
        <w:ind w:firstLine="480"/>
        <w:rPr>
          <w:rFonts w:ascii="Times New Roman" w:hAnsi="Times New Roman" w:cs="Times New Roman"/>
        </w:rPr>
      </w:pPr>
      <w:r w:rsidRPr="006038F2">
        <w:rPr>
          <w:rFonts w:ascii="Times New Roman" w:hAnsi="Times New Roman" w:cs="Times New Roman"/>
        </w:rPr>
        <w:lastRenderedPageBreak/>
        <w:t>Mucous membranes are induction sites for immune responses to antigenic material</w:t>
      </w:r>
      <w:sdt>
        <w:sdtPr>
          <w:rPr>
            <w:rFonts w:ascii="Times New Roman" w:hAnsi="Times New Roman" w:cs="Times New Roman"/>
          </w:rPr>
          <w:id w:val="105897665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Deb03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(Debertin, 2003)</w:t>
          </w:r>
          <w:r w:rsidRPr="006038F2">
            <w:rPr>
              <w:rFonts w:ascii="Times New Roman" w:hAnsi="Times New Roman" w:cs="Times New Roman"/>
            </w:rPr>
            <w:fldChar w:fldCharType="end"/>
          </w:r>
        </w:sdtContent>
      </w:sdt>
      <w:r w:rsidRPr="006038F2">
        <w:rPr>
          <w:rFonts w:ascii="Times New Roman" w:hAnsi="Times New Roman" w:cs="Times New Roman"/>
        </w:rPr>
        <w:t xml:space="preserve">. The nasal cavity area is an attractive spot for vaccine-based mucosal analysis because </w:t>
      </w:r>
      <w:r w:rsidR="004F5071" w:rsidRPr="006038F2">
        <w:rPr>
          <w:rFonts w:ascii="Times New Roman" w:hAnsi="Times New Roman" w:cs="Times New Roman"/>
        </w:rPr>
        <w:t xml:space="preserve">of </w:t>
      </w:r>
      <w:r w:rsidRPr="006038F2">
        <w:rPr>
          <w:rFonts w:ascii="Times New Roman" w:hAnsi="Times New Roman" w:cs="Times New Roman"/>
        </w:rPr>
        <w:t xml:space="preserve">its highly vascularized epithelial layer </w:t>
      </w:r>
      <w:sdt>
        <w:sdtPr>
          <w:rPr>
            <w:rFonts w:ascii="Times New Roman" w:hAnsi="Times New Roman" w:cs="Times New Roman"/>
          </w:rPr>
          <w:id w:val="115347665"/>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Kan13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(Kang, 2013)</w:t>
          </w:r>
          <w:r w:rsidRPr="006038F2">
            <w:rPr>
              <w:rFonts w:ascii="Times New Roman" w:hAnsi="Times New Roman" w:cs="Times New Roman"/>
            </w:rPr>
            <w:fldChar w:fldCharType="end"/>
          </w:r>
        </w:sdtContent>
      </w:sdt>
      <w:r w:rsidRPr="006038F2">
        <w:rPr>
          <w:rFonts w:ascii="Times New Roman" w:hAnsi="Times New Roman" w:cs="Times New Roman"/>
        </w:rPr>
        <w:t>. This allows for easier recruitment of circulating immune cells. Intranasal vaccination has shown efficacy, and the application of immunostimulants in vaccines has been show</w:t>
      </w:r>
      <w:r w:rsidR="0063267E" w:rsidRPr="006038F2">
        <w:rPr>
          <w:rFonts w:ascii="Times New Roman" w:hAnsi="Times New Roman" w:cs="Times New Roman"/>
        </w:rPr>
        <w:t>n</w:t>
      </w:r>
      <w:r w:rsidRPr="006038F2">
        <w:rPr>
          <w:rFonts w:ascii="Times New Roman" w:hAnsi="Times New Roman" w:cs="Times New Roman"/>
        </w:rPr>
        <w:t xml:space="preserve"> to help with vaccine efficiency </w:t>
      </w:r>
      <w:sdt>
        <w:sdtPr>
          <w:rPr>
            <w:rFonts w:ascii="Times New Roman" w:hAnsi="Times New Roman" w:cs="Times New Roman"/>
          </w:rPr>
          <w:id w:val="178183526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Deb03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(Debertin, 2003)</w:t>
          </w:r>
          <w:r w:rsidRPr="006038F2">
            <w:rPr>
              <w:rFonts w:ascii="Times New Roman" w:hAnsi="Times New Roman" w:cs="Times New Roman"/>
            </w:rPr>
            <w:fldChar w:fldCharType="end"/>
          </w:r>
        </w:sdtContent>
      </w:sdt>
      <w:sdt>
        <w:sdtPr>
          <w:rPr>
            <w:rFonts w:ascii="Times New Roman" w:hAnsi="Times New Roman" w:cs="Times New Roman"/>
          </w:rPr>
          <w:id w:val="1214316638"/>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Kan13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(Kang, 2013)</w:t>
          </w:r>
          <w:r w:rsidRPr="006038F2">
            <w:rPr>
              <w:rFonts w:ascii="Times New Roman" w:hAnsi="Times New Roman" w:cs="Times New Roman"/>
            </w:rPr>
            <w:fldChar w:fldCharType="end"/>
          </w:r>
        </w:sdtContent>
      </w:sdt>
      <w:r w:rsidRPr="006038F2">
        <w:rPr>
          <w:rFonts w:ascii="Times New Roman" w:hAnsi="Times New Roman" w:cs="Times New Roman"/>
        </w:rPr>
        <w:t xml:space="preserve">. Under analysis in this study is the nasal-associated lymphoid tissue (NALT), a key structure in the nasal immune system characterized by the aggregation of organized lymphoid tissue </w:t>
      </w:r>
      <w:sdt>
        <w:sdtPr>
          <w:rPr>
            <w:rFonts w:ascii="Times New Roman" w:hAnsi="Times New Roman" w:cs="Times New Roman"/>
          </w:rPr>
          <w:id w:val="-1442443218"/>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Deb03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(Debertin, 2003)</w:t>
          </w:r>
          <w:r w:rsidRPr="006038F2">
            <w:rPr>
              <w:rFonts w:ascii="Times New Roman" w:hAnsi="Times New Roman" w:cs="Times New Roman"/>
            </w:rPr>
            <w:fldChar w:fldCharType="end"/>
          </w:r>
        </w:sdtContent>
      </w:sdt>
      <w:r w:rsidRPr="006038F2">
        <w:rPr>
          <w:rFonts w:ascii="Times New Roman" w:hAnsi="Times New Roman" w:cs="Times New Roman"/>
        </w:rPr>
        <w:t xml:space="preserve">. </w:t>
      </w:r>
      <w:r w:rsidR="00742076" w:rsidRPr="006038F2">
        <w:rPr>
          <w:rFonts w:ascii="Times New Roman" w:hAnsi="Times New Roman" w:cs="Times New Roman"/>
        </w:rPr>
        <w:t xml:space="preserve">It is located in the upper palette, as seen in </w:t>
      </w:r>
      <w:r w:rsidR="006964E9" w:rsidRPr="006038F2">
        <w:rPr>
          <w:rFonts w:ascii="Times New Roman" w:hAnsi="Times New Roman" w:cs="Times New Roman"/>
        </w:rPr>
        <w:fldChar w:fldCharType="begin"/>
      </w:r>
      <w:r w:rsidR="006964E9" w:rsidRPr="006038F2">
        <w:rPr>
          <w:rFonts w:ascii="Times New Roman" w:hAnsi="Times New Roman" w:cs="Times New Roman"/>
        </w:rPr>
        <w:instrText xml:space="preserve"> REF _Ref172625293 \h </w:instrText>
      </w:r>
      <w:r w:rsidR="007739FD" w:rsidRPr="006038F2">
        <w:rPr>
          <w:rFonts w:ascii="Times New Roman" w:hAnsi="Times New Roman" w:cs="Times New Roman"/>
        </w:rPr>
        <w:instrText xml:space="preserve"> \* MERGEFORMAT </w:instrText>
      </w:r>
      <w:r w:rsidR="006964E9" w:rsidRPr="006038F2">
        <w:rPr>
          <w:rFonts w:ascii="Times New Roman" w:hAnsi="Times New Roman" w:cs="Times New Roman"/>
        </w:rPr>
      </w:r>
      <w:r w:rsidR="006964E9" w:rsidRPr="006038F2">
        <w:rPr>
          <w:rFonts w:ascii="Times New Roman" w:hAnsi="Times New Roman" w:cs="Times New Roman"/>
        </w:rPr>
        <w:fldChar w:fldCharType="separate"/>
      </w:r>
      <w:r w:rsidR="006964E9" w:rsidRPr="006038F2">
        <w:rPr>
          <w:rFonts w:ascii="Times New Roman" w:hAnsi="Times New Roman" w:cs="Times New Roman"/>
          <w:b/>
          <w:bCs/>
        </w:rPr>
        <w:t xml:space="preserve">Figure </w:t>
      </w:r>
      <w:r w:rsidR="006964E9" w:rsidRPr="006038F2">
        <w:rPr>
          <w:rFonts w:ascii="Times New Roman" w:hAnsi="Times New Roman" w:cs="Times New Roman"/>
          <w:b/>
          <w:bCs/>
          <w:noProof/>
        </w:rPr>
        <w:t>4</w:t>
      </w:r>
      <w:r w:rsidR="006964E9" w:rsidRPr="006038F2">
        <w:rPr>
          <w:rFonts w:ascii="Times New Roman" w:hAnsi="Times New Roman" w:cs="Times New Roman"/>
        </w:rPr>
        <w:fldChar w:fldCharType="end"/>
      </w:r>
      <w:r w:rsidR="00742076" w:rsidRPr="006038F2">
        <w:rPr>
          <w:rFonts w:ascii="Times New Roman" w:hAnsi="Times New Roman" w:cs="Times New Roman"/>
        </w:rPr>
        <w:t>.</w:t>
      </w:r>
      <w:r w:rsidR="00D02DD2" w:rsidRPr="006038F2">
        <w:rPr>
          <w:rFonts w:ascii="Times New Roman" w:hAnsi="Times New Roman" w:cs="Times New Roman"/>
        </w:rPr>
        <w:t xml:space="preserve"> </w:t>
      </w:r>
      <w:r w:rsidRPr="006038F2">
        <w:rPr>
          <w:rFonts w:ascii="Times New Roman" w:hAnsi="Times New Roman" w:cs="Times New Roman"/>
        </w:rPr>
        <w:t xml:space="preserve">This tissue is often ideal in the assessment of immune reaction to pathogens as it is the main mucosal inductive site in natural local defense and in vaccination </w:t>
      </w:r>
      <w:sdt>
        <w:sdtPr>
          <w:rPr>
            <w:rFonts w:ascii="Times New Roman" w:hAnsi="Times New Roman" w:cs="Times New Roman"/>
          </w:rPr>
          <w:id w:val="-2120907968"/>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Kan13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(Kang, 2013)</w:t>
          </w:r>
          <w:r w:rsidRPr="006038F2">
            <w:rPr>
              <w:rFonts w:ascii="Times New Roman" w:hAnsi="Times New Roman" w:cs="Times New Roman"/>
            </w:rPr>
            <w:fldChar w:fldCharType="end"/>
          </w:r>
        </w:sdtContent>
      </w:sdt>
      <w:r w:rsidRPr="006038F2">
        <w:rPr>
          <w:rFonts w:ascii="Times New Roman" w:hAnsi="Times New Roman" w:cs="Times New Roman"/>
        </w:rPr>
        <w:t>.</w:t>
      </w:r>
    </w:p>
    <w:p w14:paraId="10943518" w14:textId="739EE409" w:rsidR="0003572A" w:rsidRPr="006038F2" w:rsidRDefault="00A2388E" w:rsidP="007739FD">
      <w:pPr>
        <w:spacing w:line="480" w:lineRule="auto"/>
        <w:ind w:firstLine="480"/>
        <w:rPr>
          <w:rFonts w:ascii="Times New Roman" w:hAnsi="Times New Roman" w:cs="Times New Roman"/>
        </w:rPr>
      </w:pPr>
      <w:r w:rsidRPr="006038F2">
        <w:rPr>
          <w:rFonts w:ascii="Times New Roman" w:hAnsi="Times New Roman" w:cs="Times New Roman"/>
        </w:rPr>
        <w:t>Intranasal vaccination is an attractive option for treatment method against various pathogens. Because mucous membranes here are a frontline defense, and because of the high immune trafficking in the area, intranasal vaccination is able to assist in both innate and adaptive immunity</w:t>
      </w:r>
      <w:r w:rsidR="000E05E1" w:rsidRPr="006038F2">
        <w:rPr>
          <w:rFonts w:ascii="Times New Roman" w:hAnsi="Times New Roman" w:cs="Times New Roman"/>
        </w:rPr>
        <w:t xml:space="preserve"> </w:t>
      </w:r>
      <w:sdt>
        <w:sdtPr>
          <w:rPr>
            <w:rFonts w:ascii="Times New Roman" w:hAnsi="Times New Roman" w:cs="Times New Roman"/>
          </w:rPr>
          <w:id w:val="-405618825"/>
          <w:citation/>
        </w:sdtPr>
        <w:sdtContent>
          <w:r w:rsidR="000E05E1" w:rsidRPr="006038F2">
            <w:rPr>
              <w:rFonts w:ascii="Times New Roman" w:hAnsi="Times New Roman" w:cs="Times New Roman"/>
            </w:rPr>
            <w:fldChar w:fldCharType="begin"/>
          </w:r>
          <w:r w:rsidR="000E05E1" w:rsidRPr="006038F2">
            <w:rPr>
              <w:rFonts w:ascii="Times New Roman" w:hAnsi="Times New Roman" w:cs="Times New Roman"/>
            </w:rPr>
            <w:instrText xml:space="preserve"> CITATION Zam12 \l 1033 </w:instrText>
          </w:r>
          <w:r w:rsidR="000E05E1" w:rsidRPr="006038F2">
            <w:rPr>
              <w:rFonts w:ascii="Times New Roman" w:hAnsi="Times New Roman" w:cs="Times New Roman"/>
            </w:rPr>
            <w:fldChar w:fldCharType="separate"/>
          </w:r>
          <w:r w:rsidR="00B56B5A" w:rsidRPr="006038F2">
            <w:rPr>
              <w:rFonts w:ascii="Times New Roman" w:hAnsi="Times New Roman" w:cs="Times New Roman"/>
              <w:noProof/>
            </w:rPr>
            <w:t>(Zaman, 2012)</w:t>
          </w:r>
          <w:r w:rsidR="000E05E1" w:rsidRPr="006038F2">
            <w:rPr>
              <w:rFonts w:ascii="Times New Roman" w:hAnsi="Times New Roman" w:cs="Times New Roman"/>
            </w:rPr>
            <w:fldChar w:fldCharType="end"/>
          </w:r>
        </w:sdtContent>
      </w:sdt>
      <w:r w:rsidRPr="006038F2">
        <w:rPr>
          <w:rFonts w:ascii="Times New Roman" w:hAnsi="Times New Roman" w:cs="Times New Roman"/>
        </w:rPr>
        <w:t>.</w:t>
      </w:r>
      <w:r w:rsidR="0003572A" w:rsidRPr="006038F2">
        <w:rPr>
          <w:rFonts w:ascii="Times New Roman" w:hAnsi="Times New Roman" w:cs="Times New Roman"/>
        </w:rPr>
        <w:t xml:space="preserve"> </w:t>
      </w:r>
      <w:r w:rsidR="003226EE" w:rsidRPr="006038F2">
        <w:rPr>
          <w:rFonts w:ascii="Times New Roman" w:hAnsi="Times New Roman" w:cs="Times New Roman"/>
        </w:rPr>
        <w:t>In fact, in recent studies, intranasal vaccination has been shown to produce systemic</w:t>
      </w:r>
      <w:r w:rsidR="00082F00" w:rsidRPr="006038F2">
        <w:rPr>
          <w:rFonts w:ascii="Times New Roman" w:hAnsi="Times New Roman" w:cs="Times New Roman"/>
        </w:rPr>
        <w:t>, memory</w:t>
      </w:r>
      <w:r w:rsidR="003226EE" w:rsidRPr="006038F2">
        <w:rPr>
          <w:rFonts w:ascii="Times New Roman" w:hAnsi="Times New Roman" w:cs="Times New Roman"/>
        </w:rPr>
        <w:t xml:space="preserve"> immunity</w:t>
      </w:r>
      <w:r w:rsidR="00164F7F" w:rsidRPr="006038F2">
        <w:rPr>
          <w:rFonts w:ascii="Times New Roman" w:hAnsi="Times New Roman" w:cs="Times New Roman"/>
        </w:rPr>
        <w:t xml:space="preserve">, as opposed to </w:t>
      </w:r>
      <w:r w:rsidR="007127BC" w:rsidRPr="006038F2">
        <w:rPr>
          <w:rFonts w:ascii="Times New Roman" w:hAnsi="Times New Roman" w:cs="Times New Roman"/>
        </w:rPr>
        <w:t>more traditional routes of vaccine administration</w:t>
      </w:r>
      <w:r w:rsidR="00585952" w:rsidRPr="006038F2">
        <w:rPr>
          <w:rFonts w:ascii="Times New Roman" w:hAnsi="Times New Roman" w:cs="Times New Roman"/>
        </w:rPr>
        <w:t xml:space="preserve"> </w:t>
      </w:r>
      <w:sdt>
        <w:sdtPr>
          <w:rPr>
            <w:rFonts w:ascii="Times New Roman" w:hAnsi="Times New Roman" w:cs="Times New Roman"/>
          </w:rPr>
          <w:id w:val="-724220488"/>
          <w:citation/>
        </w:sdtPr>
        <w:sdtContent>
          <w:r w:rsidR="00585952" w:rsidRPr="006038F2">
            <w:rPr>
              <w:rFonts w:ascii="Times New Roman" w:hAnsi="Times New Roman" w:cs="Times New Roman"/>
            </w:rPr>
            <w:fldChar w:fldCharType="begin"/>
          </w:r>
          <w:r w:rsidR="00585952" w:rsidRPr="006038F2">
            <w:rPr>
              <w:rFonts w:ascii="Times New Roman" w:hAnsi="Times New Roman" w:cs="Times New Roman"/>
            </w:rPr>
            <w:instrText xml:space="preserve"> CITATION Nel21 \l 1033 </w:instrText>
          </w:r>
          <w:r w:rsidR="00585952" w:rsidRPr="006038F2">
            <w:rPr>
              <w:rFonts w:ascii="Times New Roman" w:hAnsi="Times New Roman" w:cs="Times New Roman"/>
            </w:rPr>
            <w:fldChar w:fldCharType="separate"/>
          </w:r>
          <w:r w:rsidR="00B56B5A" w:rsidRPr="006038F2">
            <w:rPr>
              <w:rFonts w:ascii="Times New Roman" w:hAnsi="Times New Roman" w:cs="Times New Roman"/>
              <w:noProof/>
            </w:rPr>
            <w:t>(Nelson, 2021)</w:t>
          </w:r>
          <w:r w:rsidR="00585952" w:rsidRPr="006038F2">
            <w:rPr>
              <w:rFonts w:ascii="Times New Roman" w:hAnsi="Times New Roman" w:cs="Times New Roman"/>
            </w:rPr>
            <w:fldChar w:fldCharType="end"/>
          </w:r>
        </w:sdtContent>
      </w:sdt>
      <w:r w:rsidR="003226EE" w:rsidRPr="006038F2">
        <w:rPr>
          <w:rFonts w:ascii="Times New Roman" w:hAnsi="Times New Roman" w:cs="Times New Roman"/>
        </w:rPr>
        <w:t xml:space="preserve">. </w:t>
      </w:r>
      <w:r w:rsidR="001C73B5" w:rsidRPr="006038F2">
        <w:rPr>
          <w:rFonts w:ascii="Times New Roman" w:hAnsi="Times New Roman" w:cs="Times New Roman"/>
        </w:rPr>
        <w:t xml:space="preserve">Because </w:t>
      </w:r>
      <w:r w:rsidR="000E05E1" w:rsidRPr="006038F2">
        <w:rPr>
          <w:rFonts w:ascii="Times New Roman" w:hAnsi="Times New Roman" w:cs="Times New Roman"/>
        </w:rPr>
        <w:t xml:space="preserve">of this </w:t>
      </w:r>
      <w:r w:rsidR="001C73B5" w:rsidRPr="006038F2">
        <w:rPr>
          <w:rFonts w:ascii="Times New Roman" w:hAnsi="Times New Roman" w:cs="Times New Roman"/>
        </w:rPr>
        <w:t xml:space="preserve">and because the NALT is a </w:t>
      </w:r>
      <w:r w:rsidR="000E05E1" w:rsidRPr="006038F2">
        <w:rPr>
          <w:rFonts w:ascii="Times New Roman" w:hAnsi="Times New Roman" w:cs="Times New Roman"/>
        </w:rPr>
        <w:t>high immune reaction site</w:t>
      </w:r>
      <w:r w:rsidR="001C73B5" w:rsidRPr="006038F2">
        <w:rPr>
          <w:rFonts w:ascii="Times New Roman" w:hAnsi="Times New Roman" w:cs="Times New Roman"/>
        </w:rPr>
        <w:t xml:space="preserve"> against invading pathogens, combined analysis is an attractive option for detailed immune exploration</w:t>
      </w:r>
      <w:r w:rsidR="0003572A" w:rsidRPr="006038F2">
        <w:rPr>
          <w:rFonts w:ascii="Times New Roman" w:hAnsi="Times New Roman" w:cs="Times New Roman"/>
        </w:rPr>
        <w:t>.</w:t>
      </w:r>
      <w:r w:rsidR="000F7C4A" w:rsidRPr="006038F2">
        <w:rPr>
          <w:rFonts w:ascii="Times New Roman" w:hAnsi="Times New Roman" w:cs="Times New Roman"/>
        </w:rPr>
        <w:t xml:space="preserve"> </w:t>
      </w:r>
      <w:r w:rsidR="00502846" w:rsidRPr="006038F2">
        <w:rPr>
          <w:rFonts w:ascii="Times New Roman" w:hAnsi="Times New Roman" w:cs="Times New Roman"/>
        </w:rPr>
        <w:t xml:space="preserve">The intranasal vaccination method may provide a more universal and versatile treatment option for more common maladies. </w:t>
      </w:r>
      <w:r w:rsidR="000F7C4A" w:rsidRPr="006038F2">
        <w:rPr>
          <w:rFonts w:ascii="Times New Roman" w:hAnsi="Times New Roman" w:cs="Times New Roman"/>
        </w:rPr>
        <w:t xml:space="preserve">Furthermore, GC’s </w:t>
      </w:r>
      <w:r w:rsidR="00502846" w:rsidRPr="006038F2">
        <w:rPr>
          <w:rFonts w:ascii="Times New Roman" w:hAnsi="Times New Roman" w:cs="Times New Roman"/>
        </w:rPr>
        <w:t xml:space="preserve">induced </w:t>
      </w:r>
      <w:r w:rsidR="000F7C4A" w:rsidRPr="006038F2">
        <w:rPr>
          <w:rFonts w:ascii="Times New Roman" w:hAnsi="Times New Roman" w:cs="Times New Roman"/>
        </w:rPr>
        <w:t xml:space="preserve">immune activity makes it an attractive option for </w:t>
      </w:r>
      <w:r w:rsidR="00502846" w:rsidRPr="006038F2">
        <w:rPr>
          <w:rFonts w:ascii="Times New Roman" w:hAnsi="Times New Roman" w:cs="Times New Roman"/>
        </w:rPr>
        <w:t xml:space="preserve">potent and efficient </w:t>
      </w:r>
      <w:r w:rsidR="000F7C4A" w:rsidRPr="006038F2">
        <w:rPr>
          <w:rFonts w:ascii="Times New Roman" w:hAnsi="Times New Roman" w:cs="Times New Roman"/>
        </w:rPr>
        <w:t>vaccination</w:t>
      </w:r>
      <w:r w:rsidR="00502846" w:rsidRPr="006038F2">
        <w:rPr>
          <w:rFonts w:ascii="Times New Roman" w:hAnsi="Times New Roman" w:cs="Times New Roman"/>
        </w:rPr>
        <w:t xml:space="preserve">. </w:t>
      </w:r>
    </w:p>
    <w:p w14:paraId="20C58328" w14:textId="77777777" w:rsidR="0003572A" w:rsidRPr="006038F2" w:rsidRDefault="0003572A" w:rsidP="007739FD">
      <w:pPr>
        <w:pStyle w:val="Heading2"/>
        <w:spacing w:line="480" w:lineRule="auto"/>
        <w:rPr>
          <w:rFonts w:ascii="Times New Roman" w:hAnsi="Times New Roman" w:cs="Times New Roman"/>
        </w:rPr>
      </w:pPr>
      <w:bookmarkStart w:id="15" w:name="_Toc172659137"/>
      <w:r w:rsidRPr="006038F2">
        <w:rPr>
          <w:rFonts w:ascii="Times New Roman" w:hAnsi="Times New Roman" w:cs="Times New Roman"/>
        </w:rPr>
        <w:lastRenderedPageBreak/>
        <w:t>1.6 Study’s Analysis Methods</w:t>
      </w:r>
      <w:bookmarkEnd w:id="15"/>
    </w:p>
    <w:p w14:paraId="54455A2A" w14:textId="39B37C3C" w:rsidR="0003572A" w:rsidRPr="006038F2" w:rsidRDefault="0003572A" w:rsidP="007739FD">
      <w:pPr>
        <w:pStyle w:val="Heading3"/>
        <w:spacing w:line="480" w:lineRule="auto"/>
        <w:rPr>
          <w:rFonts w:ascii="Times New Roman" w:hAnsi="Times New Roman" w:cs="Times New Roman"/>
        </w:rPr>
      </w:pPr>
      <w:bookmarkStart w:id="16" w:name="_Toc172659138"/>
      <w:r w:rsidRPr="006038F2">
        <w:rPr>
          <w:rFonts w:ascii="Times New Roman" w:hAnsi="Times New Roman" w:cs="Times New Roman"/>
        </w:rPr>
        <w:t>1.6.1 IVIS</w:t>
      </w:r>
      <w:r w:rsidR="00751BBC" w:rsidRPr="006038F2">
        <w:rPr>
          <w:rFonts w:ascii="Times New Roman" w:hAnsi="Times New Roman" w:cs="Times New Roman"/>
        </w:rPr>
        <w:t xml:space="preserve"> and Interferon Reporter Mouse</w:t>
      </w:r>
      <w:bookmarkEnd w:id="16"/>
    </w:p>
    <w:p w14:paraId="06F50BB0" w14:textId="77777777" w:rsidR="00BF4B2F" w:rsidRPr="006038F2" w:rsidRDefault="00BF4B2F" w:rsidP="007739FD">
      <w:pPr>
        <w:spacing w:line="480" w:lineRule="auto"/>
        <w:jc w:val="center"/>
        <w:rPr>
          <w:rFonts w:ascii="Times New Roman" w:hAnsi="Times New Roman" w:cs="Times New Roman"/>
        </w:rPr>
      </w:pPr>
      <w:r w:rsidRPr="006038F2">
        <w:rPr>
          <w:rFonts w:ascii="Times New Roman" w:hAnsi="Times New Roman" w:cs="Times New Roman"/>
          <w:noProof/>
        </w:rPr>
        <w:drawing>
          <wp:inline distT="0" distB="0" distL="0" distR="0" wp14:anchorId="5B34CC34" wp14:editId="65C203C1">
            <wp:extent cx="4391660" cy="3942773"/>
            <wp:effectExtent l="12700" t="12700" r="15240" b="6985"/>
            <wp:docPr id="1052614719" name="Picture 6" descr="A diagram of a mouse&#10;&#10;Description automatically generated">
              <a:extLst xmlns:a="http://schemas.openxmlformats.org/drawingml/2006/main">
                <a:ext uri="{FF2B5EF4-FFF2-40B4-BE49-F238E27FC236}">
                  <a16:creationId xmlns:a16="http://schemas.microsoft.com/office/drawing/2014/main" id="{C319BA4E-203A-C853-51CE-37C0A66762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mouse&#10;&#10;Description automatically generated">
                      <a:extLst>
                        <a:ext uri="{FF2B5EF4-FFF2-40B4-BE49-F238E27FC236}">
                          <a16:creationId xmlns:a16="http://schemas.microsoft.com/office/drawing/2014/main" id="{C319BA4E-203A-C853-51CE-37C0A667620B}"/>
                        </a:ext>
                      </a:extLst>
                    </pic:cNvPr>
                    <pic:cNvPicPr>
                      <a:picLocks noChangeAspect="1"/>
                    </pic:cNvPicPr>
                  </pic:nvPicPr>
                  <pic:blipFill rotWithShape="1">
                    <a:blip r:embed="rId14"/>
                    <a:srcRect l="1646" t="11446" r="1820" b="1717"/>
                    <a:stretch/>
                  </pic:blipFill>
                  <pic:spPr bwMode="auto">
                    <a:xfrm>
                      <a:off x="0" y="0"/>
                      <a:ext cx="4561212" cy="409499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7983130" w14:textId="06C721B0" w:rsidR="00BF4B2F" w:rsidRPr="006038F2" w:rsidRDefault="00BF4B2F" w:rsidP="007739FD">
      <w:pPr>
        <w:pStyle w:val="Caption"/>
        <w:spacing w:line="480" w:lineRule="auto"/>
        <w:rPr>
          <w:rFonts w:ascii="Times New Roman" w:hAnsi="Times New Roman" w:cs="Times New Roman"/>
        </w:rPr>
      </w:pPr>
      <w:bookmarkStart w:id="17" w:name="_Ref172628395"/>
      <w:bookmarkStart w:id="18" w:name="_Toc172659202"/>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5</w:t>
      </w:r>
      <w:r w:rsidRPr="006038F2">
        <w:rPr>
          <w:rFonts w:ascii="Times New Roman" w:hAnsi="Times New Roman" w:cs="Times New Roman"/>
          <w:b/>
          <w:bCs/>
        </w:rPr>
        <w:fldChar w:fldCharType="end"/>
      </w:r>
      <w:bookmarkEnd w:id="17"/>
      <w:r w:rsidRPr="006038F2">
        <w:rPr>
          <w:rFonts w:ascii="Times New Roman" w:hAnsi="Times New Roman" w:cs="Times New Roman"/>
          <w:b/>
          <w:bCs/>
        </w:rPr>
        <w:t xml:space="preserve">: Overview of the function of the interferon reporter mouse. </w:t>
      </w:r>
      <w:r w:rsidRPr="006038F2">
        <w:rPr>
          <w:rFonts w:ascii="Times New Roman" w:hAnsi="Times New Roman" w:cs="Times New Roman"/>
        </w:rPr>
        <w:t>The top left schematic shows the gene that was modified (Irgm1) to produce the interferon stimulation fluorescence (</w:t>
      </w:r>
      <w:proofErr w:type="spellStart"/>
      <w:r w:rsidRPr="006038F2">
        <w:rPr>
          <w:rFonts w:ascii="Times New Roman" w:hAnsi="Times New Roman" w:cs="Times New Roman"/>
        </w:rPr>
        <w:t>DsRed</w:t>
      </w:r>
      <w:proofErr w:type="spellEnd"/>
      <w:r w:rsidRPr="006038F2">
        <w:rPr>
          <w:rFonts w:ascii="Times New Roman" w:hAnsi="Times New Roman" w:cs="Times New Roman"/>
        </w:rPr>
        <w:t xml:space="preserve">). The bottom left schematic is an example of </w:t>
      </w:r>
      <w:r w:rsidRPr="006038F2">
        <w:rPr>
          <w:rFonts w:ascii="Times New Roman" w:hAnsi="Times New Roman" w:cs="Times New Roman"/>
          <w:i w:val="0"/>
          <w:iCs w:val="0"/>
        </w:rPr>
        <w:t>in vitro</w:t>
      </w:r>
      <w:r w:rsidRPr="006038F2">
        <w:rPr>
          <w:rFonts w:ascii="Times New Roman" w:hAnsi="Times New Roman" w:cs="Times New Roman"/>
        </w:rPr>
        <w:t xml:space="preserve"> fluorescent imaging to show the activity. These mice can be utilized at different imaging options to report on all types of interferons, but the purposes of this study report on type I. This image is pulled from a literature article that introduced this new strain of mouse and its </w:t>
      </w:r>
      <w:proofErr w:type="gramStart"/>
      <w:r w:rsidRPr="006038F2">
        <w:rPr>
          <w:rFonts w:ascii="Times New Roman" w:hAnsi="Times New Roman" w:cs="Times New Roman"/>
        </w:rPr>
        <w:t>function(</w:t>
      </w:r>
      <w:proofErr w:type="gramEnd"/>
      <w:sdt>
        <w:sdtPr>
          <w:rPr>
            <w:rFonts w:ascii="Times New Roman" w:hAnsi="Times New Roman" w:cs="Times New Roman"/>
          </w:rPr>
          <w:id w:val="378442194"/>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Sti19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(Stifter, 2019)</w:t>
          </w:r>
          <w:r w:rsidRPr="006038F2">
            <w:rPr>
              <w:rFonts w:ascii="Times New Roman" w:hAnsi="Times New Roman" w:cs="Times New Roman"/>
            </w:rPr>
            <w:fldChar w:fldCharType="end"/>
          </w:r>
        </w:sdtContent>
      </w:sdt>
      <w:r w:rsidRPr="006038F2">
        <w:rPr>
          <w:rFonts w:ascii="Times New Roman" w:hAnsi="Times New Roman" w:cs="Times New Roman"/>
        </w:rPr>
        <w:t>.</w:t>
      </w:r>
      <w:bookmarkEnd w:id="18"/>
      <w:r w:rsidRPr="006038F2">
        <w:rPr>
          <w:rFonts w:ascii="Times New Roman" w:hAnsi="Times New Roman" w:cs="Times New Roman"/>
        </w:rPr>
        <w:t xml:space="preserve"> </w:t>
      </w:r>
    </w:p>
    <w:p w14:paraId="4E9C1268" w14:textId="080DF367" w:rsidR="0003572A" w:rsidRPr="006038F2" w:rsidRDefault="0003572A" w:rsidP="007739FD">
      <w:pPr>
        <w:spacing w:line="480" w:lineRule="auto"/>
        <w:rPr>
          <w:rFonts w:ascii="Times New Roman" w:hAnsi="Times New Roman" w:cs="Times New Roman"/>
        </w:rPr>
      </w:pPr>
      <w:r w:rsidRPr="006038F2">
        <w:rPr>
          <w:rFonts w:ascii="Times New Roman" w:hAnsi="Times New Roman" w:cs="Times New Roman"/>
        </w:rPr>
        <w:tab/>
        <w:t>Caliper Life Sciences IVIS (In Vivo Imaging System) Spectrum CT is an in vivo imaging modality meant for molecular and anatomical imaging of primarily bioluminescent or fluorescent signals</w:t>
      </w:r>
      <w:r w:rsidR="00A14FDB" w:rsidRPr="006038F2">
        <w:rPr>
          <w:rFonts w:ascii="Times New Roman" w:hAnsi="Times New Roman" w:cs="Times New Roman"/>
        </w:rPr>
        <w:t xml:space="preserve">. </w:t>
      </w:r>
      <w:r w:rsidRPr="006038F2">
        <w:rPr>
          <w:rFonts w:ascii="Times New Roman" w:hAnsi="Times New Roman" w:cs="Times New Roman"/>
        </w:rPr>
        <w:t xml:space="preserve">It is favored for its ability to non-invasively monitor certain cell signaling, gene expression changes, and disease progression </w:t>
      </w:r>
      <w:sdt>
        <w:sdtPr>
          <w:rPr>
            <w:rFonts w:ascii="Times New Roman" w:hAnsi="Times New Roman" w:cs="Times New Roman"/>
          </w:rPr>
          <w:id w:val="76665959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UTS22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(UT Southwestern Medical Center, 2022)</w:t>
          </w:r>
          <w:r w:rsidRPr="006038F2">
            <w:rPr>
              <w:rFonts w:ascii="Times New Roman" w:hAnsi="Times New Roman" w:cs="Times New Roman"/>
            </w:rPr>
            <w:fldChar w:fldCharType="end"/>
          </w:r>
        </w:sdtContent>
      </w:sdt>
      <w:r w:rsidRPr="006038F2">
        <w:rPr>
          <w:rFonts w:ascii="Times New Roman" w:hAnsi="Times New Roman" w:cs="Times New Roman"/>
        </w:rPr>
        <w:t xml:space="preserve">. The mice used in the imaging sections of this study (Chapter 2) are a new strain of IFN reporter mice </w:t>
      </w:r>
      <w:sdt>
        <w:sdtPr>
          <w:rPr>
            <w:rFonts w:ascii="Times New Roman" w:hAnsi="Times New Roman" w:cs="Times New Roman"/>
          </w:rPr>
          <w:id w:val="-186450964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Jac24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(Jackson Laboratory, 2024)</w:t>
          </w:r>
          <w:r w:rsidRPr="006038F2">
            <w:rPr>
              <w:rFonts w:ascii="Times New Roman" w:hAnsi="Times New Roman" w:cs="Times New Roman"/>
            </w:rPr>
            <w:fldChar w:fldCharType="end"/>
          </w:r>
        </w:sdtContent>
      </w:sdt>
      <w:r w:rsidRPr="006038F2">
        <w:rPr>
          <w:rFonts w:ascii="Times New Roman" w:hAnsi="Times New Roman" w:cs="Times New Roman"/>
        </w:rPr>
        <w:t>. Developed by Jackson Laboratories, these mice put off fluorescence signal in response to interferon stimulation, making them ideal for the response qualification desired in this study</w:t>
      </w:r>
      <w:r w:rsidR="00AF1423" w:rsidRPr="006038F2">
        <w:rPr>
          <w:rFonts w:ascii="Times New Roman" w:hAnsi="Times New Roman" w:cs="Times New Roman"/>
        </w:rPr>
        <w:t xml:space="preserve"> (</w:t>
      </w:r>
      <w:r w:rsidR="00634724" w:rsidRPr="006038F2">
        <w:rPr>
          <w:rFonts w:ascii="Times New Roman" w:hAnsi="Times New Roman" w:cs="Times New Roman"/>
        </w:rPr>
        <w:fldChar w:fldCharType="begin"/>
      </w:r>
      <w:r w:rsidR="00634724" w:rsidRPr="006038F2">
        <w:rPr>
          <w:rFonts w:ascii="Times New Roman" w:hAnsi="Times New Roman" w:cs="Times New Roman"/>
        </w:rPr>
        <w:instrText xml:space="preserve"> REF _Ref172628395 \h </w:instrText>
      </w:r>
      <w:r w:rsidR="007739FD" w:rsidRPr="006038F2">
        <w:rPr>
          <w:rFonts w:ascii="Times New Roman" w:hAnsi="Times New Roman" w:cs="Times New Roman"/>
        </w:rPr>
        <w:instrText xml:space="preserve"> \* MERGEFORMAT </w:instrText>
      </w:r>
      <w:r w:rsidR="00634724" w:rsidRPr="006038F2">
        <w:rPr>
          <w:rFonts w:ascii="Times New Roman" w:hAnsi="Times New Roman" w:cs="Times New Roman"/>
        </w:rPr>
      </w:r>
      <w:r w:rsidR="00634724" w:rsidRPr="006038F2">
        <w:rPr>
          <w:rFonts w:ascii="Times New Roman" w:hAnsi="Times New Roman" w:cs="Times New Roman"/>
        </w:rPr>
        <w:fldChar w:fldCharType="separate"/>
      </w:r>
      <w:r w:rsidR="00634724" w:rsidRPr="006038F2">
        <w:rPr>
          <w:rFonts w:ascii="Times New Roman" w:hAnsi="Times New Roman" w:cs="Times New Roman"/>
          <w:b/>
          <w:bCs/>
        </w:rPr>
        <w:t xml:space="preserve">Figure </w:t>
      </w:r>
      <w:r w:rsidR="00634724" w:rsidRPr="006038F2">
        <w:rPr>
          <w:rFonts w:ascii="Times New Roman" w:hAnsi="Times New Roman" w:cs="Times New Roman"/>
          <w:b/>
          <w:bCs/>
          <w:noProof/>
        </w:rPr>
        <w:t>5</w:t>
      </w:r>
      <w:r w:rsidR="00634724" w:rsidRPr="006038F2">
        <w:rPr>
          <w:rFonts w:ascii="Times New Roman" w:hAnsi="Times New Roman" w:cs="Times New Roman"/>
        </w:rPr>
        <w:fldChar w:fldCharType="end"/>
      </w:r>
      <w:r w:rsidR="00634724" w:rsidRPr="006038F2">
        <w:rPr>
          <w:rFonts w:ascii="Times New Roman" w:hAnsi="Times New Roman" w:cs="Times New Roman"/>
        </w:rPr>
        <w:t>)</w:t>
      </w:r>
      <w:r w:rsidRPr="006038F2">
        <w:rPr>
          <w:rFonts w:ascii="Times New Roman" w:hAnsi="Times New Roman" w:cs="Times New Roman"/>
        </w:rPr>
        <w:t xml:space="preserve">. They visualize interferon signaling rather than interferon expression, making them ideal for time-series studies in the measurement of continuous immune responses </w:t>
      </w:r>
      <w:sdt>
        <w:sdtPr>
          <w:rPr>
            <w:rFonts w:ascii="Times New Roman" w:hAnsi="Times New Roman" w:cs="Times New Roman"/>
          </w:rPr>
          <w:id w:val="-74719356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Sti19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(Stifter, 2019)</w:t>
          </w:r>
          <w:r w:rsidRPr="006038F2">
            <w:rPr>
              <w:rFonts w:ascii="Times New Roman" w:hAnsi="Times New Roman" w:cs="Times New Roman"/>
            </w:rPr>
            <w:fldChar w:fldCharType="end"/>
          </w:r>
        </w:sdtContent>
      </w:sdt>
      <w:r w:rsidRPr="006038F2">
        <w:rPr>
          <w:rFonts w:ascii="Times New Roman" w:hAnsi="Times New Roman" w:cs="Times New Roman"/>
        </w:rPr>
        <w:t xml:space="preserve">. The IVIS is an ideal tool in quickly and efficiently analyzing this fluorescent response </w:t>
      </w:r>
      <w:r w:rsidRPr="006038F2">
        <w:rPr>
          <w:rFonts w:ascii="Times New Roman" w:hAnsi="Times New Roman" w:cs="Times New Roman"/>
          <w:i/>
          <w:iCs/>
        </w:rPr>
        <w:t>in vivo</w:t>
      </w:r>
      <w:r w:rsidRPr="006038F2">
        <w:rPr>
          <w:rFonts w:ascii="Times New Roman" w:hAnsi="Times New Roman" w:cs="Times New Roman"/>
        </w:rPr>
        <w:t xml:space="preserve"> </w:t>
      </w:r>
      <w:sdt>
        <w:sdtPr>
          <w:rPr>
            <w:rFonts w:ascii="Times New Roman" w:hAnsi="Times New Roman" w:cs="Times New Roman"/>
          </w:rPr>
          <w:id w:val="83750727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Coo13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(Cool, 2013)</w:t>
          </w:r>
          <w:r w:rsidRPr="006038F2">
            <w:rPr>
              <w:rFonts w:ascii="Times New Roman" w:hAnsi="Times New Roman" w:cs="Times New Roman"/>
            </w:rPr>
            <w:fldChar w:fldCharType="end"/>
          </w:r>
        </w:sdtContent>
      </w:sdt>
      <w:r w:rsidRPr="006038F2">
        <w:rPr>
          <w:rFonts w:ascii="Times New Roman" w:hAnsi="Times New Roman" w:cs="Times New Roman"/>
        </w:rPr>
        <w:t>.</w:t>
      </w:r>
    </w:p>
    <w:p w14:paraId="547AF712" w14:textId="77777777" w:rsidR="0003572A" w:rsidRPr="006038F2" w:rsidRDefault="0003572A" w:rsidP="007739FD">
      <w:pPr>
        <w:pStyle w:val="Heading3"/>
        <w:spacing w:line="480" w:lineRule="auto"/>
        <w:rPr>
          <w:rFonts w:ascii="Times New Roman" w:hAnsi="Times New Roman" w:cs="Times New Roman"/>
        </w:rPr>
      </w:pPr>
      <w:bookmarkStart w:id="19" w:name="_Toc172659139"/>
      <w:r w:rsidRPr="006038F2">
        <w:rPr>
          <w:rFonts w:ascii="Times New Roman" w:hAnsi="Times New Roman" w:cs="Times New Roman"/>
        </w:rPr>
        <w:t>1.6.2 Bulk-RNA</w:t>
      </w:r>
      <w:bookmarkEnd w:id="19"/>
    </w:p>
    <w:p w14:paraId="732409F1" w14:textId="4906D563" w:rsidR="00F55387" w:rsidRPr="006038F2" w:rsidRDefault="00F55387" w:rsidP="007739FD">
      <w:pPr>
        <w:spacing w:line="480" w:lineRule="auto"/>
        <w:jc w:val="center"/>
        <w:rPr>
          <w:rFonts w:ascii="Times New Roman" w:hAnsi="Times New Roman" w:cs="Times New Roman"/>
        </w:rPr>
      </w:pPr>
      <w:r w:rsidRPr="006038F2">
        <w:rPr>
          <w:rFonts w:ascii="Times New Roman" w:hAnsi="Times New Roman" w:cs="Times New Roman"/>
          <w:noProof/>
        </w:rPr>
        <w:drawing>
          <wp:inline distT="0" distB="0" distL="0" distR="0" wp14:anchorId="26350EB5" wp14:editId="54815C6F">
            <wp:extent cx="5353779" cy="4056780"/>
            <wp:effectExtent l="12700" t="12700" r="18415" b="7620"/>
            <wp:docPr id="4" name="Picture 3" descr="A diagram of a cell line&#10;&#10;Description automatically generated with medium confidence">
              <a:extLst xmlns:a="http://schemas.openxmlformats.org/drawingml/2006/main">
                <a:ext uri="{FF2B5EF4-FFF2-40B4-BE49-F238E27FC236}">
                  <a16:creationId xmlns:a16="http://schemas.microsoft.com/office/drawing/2014/main" id="{7BA57011-83CA-9F5C-6176-0E64BD86CE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diagram of a cell line&#10;&#10;Description automatically generated with medium confidence">
                      <a:extLst>
                        <a:ext uri="{FF2B5EF4-FFF2-40B4-BE49-F238E27FC236}">
                          <a16:creationId xmlns:a16="http://schemas.microsoft.com/office/drawing/2014/main" id="{7BA57011-83CA-9F5C-6176-0E64BD86CE23}"/>
                        </a:ext>
                      </a:extLst>
                    </pic:cNvPr>
                    <pic:cNvPicPr>
                      <a:picLocks noChangeAspect="1"/>
                    </pic:cNvPicPr>
                  </pic:nvPicPr>
                  <pic:blipFill rotWithShape="1">
                    <a:blip r:embed="rId15"/>
                    <a:srcRect t="624"/>
                    <a:stretch/>
                  </pic:blipFill>
                  <pic:spPr>
                    <a:xfrm>
                      <a:off x="0" y="0"/>
                      <a:ext cx="5380281" cy="4076862"/>
                    </a:xfrm>
                    <a:prstGeom prst="rect">
                      <a:avLst/>
                    </a:prstGeom>
                    <a:ln>
                      <a:solidFill>
                        <a:schemeClr val="tx1"/>
                      </a:solidFill>
                    </a:ln>
                  </pic:spPr>
                </pic:pic>
              </a:graphicData>
            </a:graphic>
          </wp:inline>
        </w:drawing>
      </w:r>
    </w:p>
    <w:p w14:paraId="349AC5EB" w14:textId="02520E89" w:rsidR="00105899" w:rsidRPr="006038F2" w:rsidRDefault="00F55387" w:rsidP="007739FD">
      <w:pPr>
        <w:pStyle w:val="Caption"/>
        <w:spacing w:line="480" w:lineRule="auto"/>
        <w:rPr>
          <w:rFonts w:ascii="Times New Roman" w:hAnsi="Times New Roman" w:cs="Times New Roman"/>
          <w:b/>
          <w:bCs/>
        </w:rPr>
      </w:pPr>
      <w:bookmarkStart w:id="20" w:name="_Ref172629261"/>
      <w:bookmarkStart w:id="21" w:name="_Toc172659203"/>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6</w:t>
      </w:r>
      <w:r w:rsidRPr="006038F2">
        <w:rPr>
          <w:rFonts w:ascii="Times New Roman" w:hAnsi="Times New Roman" w:cs="Times New Roman"/>
          <w:b/>
          <w:bCs/>
        </w:rPr>
        <w:fldChar w:fldCharType="end"/>
      </w:r>
      <w:bookmarkEnd w:id="20"/>
      <w:r w:rsidRPr="006038F2">
        <w:rPr>
          <w:rFonts w:ascii="Times New Roman" w:hAnsi="Times New Roman" w:cs="Times New Roman"/>
          <w:b/>
          <w:bCs/>
        </w:rPr>
        <w:t>:</w:t>
      </w:r>
      <w:r w:rsidR="00E41D4D" w:rsidRPr="006038F2">
        <w:rPr>
          <w:rFonts w:ascii="Times New Roman" w:hAnsi="Times New Roman" w:cs="Times New Roman"/>
          <w:b/>
          <w:bCs/>
        </w:rPr>
        <w:t xml:space="preserve"> Illustration of differences between bulk-RNA sequencing and single cell RNA sequencing. </w:t>
      </w:r>
      <w:r w:rsidR="00E41D4D" w:rsidRPr="006038F2">
        <w:rPr>
          <w:rFonts w:ascii="Times New Roman" w:hAnsi="Times New Roman" w:cs="Times New Roman"/>
        </w:rPr>
        <w:t>This figure was pulled from a literature piece to provide further explanation of the principle of bulk-RNA sequencing (</w:t>
      </w:r>
      <w:sdt>
        <w:sdtPr>
          <w:rPr>
            <w:rFonts w:ascii="Times New Roman" w:hAnsi="Times New Roman" w:cs="Times New Roman"/>
          </w:rPr>
          <w:id w:val="-1392571415"/>
          <w:citation/>
        </w:sdtPr>
        <w:sdtContent>
          <w:r w:rsidR="00E41D4D" w:rsidRPr="006038F2">
            <w:rPr>
              <w:rFonts w:ascii="Times New Roman" w:hAnsi="Times New Roman" w:cs="Times New Roman"/>
            </w:rPr>
            <w:fldChar w:fldCharType="begin"/>
          </w:r>
          <w:r w:rsidR="00E41D4D" w:rsidRPr="006038F2">
            <w:rPr>
              <w:rFonts w:ascii="Times New Roman" w:hAnsi="Times New Roman" w:cs="Times New Roman"/>
            </w:rPr>
            <w:instrText xml:space="preserve"> CITATION YuX21 \l 1033 </w:instrText>
          </w:r>
          <w:r w:rsidR="00E41D4D" w:rsidRPr="006038F2">
            <w:rPr>
              <w:rFonts w:ascii="Times New Roman" w:hAnsi="Times New Roman" w:cs="Times New Roman"/>
            </w:rPr>
            <w:fldChar w:fldCharType="separate"/>
          </w:r>
          <w:r w:rsidR="00B56B5A" w:rsidRPr="006038F2">
            <w:rPr>
              <w:rFonts w:ascii="Times New Roman" w:hAnsi="Times New Roman" w:cs="Times New Roman"/>
              <w:noProof/>
            </w:rPr>
            <w:t xml:space="preserve"> (Yu X. e., 2021)</w:t>
          </w:r>
          <w:r w:rsidR="00E41D4D" w:rsidRPr="006038F2">
            <w:rPr>
              <w:rFonts w:ascii="Times New Roman" w:hAnsi="Times New Roman" w:cs="Times New Roman"/>
            </w:rPr>
            <w:fldChar w:fldCharType="end"/>
          </w:r>
        </w:sdtContent>
      </w:sdt>
      <w:r w:rsidR="00E41D4D" w:rsidRPr="006038F2">
        <w:rPr>
          <w:rFonts w:ascii="Times New Roman" w:hAnsi="Times New Roman" w:cs="Times New Roman"/>
        </w:rPr>
        <w:t>. The figure shows the average expression found in bulk sequencing versus the individualized, cell-specific expression found in single cell sequencing.</w:t>
      </w:r>
      <w:bookmarkEnd w:id="21"/>
      <w:r w:rsidR="00E41D4D" w:rsidRPr="006038F2">
        <w:rPr>
          <w:rFonts w:ascii="Times New Roman" w:hAnsi="Times New Roman" w:cs="Times New Roman"/>
        </w:rPr>
        <w:t xml:space="preserve"> </w:t>
      </w:r>
      <w:r w:rsidR="00E41D4D" w:rsidRPr="006038F2">
        <w:rPr>
          <w:rFonts w:ascii="Times New Roman" w:hAnsi="Times New Roman" w:cs="Times New Roman"/>
          <w:b/>
          <w:bCs/>
        </w:rPr>
        <w:t xml:space="preserve"> </w:t>
      </w:r>
    </w:p>
    <w:p w14:paraId="0C655ED6" w14:textId="362B7042" w:rsidR="0003572A" w:rsidRPr="006038F2" w:rsidRDefault="0003572A" w:rsidP="007739FD">
      <w:pPr>
        <w:spacing w:line="480" w:lineRule="auto"/>
        <w:ind w:firstLine="720"/>
        <w:rPr>
          <w:rFonts w:ascii="Times New Roman" w:hAnsi="Times New Roman" w:cs="Times New Roman"/>
        </w:rPr>
      </w:pPr>
      <w:r w:rsidRPr="006038F2">
        <w:rPr>
          <w:rFonts w:ascii="Times New Roman" w:hAnsi="Times New Roman" w:cs="Times New Roman"/>
        </w:rPr>
        <w:lastRenderedPageBreak/>
        <w:t xml:space="preserve">Bulk RNA sequencing is the analysis of the total RNA in a population that evaluates the entire transcriptome </w:t>
      </w:r>
      <w:sdt>
        <w:sdtPr>
          <w:rPr>
            <w:rFonts w:ascii="Times New Roman" w:hAnsi="Times New Roman" w:cs="Times New Roman"/>
          </w:rPr>
          <w:id w:val="148450674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Ill24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(Illumina, 2024)</w:t>
          </w:r>
          <w:r w:rsidRPr="006038F2">
            <w:rPr>
              <w:rFonts w:ascii="Times New Roman" w:hAnsi="Times New Roman" w:cs="Times New Roman"/>
            </w:rPr>
            <w:fldChar w:fldCharType="end"/>
          </w:r>
        </w:sdtContent>
      </w:sdt>
      <w:r w:rsidRPr="006038F2">
        <w:rPr>
          <w:rFonts w:ascii="Times New Roman" w:hAnsi="Times New Roman" w:cs="Times New Roman"/>
        </w:rPr>
        <w:t>. Isolated RNA from a sample is converted into cDNA then sequence</w:t>
      </w:r>
      <w:r w:rsidR="007C6339" w:rsidRPr="006038F2">
        <w:rPr>
          <w:rFonts w:ascii="Times New Roman" w:hAnsi="Times New Roman" w:cs="Times New Roman"/>
        </w:rPr>
        <w:t>d</w:t>
      </w:r>
      <w:r w:rsidRPr="006038F2">
        <w:rPr>
          <w:rFonts w:ascii="Times New Roman" w:hAnsi="Times New Roman" w:cs="Times New Roman"/>
        </w:rPr>
        <w:t xml:space="preserve"> to create a library for comparison to a reference genome </w:t>
      </w:r>
      <w:sdt>
        <w:sdtPr>
          <w:rPr>
            <w:rFonts w:ascii="Times New Roman" w:hAnsi="Times New Roman" w:cs="Times New Roman"/>
          </w:rPr>
          <w:id w:val="-35411873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Wan09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(Wang, 2009)</w:t>
          </w:r>
          <w:r w:rsidRPr="006038F2">
            <w:rPr>
              <w:rFonts w:ascii="Times New Roman" w:hAnsi="Times New Roman" w:cs="Times New Roman"/>
            </w:rPr>
            <w:fldChar w:fldCharType="end"/>
          </w:r>
        </w:sdtContent>
      </w:sdt>
      <w:r w:rsidRPr="006038F2">
        <w:rPr>
          <w:rFonts w:ascii="Times New Roman" w:hAnsi="Times New Roman" w:cs="Times New Roman"/>
        </w:rPr>
        <w:t>. It measures average gene expression across all cells but does not explore cell-to-cell differences; this is within the realm of single-cell sequencing</w:t>
      </w:r>
      <w:r w:rsidR="00D35A42" w:rsidRPr="006038F2">
        <w:rPr>
          <w:rFonts w:ascii="Times New Roman" w:hAnsi="Times New Roman" w:cs="Times New Roman"/>
        </w:rPr>
        <w:t xml:space="preserve">, as seen in </w:t>
      </w:r>
      <w:r w:rsidR="00D35A42" w:rsidRPr="006038F2">
        <w:rPr>
          <w:rFonts w:ascii="Times New Roman" w:hAnsi="Times New Roman" w:cs="Times New Roman"/>
        </w:rPr>
        <w:fldChar w:fldCharType="begin"/>
      </w:r>
      <w:r w:rsidR="00D35A42" w:rsidRPr="006038F2">
        <w:rPr>
          <w:rFonts w:ascii="Times New Roman" w:hAnsi="Times New Roman" w:cs="Times New Roman"/>
        </w:rPr>
        <w:instrText xml:space="preserve"> REF _Ref172629261 \h </w:instrText>
      </w:r>
      <w:r w:rsidR="007739FD" w:rsidRPr="006038F2">
        <w:rPr>
          <w:rFonts w:ascii="Times New Roman" w:hAnsi="Times New Roman" w:cs="Times New Roman"/>
        </w:rPr>
        <w:instrText xml:space="preserve"> \* MERGEFORMAT </w:instrText>
      </w:r>
      <w:r w:rsidR="00D35A42" w:rsidRPr="006038F2">
        <w:rPr>
          <w:rFonts w:ascii="Times New Roman" w:hAnsi="Times New Roman" w:cs="Times New Roman"/>
        </w:rPr>
      </w:r>
      <w:r w:rsidR="00D35A42" w:rsidRPr="006038F2">
        <w:rPr>
          <w:rFonts w:ascii="Times New Roman" w:hAnsi="Times New Roman" w:cs="Times New Roman"/>
        </w:rPr>
        <w:fldChar w:fldCharType="separate"/>
      </w:r>
      <w:r w:rsidR="00D35A42" w:rsidRPr="006038F2">
        <w:rPr>
          <w:rFonts w:ascii="Times New Roman" w:hAnsi="Times New Roman" w:cs="Times New Roman"/>
          <w:b/>
          <w:bCs/>
        </w:rPr>
        <w:t xml:space="preserve">Figure </w:t>
      </w:r>
      <w:r w:rsidR="00D35A42" w:rsidRPr="006038F2">
        <w:rPr>
          <w:rFonts w:ascii="Times New Roman" w:hAnsi="Times New Roman" w:cs="Times New Roman"/>
          <w:b/>
          <w:bCs/>
          <w:noProof/>
        </w:rPr>
        <w:t>6</w:t>
      </w:r>
      <w:r w:rsidR="00D35A42" w:rsidRPr="006038F2">
        <w:rPr>
          <w:rFonts w:ascii="Times New Roman" w:hAnsi="Times New Roman" w:cs="Times New Roman"/>
        </w:rPr>
        <w:fldChar w:fldCharType="end"/>
      </w:r>
      <w:r w:rsidRPr="006038F2">
        <w:rPr>
          <w:rFonts w:ascii="Times New Roman" w:hAnsi="Times New Roman" w:cs="Times New Roman"/>
        </w:rPr>
        <w:t xml:space="preserve"> </w:t>
      </w:r>
      <w:sdt>
        <w:sdtPr>
          <w:rPr>
            <w:rFonts w:ascii="Times New Roman" w:hAnsi="Times New Roman" w:cs="Times New Roman"/>
          </w:rPr>
          <w:id w:val="8805481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CDG24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(CD Genomics, 2024)</w:t>
          </w:r>
          <w:r w:rsidRPr="006038F2">
            <w:rPr>
              <w:rFonts w:ascii="Times New Roman" w:hAnsi="Times New Roman" w:cs="Times New Roman"/>
            </w:rPr>
            <w:fldChar w:fldCharType="end"/>
          </w:r>
        </w:sdtContent>
      </w:sdt>
      <w:r w:rsidRPr="006038F2">
        <w:rPr>
          <w:rFonts w:ascii="Times New Roman" w:hAnsi="Times New Roman" w:cs="Times New Roman"/>
        </w:rPr>
        <w:t xml:space="preserve">. Bulk sequencing can therefore miss some differences between individual cells, whereas single cell sequencing can capture heterogeneity </w:t>
      </w:r>
      <w:sdt>
        <w:sdtPr>
          <w:rPr>
            <w:rFonts w:ascii="Times New Roman" w:hAnsi="Times New Roman" w:cs="Times New Roman"/>
          </w:rPr>
          <w:id w:val="2038704747"/>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Heg22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(Hegenbarth, 2022)</w:t>
          </w:r>
          <w:r w:rsidRPr="006038F2">
            <w:rPr>
              <w:rFonts w:ascii="Times New Roman" w:hAnsi="Times New Roman" w:cs="Times New Roman"/>
            </w:rPr>
            <w:fldChar w:fldCharType="end"/>
          </w:r>
        </w:sdtContent>
      </w:sdt>
      <w:r w:rsidRPr="006038F2">
        <w:rPr>
          <w:rFonts w:ascii="Times New Roman" w:hAnsi="Times New Roman" w:cs="Times New Roman"/>
        </w:rPr>
        <w:t>. Because the NALT is characterized by immune activity, and many immune cells are part of the GC response, determining whether average GC-induced response shows the expected outcome (as per the lab’s previous findings) is the approach for this study.</w:t>
      </w:r>
    </w:p>
    <w:p w14:paraId="27F3DD6F" w14:textId="77777777" w:rsidR="0003572A" w:rsidRPr="006038F2" w:rsidRDefault="0003572A" w:rsidP="007739FD">
      <w:pPr>
        <w:pStyle w:val="Heading2"/>
        <w:spacing w:line="480" w:lineRule="auto"/>
        <w:rPr>
          <w:rFonts w:ascii="Times New Roman" w:hAnsi="Times New Roman" w:cs="Times New Roman"/>
        </w:rPr>
      </w:pPr>
      <w:bookmarkStart w:id="22" w:name="_Toc172659140"/>
      <w:r w:rsidRPr="006038F2">
        <w:rPr>
          <w:rFonts w:ascii="Times New Roman" w:hAnsi="Times New Roman" w:cs="Times New Roman"/>
        </w:rPr>
        <w:t>1.7 Objectives</w:t>
      </w:r>
      <w:bookmarkEnd w:id="22"/>
    </w:p>
    <w:p w14:paraId="4E02EE62" w14:textId="2839E26C" w:rsidR="0003572A" w:rsidRPr="006038F2" w:rsidRDefault="0003572A" w:rsidP="007739FD">
      <w:pPr>
        <w:spacing w:line="480" w:lineRule="auto"/>
        <w:rPr>
          <w:rFonts w:ascii="Times New Roman" w:hAnsi="Times New Roman" w:cs="Times New Roman"/>
        </w:rPr>
      </w:pPr>
      <w:r w:rsidRPr="006038F2">
        <w:rPr>
          <w:rFonts w:ascii="Times New Roman" w:hAnsi="Times New Roman" w:cs="Times New Roman"/>
        </w:rPr>
        <w:tab/>
        <w:t xml:space="preserve">While GC has shown clinical efficacy, its mechanisms are largely unexplored. Previous studies in this lab have shown interferon expression and differential gene expression after GC stimulation in primarily </w:t>
      </w:r>
      <w:r w:rsidRPr="006038F2">
        <w:rPr>
          <w:rFonts w:ascii="Times New Roman" w:hAnsi="Times New Roman" w:cs="Times New Roman"/>
          <w:i/>
          <w:iCs/>
        </w:rPr>
        <w:t>in vitro</w:t>
      </w:r>
      <w:r w:rsidRPr="006038F2">
        <w:rPr>
          <w:rFonts w:ascii="Times New Roman" w:hAnsi="Times New Roman" w:cs="Times New Roman"/>
        </w:rPr>
        <w:t xml:space="preserve"> applications. The purpose of the current work was therefore to build upon previous, foundational work in an attempt to prove the hypotheses of GC-initiated immune mechanisms in </w:t>
      </w:r>
      <w:r w:rsidRPr="006038F2">
        <w:rPr>
          <w:rFonts w:ascii="Times New Roman" w:hAnsi="Times New Roman" w:cs="Times New Roman"/>
          <w:i/>
          <w:iCs/>
        </w:rPr>
        <w:t>in vivo</w:t>
      </w:r>
      <w:r w:rsidRPr="006038F2">
        <w:rPr>
          <w:rFonts w:ascii="Times New Roman" w:hAnsi="Times New Roman" w:cs="Times New Roman"/>
        </w:rPr>
        <w:t xml:space="preserve"> applications, with particular emphasis on the nasal cavity for expansion of the use of GC beyond cancer therapies. Interferon stimulation assessment and differential gene expression analysis following GC administration will provide further understanding of the mechanism in which GC stimulates antitumor and antiviral immune responses. </w:t>
      </w:r>
      <w:r w:rsidRPr="006038F2">
        <w:rPr>
          <w:rFonts w:ascii="Times New Roman" w:hAnsi="Times New Roman" w:cs="Times New Roman"/>
          <w:lang w:eastAsia="en-US"/>
        </w:rPr>
        <w:br w:type="page"/>
      </w:r>
    </w:p>
    <w:p w14:paraId="0156766C" w14:textId="77777777" w:rsidR="00F00752" w:rsidRPr="006038F2" w:rsidRDefault="0003572A" w:rsidP="00F00752">
      <w:pPr>
        <w:pStyle w:val="Heading1"/>
        <w:spacing w:line="480" w:lineRule="auto"/>
        <w:jc w:val="center"/>
        <w:rPr>
          <w:rFonts w:ascii="Times New Roman" w:hAnsi="Times New Roman" w:cs="Times New Roman"/>
        </w:rPr>
      </w:pPr>
      <w:bookmarkStart w:id="23" w:name="_Toc172659141"/>
      <w:r w:rsidRPr="006038F2">
        <w:rPr>
          <w:rFonts w:ascii="Times New Roman" w:hAnsi="Times New Roman" w:cs="Times New Roman"/>
        </w:rPr>
        <w:lastRenderedPageBreak/>
        <w:t>Chapter 2</w:t>
      </w:r>
      <w:bookmarkEnd w:id="23"/>
    </w:p>
    <w:p w14:paraId="61801385" w14:textId="2C607EB4" w:rsidR="0003572A" w:rsidRPr="006038F2" w:rsidRDefault="0003572A" w:rsidP="009E4CD9">
      <w:pPr>
        <w:pStyle w:val="Heading1"/>
        <w:jc w:val="center"/>
        <w:rPr>
          <w:rFonts w:ascii="Times New Roman" w:hAnsi="Times New Roman" w:cs="Times New Roman"/>
        </w:rPr>
      </w:pPr>
      <w:bookmarkStart w:id="24" w:name="_Toc172659142"/>
      <w:r w:rsidRPr="006038F2">
        <w:rPr>
          <w:rFonts w:ascii="Times New Roman" w:hAnsi="Times New Roman" w:cs="Times New Roman"/>
        </w:rPr>
        <w:t>GC Administration Induces a Potent Type</w:t>
      </w:r>
      <w:r w:rsidR="00F41446" w:rsidRPr="006038F2">
        <w:rPr>
          <w:rFonts w:ascii="Times New Roman" w:hAnsi="Times New Roman" w:cs="Times New Roman"/>
        </w:rPr>
        <w:t>-</w:t>
      </w:r>
      <w:r w:rsidRPr="006038F2">
        <w:rPr>
          <w:rFonts w:ascii="Times New Roman" w:hAnsi="Times New Roman" w:cs="Times New Roman"/>
        </w:rPr>
        <w:t>1 IFN</w:t>
      </w:r>
      <w:r w:rsidR="00F00752" w:rsidRPr="006038F2">
        <w:rPr>
          <w:rFonts w:ascii="Times New Roman" w:hAnsi="Times New Roman" w:cs="Times New Roman"/>
        </w:rPr>
        <w:t xml:space="preserve"> </w:t>
      </w:r>
      <w:r w:rsidRPr="006038F2">
        <w:rPr>
          <w:rFonts w:ascii="Times New Roman" w:hAnsi="Times New Roman" w:cs="Times New Roman"/>
        </w:rPr>
        <w:t>Response In Vivo</w:t>
      </w:r>
      <w:bookmarkEnd w:id="24"/>
    </w:p>
    <w:p w14:paraId="757DA293" w14:textId="77777777" w:rsidR="00F00752" w:rsidRPr="006038F2" w:rsidRDefault="00F00752" w:rsidP="00F00752">
      <w:pPr>
        <w:spacing w:line="480" w:lineRule="auto"/>
        <w:rPr>
          <w:rFonts w:ascii="Times New Roman" w:hAnsi="Times New Roman" w:cs="Times New Roman"/>
        </w:rPr>
      </w:pPr>
    </w:p>
    <w:p w14:paraId="0403F8A7" w14:textId="77777777" w:rsidR="00F00752" w:rsidRPr="006038F2" w:rsidRDefault="00F00752" w:rsidP="00F00752">
      <w:pPr>
        <w:spacing w:line="480" w:lineRule="auto"/>
        <w:rPr>
          <w:rFonts w:ascii="Times New Roman" w:hAnsi="Times New Roman" w:cs="Times New Roman"/>
        </w:rPr>
      </w:pPr>
    </w:p>
    <w:p w14:paraId="0979C111" w14:textId="77777777" w:rsidR="0003572A" w:rsidRPr="006038F2" w:rsidRDefault="0003572A" w:rsidP="00F00752">
      <w:pPr>
        <w:pStyle w:val="Heading2"/>
        <w:spacing w:line="480" w:lineRule="auto"/>
        <w:rPr>
          <w:rFonts w:ascii="Times New Roman" w:hAnsi="Times New Roman" w:cs="Times New Roman"/>
        </w:rPr>
      </w:pPr>
      <w:bookmarkStart w:id="25" w:name="_Toc172659143"/>
      <w:r w:rsidRPr="006038F2">
        <w:rPr>
          <w:rFonts w:ascii="Times New Roman" w:hAnsi="Times New Roman" w:cs="Times New Roman"/>
        </w:rPr>
        <w:t>2.1 Objective</w:t>
      </w:r>
      <w:bookmarkEnd w:id="25"/>
    </w:p>
    <w:p w14:paraId="1EF0644C" w14:textId="77777777" w:rsidR="0003572A" w:rsidRPr="006038F2" w:rsidRDefault="0003572A" w:rsidP="009A2ADC">
      <w:pPr>
        <w:spacing w:line="480" w:lineRule="auto"/>
        <w:rPr>
          <w:rFonts w:ascii="Times New Roman" w:hAnsi="Times New Roman" w:cs="Times New Roman"/>
        </w:rPr>
      </w:pPr>
      <w:r w:rsidRPr="006038F2">
        <w:rPr>
          <w:rFonts w:ascii="Times New Roman" w:hAnsi="Times New Roman" w:cs="Times New Roman"/>
        </w:rPr>
        <w:tab/>
        <w:t xml:space="preserve">The purpose of this experiment was to use a reporter mouse strain and IVIS imaging technology to prove the interferon response to GC </w:t>
      </w:r>
      <w:r w:rsidRPr="006038F2">
        <w:rPr>
          <w:rFonts w:ascii="Times New Roman" w:hAnsi="Times New Roman" w:cs="Times New Roman"/>
          <w:i/>
          <w:iCs/>
        </w:rPr>
        <w:t>in vivo</w:t>
      </w:r>
      <w:r w:rsidRPr="006038F2">
        <w:rPr>
          <w:rFonts w:ascii="Times New Roman" w:hAnsi="Times New Roman" w:cs="Times New Roman"/>
        </w:rPr>
        <w:t xml:space="preserve"> that has been previously hypothesized by this lab.</w:t>
      </w:r>
    </w:p>
    <w:p w14:paraId="07447727" w14:textId="77777777" w:rsidR="0003572A" w:rsidRPr="006038F2" w:rsidRDefault="0003572A" w:rsidP="009A2ADC">
      <w:pPr>
        <w:pStyle w:val="Heading2"/>
        <w:spacing w:line="480" w:lineRule="auto"/>
        <w:rPr>
          <w:rFonts w:ascii="Times New Roman" w:hAnsi="Times New Roman" w:cs="Times New Roman"/>
        </w:rPr>
      </w:pPr>
      <w:bookmarkStart w:id="26" w:name="_Toc172659144"/>
      <w:r w:rsidRPr="006038F2">
        <w:rPr>
          <w:rFonts w:ascii="Times New Roman" w:hAnsi="Times New Roman" w:cs="Times New Roman"/>
        </w:rPr>
        <w:t>2.2 Materials</w:t>
      </w:r>
      <w:bookmarkEnd w:id="26"/>
    </w:p>
    <w:p w14:paraId="689BC7D7" w14:textId="16C38B5F"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Aqueous solution of N-</w:t>
      </w:r>
      <w:proofErr w:type="spellStart"/>
      <w:r w:rsidRPr="006038F2">
        <w:rPr>
          <w:rFonts w:ascii="Times New Roman" w:hAnsi="Times New Roman" w:cs="Times New Roman"/>
        </w:rPr>
        <w:t>dihydrogalactochitosan</w:t>
      </w:r>
      <w:proofErr w:type="spellEnd"/>
      <w:r w:rsidR="00F41446" w:rsidRPr="006038F2">
        <w:rPr>
          <w:rFonts w:ascii="Times New Roman" w:hAnsi="Times New Roman" w:cs="Times New Roman"/>
        </w:rPr>
        <w:t xml:space="preserve"> (10mg/mL)</w:t>
      </w:r>
      <w:r w:rsidRPr="006038F2">
        <w:rPr>
          <w:rFonts w:ascii="Times New Roman" w:hAnsi="Times New Roman" w:cs="Times New Roman"/>
        </w:rPr>
        <w:t xml:space="preserve">, also referred to as glycated chitosan (GC), was provided by </w:t>
      </w:r>
      <w:proofErr w:type="spellStart"/>
      <w:r w:rsidRPr="006038F2">
        <w:rPr>
          <w:rFonts w:ascii="Times New Roman" w:hAnsi="Times New Roman" w:cs="Times New Roman"/>
        </w:rPr>
        <w:t>ImmunoPhotonics</w:t>
      </w:r>
      <w:proofErr w:type="spellEnd"/>
      <w:r w:rsidRPr="006038F2">
        <w:rPr>
          <w:rFonts w:ascii="Times New Roman" w:hAnsi="Times New Roman" w:cs="Times New Roman"/>
        </w:rPr>
        <w:t>, Inc. Male C57BL/6-Tg(Irgm1-DsRed2)1Nci/</w:t>
      </w:r>
      <w:proofErr w:type="spellStart"/>
      <w:r w:rsidRPr="006038F2">
        <w:rPr>
          <w:rFonts w:ascii="Times New Roman" w:hAnsi="Times New Roman" w:cs="Times New Roman"/>
        </w:rPr>
        <w:t>Mmjax</w:t>
      </w:r>
      <w:proofErr w:type="spellEnd"/>
      <w:r w:rsidRPr="006038F2">
        <w:rPr>
          <w:rFonts w:ascii="Times New Roman" w:hAnsi="Times New Roman" w:cs="Times New Roman"/>
        </w:rPr>
        <w:t xml:space="preserve"> mice (commonly labelled M1Red mice) and female C57BL/6J mice were purchased from Jackson Laboratories; these were bred, and a colony of transgene carriers was developed </w:t>
      </w:r>
      <w:sdt>
        <w:sdtPr>
          <w:rPr>
            <w:rFonts w:ascii="Times New Roman" w:hAnsi="Times New Roman" w:cs="Times New Roman"/>
          </w:rPr>
          <w:id w:val="-4384446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CITATION Jac \y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(Jackson Laboratory)</w:t>
          </w:r>
          <w:r w:rsidRPr="006038F2">
            <w:rPr>
              <w:rFonts w:ascii="Times New Roman" w:hAnsi="Times New Roman" w:cs="Times New Roman"/>
            </w:rPr>
            <w:fldChar w:fldCharType="end"/>
          </w:r>
        </w:sdtContent>
      </w:sdt>
      <w:r w:rsidRPr="006038F2">
        <w:rPr>
          <w:rFonts w:ascii="Times New Roman" w:hAnsi="Times New Roman" w:cs="Times New Roman"/>
        </w:rPr>
        <w:t>. Bio-Serv chlorophyll-free rodent diet was used (Fisher Scientific, CAT#14726615), starting 14 days before the IVIS studies.</w:t>
      </w:r>
    </w:p>
    <w:p w14:paraId="3B4E778B" w14:textId="77777777" w:rsidR="0003572A" w:rsidRPr="006038F2" w:rsidRDefault="0003572A" w:rsidP="009A2ADC">
      <w:pPr>
        <w:pStyle w:val="Heading2"/>
        <w:spacing w:line="480" w:lineRule="auto"/>
        <w:rPr>
          <w:rFonts w:ascii="Times New Roman" w:hAnsi="Times New Roman" w:cs="Times New Roman"/>
        </w:rPr>
      </w:pPr>
      <w:bookmarkStart w:id="27" w:name="_Toc172659145"/>
      <w:r w:rsidRPr="006038F2">
        <w:rPr>
          <w:rFonts w:ascii="Times New Roman" w:hAnsi="Times New Roman" w:cs="Times New Roman"/>
        </w:rPr>
        <w:t>2.3 Methods</w:t>
      </w:r>
      <w:bookmarkEnd w:id="27"/>
    </w:p>
    <w:p w14:paraId="4C4CF3AD" w14:textId="77777777" w:rsidR="0003572A" w:rsidRPr="006038F2" w:rsidRDefault="0003572A" w:rsidP="009A2ADC">
      <w:pPr>
        <w:pStyle w:val="Heading3"/>
        <w:spacing w:line="480" w:lineRule="auto"/>
        <w:rPr>
          <w:rFonts w:ascii="Times New Roman" w:hAnsi="Times New Roman" w:cs="Times New Roman"/>
        </w:rPr>
      </w:pPr>
      <w:bookmarkStart w:id="28" w:name="_Ref170908776"/>
      <w:bookmarkStart w:id="29" w:name="_Toc172659146"/>
      <w:r w:rsidRPr="006038F2">
        <w:rPr>
          <w:rFonts w:ascii="Times New Roman" w:hAnsi="Times New Roman" w:cs="Times New Roman"/>
        </w:rPr>
        <w:t>2.3.1. Intranasal vaccination</w:t>
      </w:r>
      <w:bookmarkEnd w:id="28"/>
      <w:bookmarkEnd w:id="29"/>
    </w:p>
    <w:p w14:paraId="3F2D0811"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1% GC and PBS were combined in a 3:1 ratio, respectively. Due to GC’s viscosity, this dilution was performed to allow acquisition into the nasal cavity.</w:t>
      </w:r>
    </w:p>
    <w:p w14:paraId="3D9B544F"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lastRenderedPageBreak/>
        <w:t>Mice were anesthetized using an isoflurane chamber. Once asleep, mice were transferred to an isoflurane-pumped nasal cone on top of an electric heating pad, to maintain body temperature while under anesthesia. Using a fine-tip Q-Tip, Nair was applied to the strip along the nasal canal, from the tip of the nose to the area between the eyes. The Q-Tip was twisted to ensure that the Nair reached the roots of the hair. It was left on for less than 60 seconds, a PBS-doused cloth piece was used to wipe off the hair, and a different cloth piece was used to clean the area, being sure to remove all traces of the Nair. (Nair was applied the day before injections because in the time immediately following manual hair extraction, the mice will further groom the area – i.e., on the following day, there is a much cleaner bald spot, which is better for imaging constancy.)</w:t>
      </w:r>
    </w:p>
    <w:p w14:paraId="0AFE3644" w14:textId="660449F3"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The following day, mice were again anesthetized using an isoflurane chamber; once asleep</w:t>
      </w:r>
      <w:r w:rsidR="00D0457D" w:rsidRPr="006038F2">
        <w:rPr>
          <w:rFonts w:ascii="Times New Roman" w:hAnsi="Times New Roman" w:cs="Times New Roman"/>
        </w:rPr>
        <w:t>,</w:t>
      </w:r>
      <w:r w:rsidRPr="006038F2">
        <w:rPr>
          <w:rFonts w:ascii="Times New Roman" w:hAnsi="Times New Roman" w:cs="Times New Roman"/>
        </w:rPr>
        <w:t xml:space="preserve"> they were put on their backs. A drop at a time, 10 µL of the GC/PBS mixture was added to each nostril by holding the pipette tip directly above the nostril but not touching. Mice were left on their backs under anesthesia for 5 minutes after application, or until the solution had been fully taken in–marked when the sound of uptake is no longer heard along with the mice’s breaths an</w:t>
      </w:r>
      <w:r w:rsidR="00AD517E" w:rsidRPr="006038F2">
        <w:rPr>
          <w:rFonts w:ascii="Times New Roman" w:hAnsi="Times New Roman" w:cs="Times New Roman"/>
        </w:rPr>
        <w:t>d when</w:t>
      </w:r>
      <w:r w:rsidRPr="006038F2">
        <w:rPr>
          <w:rFonts w:ascii="Times New Roman" w:hAnsi="Times New Roman" w:cs="Times New Roman"/>
        </w:rPr>
        <w:t xml:space="preserve"> none is seen on the outside of the nostril. (It is important to allow complete uptake under anesthesia so that the mice do not sneeze out the solution; it is important to keep them on their backs for gravity’s help in solution uptake. See </w:t>
      </w:r>
      <w:r w:rsidRPr="006038F2">
        <w:rPr>
          <w:rFonts w:ascii="Times New Roman" w:hAnsi="Times New Roman" w:cs="Times New Roman"/>
        </w:rPr>
        <w:fldChar w:fldCharType="begin"/>
      </w:r>
      <w:r w:rsidRPr="006038F2">
        <w:rPr>
          <w:rFonts w:ascii="Times New Roman" w:hAnsi="Times New Roman" w:cs="Times New Roman"/>
        </w:rPr>
        <w:instrText xml:space="preserve"> REF _Ref170908522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15</w:t>
      </w:r>
      <w:r w:rsidRPr="006038F2">
        <w:rPr>
          <w:rFonts w:ascii="Times New Roman" w:hAnsi="Times New Roman" w:cs="Times New Roman"/>
        </w:rPr>
        <w:fldChar w:fldCharType="end"/>
      </w:r>
      <w:r w:rsidRPr="006038F2">
        <w:rPr>
          <w:rFonts w:ascii="Times New Roman" w:hAnsi="Times New Roman" w:cs="Times New Roman"/>
        </w:rPr>
        <w:t xml:space="preserve">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_Ref170821526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lang w:eastAsia="en-US"/>
        </w:rPr>
        <w:t>Appendix C: IVIS Optimization</w:t>
      </w:r>
      <w:r w:rsidRPr="006038F2">
        <w:rPr>
          <w:rFonts w:ascii="Times New Roman" w:hAnsi="Times New Roman" w:cs="Times New Roman"/>
        </w:rPr>
        <w:fldChar w:fldCharType="end"/>
      </w:r>
      <w:r w:rsidRPr="006038F2">
        <w:rPr>
          <w:rFonts w:ascii="Times New Roman" w:hAnsi="Times New Roman" w:cs="Times New Roman"/>
        </w:rPr>
        <w:t>)</w:t>
      </w:r>
    </w:p>
    <w:p w14:paraId="557480D4" w14:textId="77777777" w:rsidR="0003572A" w:rsidRPr="006038F2" w:rsidRDefault="0003572A" w:rsidP="009A2ADC">
      <w:pPr>
        <w:pStyle w:val="Heading3"/>
        <w:spacing w:line="480" w:lineRule="auto"/>
        <w:rPr>
          <w:rFonts w:ascii="Times New Roman" w:hAnsi="Times New Roman" w:cs="Times New Roman"/>
        </w:rPr>
      </w:pPr>
      <w:bookmarkStart w:id="30" w:name="_Toc172659147"/>
      <w:r w:rsidRPr="006038F2">
        <w:rPr>
          <w:rFonts w:ascii="Times New Roman" w:hAnsi="Times New Roman" w:cs="Times New Roman"/>
        </w:rPr>
        <w:t>2.3.2. Subcutaneous vaccination</w:t>
      </w:r>
      <w:bookmarkEnd w:id="30"/>
    </w:p>
    <w:p w14:paraId="717F32B5"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Mice were anesthetized using an isoflurane chamber. Once asleep, mice were put on an isoflurane-pumped nose cone on top of an electric heating pad to maintain body temperature while under anesthesia. Mice were shaved then Nair applied using a fine-tip Q-Tip, rubbed in to </w:t>
      </w:r>
      <w:r w:rsidRPr="006038F2">
        <w:rPr>
          <w:rFonts w:ascii="Times New Roman" w:hAnsi="Times New Roman" w:cs="Times New Roman"/>
        </w:rPr>
        <w:lastRenderedPageBreak/>
        <w:t>ensure that it reached the roots, to remove all hair around the site for vaccination. It was left on for less than 60 seconds, a PBS-doused cloth piece was used to wipe off the hair, and a different cloth piece was used to clean the area, being sure to remove all traces of the Nair. (Nair was applied the day before injections, with an ointment following, to prevent breakage of the skin during injection.)</w:t>
      </w:r>
    </w:p>
    <w:p w14:paraId="37C946F6" w14:textId="78247DB5"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The following day, mice were again anesthetized and put on the nasal cone. 100µL of 1% GC was administered subcutaneously to the back flank. Skin was lifted to create a “tent”, the syringe needle was inserted, and the solution expelled (the formation of a bubble should be felt under the skin). 100µL was chosen based on previously run optimization protocols for GC in the lab; 100µL is a common injection volume in LIT treatments.</w:t>
      </w:r>
    </w:p>
    <w:p w14:paraId="37C08815" w14:textId="295D1BE7" w:rsidR="00580348" w:rsidRPr="006038F2" w:rsidRDefault="0003572A" w:rsidP="00FC481E">
      <w:pPr>
        <w:pStyle w:val="Heading3"/>
        <w:spacing w:line="480" w:lineRule="auto"/>
        <w:rPr>
          <w:rFonts w:ascii="Times New Roman" w:hAnsi="Times New Roman" w:cs="Times New Roman"/>
        </w:rPr>
      </w:pPr>
      <w:bookmarkStart w:id="31" w:name="_Toc172659148"/>
      <w:r w:rsidRPr="006038F2">
        <w:rPr>
          <w:rFonts w:ascii="Times New Roman" w:hAnsi="Times New Roman" w:cs="Times New Roman"/>
        </w:rPr>
        <w:t>2.3.3. IVIS imaging</w:t>
      </w:r>
      <w:bookmarkEnd w:id="31"/>
    </w:p>
    <w:p w14:paraId="60B72D33" w14:textId="6010CC80" w:rsidR="00FC481E" w:rsidRPr="006038F2" w:rsidRDefault="00FC481E" w:rsidP="00631E47">
      <w:pPr>
        <w:spacing w:line="480" w:lineRule="auto"/>
        <w:jc w:val="center"/>
        <w:rPr>
          <w:rFonts w:ascii="Times New Roman" w:hAnsi="Times New Roman" w:cs="Times New Roman"/>
        </w:rPr>
      </w:pPr>
      <w:r w:rsidRPr="006038F2">
        <w:rPr>
          <w:rFonts w:ascii="Times New Roman" w:hAnsi="Times New Roman" w:cs="Times New Roman"/>
          <w:noProof/>
          <w14:ligatures w14:val="standardContextual"/>
        </w:rPr>
        <w:drawing>
          <wp:inline distT="0" distB="0" distL="0" distR="0" wp14:anchorId="7F824348" wp14:editId="43EBC4D3">
            <wp:extent cx="5943600" cy="1214755"/>
            <wp:effectExtent l="12700" t="12700" r="12700" b="17145"/>
            <wp:docPr id="7277576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757619" name="Picture 72775761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1214755"/>
                    </a:xfrm>
                    <a:prstGeom prst="rect">
                      <a:avLst/>
                    </a:prstGeom>
                    <a:ln>
                      <a:solidFill>
                        <a:schemeClr val="tx1"/>
                      </a:solidFill>
                    </a:ln>
                  </pic:spPr>
                </pic:pic>
              </a:graphicData>
            </a:graphic>
          </wp:inline>
        </w:drawing>
      </w:r>
    </w:p>
    <w:p w14:paraId="0B4900F8" w14:textId="77912311" w:rsidR="00967090" w:rsidRPr="006038F2" w:rsidRDefault="00631E47" w:rsidP="00631E47">
      <w:pPr>
        <w:pStyle w:val="Caption"/>
        <w:rPr>
          <w:rFonts w:ascii="Times New Roman" w:hAnsi="Times New Roman" w:cs="Times New Roman"/>
        </w:rPr>
      </w:pPr>
      <w:bookmarkStart w:id="32" w:name="_Ref172632088"/>
      <w:bookmarkStart w:id="33" w:name="_Toc172659204"/>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7</w:t>
      </w:r>
      <w:r w:rsidRPr="006038F2">
        <w:rPr>
          <w:rFonts w:ascii="Times New Roman" w:hAnsi="Times New Roman" w:cs="Times New Roman"/>
          <w:b/>
          <w:bCs/>
        </w:rPr>
        <w:fldChar w:fldCharType="end"/>
      </w:r>
      <w:bookmarkEnd w:id="32"/>
      <w:r w:rsidRPr="006038F2">
        <w:rPr>
          <w:rFonts w:ascii="Times New Roman" w:hAnsi="Times New Roman" w:cs="Times New Roman"/>
          <w:b/>
          <w:bCs/>
        </w:rPr>
        <w:t xml:space="preserve">: Timeline for IVIS imaging experiment. </w:t>
      </w:r>
      <w:r w:rsidRPr="006038F2">
        <w:rPr>
          <w:rFonts w:ascii="Times New Roman" w:hAnsi="Times New Roman" w:cs="Times New Roman"/>
        </w:rPr>
        <w:t>This figure shows the various events performed for the IVIS imaging experiment plotted on a timeline (not a continuous interval width). Shown are the diet switch, shaving, vaccination, and various imaging points.</w:t>
      </w:r>
      <w:bookmarkEnd w:id="33"/>
    </w:p>
    <w:p w14:paraId="7A46D37A" w14:textId="1EEE2EA8" w:rsidR="0003572A" w:rsidRPr="006038F2" w:rsidRDefault="0003572A" w:rsidP="00631E47">
      <w:pPr>
        <w:spacing w:line="480" w:lineRule="auto"/>
        <w:rPr>
          <w:rFonts w:ascii="Times New Roman" w:hAnsi="Times New Roman" w:cs="Times New Roman"/>
        </w:rPr>
      </w:pPr>
      <w:r w:rsidRPr="006038F2">
        <w:rPr>
          <w:rFonts w:ascii="Times New Roman" w:hAnsi="Times New Roman" w:cs="Times New Roman"/>
        </w:rPr>
        <w:tab/>
        <w:t xml:space="preserve">Two weeks prior to the first imaging time point, mice were switched from the regular rodent chow diet to a chlorophyl-free diet; it takes up to two weeks for the regular chow to make its way out of the mouse’s system. Imaging was done at the following time points: background (immediately before vaccination), 12hr, 24hr, 36hr, 48hr, 60hr, 72hr, and 7 </w:t>
      </w:r>
      <w:proofErr w:type="gramStart"/>
      <w:r w:rsidRPr="006038F2">
        <w:rPr>
          <w:rFonts w:ascii="Times New Roman" w:hAnsi="Times New Roman" w:cs="Times New Roman"/>
        </w:rPr>
        <w:t>day</w:t>
      </w:r>
      <w:proofErr w:type="gramEnd"/>
      <w:r w:rsidR="00936B2C" w:rsidRPr="006038F2">
        <w:rPr>
          <w:rFonts w:ascii="Times New Roman" w:hAnsi="Times New Roman" w:cs="Times New Roman"/>
        </w:rPr>
        <w:t xml:space="preserve">, as seen in </w:t>
      </w:r>
      <w:r w:rsidR="00936B2C" w:rsidRPr="006038F2">
        <w:rPr>
          <w:rFonts w:ascii="Times New Roman" w:hAnsi="Times New Roman" w:cs="Times New Roman"/>
        </w:rPr>
        <w:fldChar w:fldCharType="begin"/>
      </w:r>
      <w:r w:rsidR="00936B2C" w:rsidRPr="006038F2">
        <w:rPr>
          <w:rFonts w:ascii="Times New Roman" w:hAnsi="Times New Roman" w:cs="Times New Roman"/>
        </w:rPr>
        <w:instrText xml:space="preserve"> REF _Ref172632088 \h </w:instrText>
      </w:r>
      <w:r w:rsidR="00936B2C" w:rsidRPr="006038F2">
        <w:rPr>
          <w:rFonts w:ascii="Times New Roman" w:hAnsi="Times New Roman" w:cs="Times New Roman"/>
        </w:rPr>
      </w:r>
      <w:r w:rsidR="00625C0F" w:rsidRPr="006038F2">
        <w:rPr>
          <w:rFonts w:ascii="Times New Roman" w:hAnsi="Times New Roman" w:cs="Times New Roman"/>
        </w:rPr>
        <w:instrText xml:space="preserve"> \* MERGEFORMAT </w:instrText>
      </w:r>
      <w:r w:rsidR="00936B2C" w:rsidRPr="006038F2">
        <w:rPr>
          <w:rFonts w:ascii="Times New Roman" w:hAnsi="Times New Roman" w:cs="Times New Roman"/>
        </w:rPr>
        <w:fldChar w:fldCharType="separate"/>
      </w:r>
      <w:r w:rsidR="00936B2C" w:rsidRPr="006038F2">
        <w:rPr>
          <w:rFonts w:ascii="Times New Roman" w:hAnsi="Times New Roman" w:cs="Times New Roman"/>
          <w:b/>
          <w:bCs/>
        </w:rPr>
        <w:t xml:space="preserve">Figure </w:t>
      </w:r>
      <w:r w:rsidR="00936B2C" w:rsidRPr="006038F2">
        <w:rPr>
          <w:rFonts w:ascii="Times New Roman" w:hAnsi="Times New Roman" w:cs="Times New Roman"/>
          <w:b/>
          <w:bCs/>
          <w:noProof/>
        </w:rPr>
        <w:t>7</w:t>
      </w:r>
      <w:r w:rsidR="00936B2C" w:rsidRPr="006038F2">
        <w:rPr>
          <w:rFonts w:ascii="Times New Roman" w:hAnsi="Times New Roman" w:cs="Times New Roman"/>
        </w:rPr>
        <w:fldChar w:fldCharType="end"/>
      </w:r>
      <w:r w:rsidRPr="006038F2">
        <w:rPr>
          <w:rFonts w:ascii="Times New Roman" w:hAnsi="Times New Roman" w:cs="Times New Roman"/>
        </w:rPr>
        <w:t xml:space="preserve">. The </w:t>
      </w:r>
      <w:proofErr w:type="spellStart"/>
      <w:r w:rsidRPr="006038F2">
        <w:rPr>
          <w:rFonts w:ascii="Times New Roman" w:hAnsi="Times New Roman" w:cs="Times New Roman"/>
        </w:rPr>
        <w:t>DsRed</w:t>
      </w:r>
      <w:proofErr w:type="spellEnd"/>
      <w:r w:rsidRPr="006038F2">
        <w:rPr>
          <w:rFonts w:ascii="Times New Roman" w:hAnsi="Times New Roman" w:cs="Times New Roman"/>
        </w:rPr>
        <w:t xml:space="preserve"> wavelength was measured, as in accordance with the reporter mouse used, </w:t>
      </w:r>
      <w:r w:rsidRPr="006038F2">
        <w:rPr>
          <w:rFonts w:ascii="Times New Roman" w:hAnsi="Times New Roman" w:cs="Times New Roman"/>
        </w:rPr>
        <w:lastRenderedPageBreak/>
        <w:t>and automatic IVIS imaging settings (for exposure, binning, etc.) were used with epi-illumination fluorescence readings.</w:t>
      </w:r>
    </w:p>
    <w:p w14:paraId="0A2BF72B" w14:textId="77777777" w:rsidR="0003572A" w:rsidRPr="006038F2" w:rsidRDefault="0003572A" w:rsidP="009A2ADC">
      <w:pPr>
        <w:pStyle w:val="Heading3"/>
        <w:spacing w:line="480" w:lineRule="auto"/>
        <w:rPr>
          <w:rFonts w:ascii="Times New Roman" w:hAnsi="Times New Roman" w:cs="Times New Roman"/>
        </w:rPr>
      </w:pPr>
      <w:bookmarkStart w:id="34" w:name="_Toc172659149"/>
      <w:r w:rsidRPr="006038F2">
        <w:rPr>
          <w:rFonts w:ascii="Times New Roman" w:hAnsi="Times New Roman" w:cs="Times New Roman"/>
        </w:rPr>
        <w:t>2.3.4 Analysis</w:t>
      </w:r>
      <w:bookmarkEnd w:id="34"/>
    </w:p>
    <w:p w14:paraId="53B5EC3C" w14:textId="6988EE2B"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tab/>
        <w:t>Same-size ROIs (region of interest) were applied across all groups</w:t>
      </w:r>
      <w:r w:rsidR="005F599A" w:rsidRPr="006038F2">
        <w:rPr>
          <w:rFonts w:ascii="Times New Roman" w:hAnsi="Times New Roman" w:cs="Times New Roman"/>
          <w:lang w:eastAsia="en-US"/>
        </w:rPr>
        <w:t xml:space="preserve">, with separate ROI regions for each of the </w:t>
      </w:r>
      <w:r w:rsidRPr="006038F2">
        <w:rPr>
          <w:rFonts w:ascii="Times New Roman" w:hAnsi="Times New Roman" w:cs="Times New Roman"/>
          <w:lang w:eastAsia="en-US"/>
        </w:rPr>
        <w:t xml:space="preserve">subcutaneous and intranasal </w:t>
      </w:r>
      <w:r w:rsidR="005F599A" w:rsidRPr="006038F2">
        <w:rPr>
          <w:rFonts w:ascii="Times New Roman" w:hAnsi="Times New Roman" w:cs="Times New Roman"/>
          <w:lang w:eastAsia="en-US"/>
        </w:rPr>
        <w:t>area</w:t>
      </w:r>
      <w:r w:rsidR="006640E6" w:rsidRPr="006038F2">
        <w:rPr>
          <w:rFonts w:ascii="Times New Roman" w:hAnsi="Times New Roman" w:cs="Times New Roman"/>
          <w:lang w:eastAsia="en-US"/>
        </w:rPr>
        <w:t>s</w:t>
      </w:r>
      <w:r w:rsidR="00FC5E8E" w:rsidRPr="006038F2">
        <w:rPr>
          <w:rFonts w:ascii="Times New Roman" w:hAnsi="Times New Roman" w:cs="Times New Roman"/>
          <w:lang w:eastAsia="en-US"/>
        </w:rPr>
        <w:t>.</w:t>
      </w:r>
      <w:r w:rsidR="005F599A" w:rsidRPr="006038F2">
        <w:rPr>
          <w:rFonts w:ascii="Times New Roman" w:hAnsi="Times New Roman" w:cs="Times New Roman"/>
          <w:lang w:eastAsia="en-US"/>
        </w:rPr>
        <w:t xml:space="preserve"> R</w:t>
      </w:r>
      <w:r w:rsidRPr="006038F2">
        <w:rPr>
          <w:rFonts w:ascii="Times New Roman" w:hAnsi="Times New Roman" w:cs="Times New Roman"/>
          <w:lang w:eastAsia="en-US"/>
        </w:rPr>
        <w:t xml:space="preserve">adiant efficiency values were computed using the Living Image Software for IVIS Spectrum CT. These raw values were transferred to Excel, where they were processed. Normalization, graphs, and significance were generated using GraphPad Prism. </w:t>
      </w:r>
    </w:p>
    <w:p w14:paraId="05349BCF" w14:textId="77777777" w:rsidR="0003572A" w:rsidRPr="006038F2" w:rsidRDefault="0003572A" w:rsidP="009A2ADC">
      <w:pPr>
        <w:pStyle w:val="Heading2"/>
        <w:spacing w:line="480" w:lineRule="auto"/>
        <w:rPr>
          <w:rFonts w:ascii="Times New Roman" w:hAnsi="Times New Roman" w:cs="Times New Roman"/>
        </w:rPr>
      </w:pPr>
      <w:bookmarkStart w:id="35" w:name="_Toc172659150"/>
      <w:r w:rsidRPr="006038F2">
        <w:rPr>
          <w:rFonts w:ascii="Times New Roman" w:hAnsi="Times New Roman" w:cs="Times New Roman"/>
        </w:rPr>
        <w:lastRenderedPageBreak/>
        <w:t>2.4 Results</w:t>
      </w:r>
      <w:bookmarkEnd w:id="35"/>
    </w:p>
    <w:p w14:paraId="798C8C81" w14:textId="02E1119F" w:rsidR="00BE2911" w:rsidRPr="006038F2" w:rsidRDefault="00BE2911" w:rsidP="00BE2911">
      <w:pPr>
        <w:pStyle w:val="Heading3"/>
        <w:spacing w:line="480" w:lineRule="auto"/>
        <w:rPr>
          <w:rFonts w:ascii="Times New Roman" w:hAnsi="Times New Roman" w:cs="Times New Roman"/>
        </w:rPr>
      </w:pPr>
      <w:bookmarkStart w:id="36" w:name="_Toc172659151"/>
      <w:r w:rsidRPr="006038F2">
        <w:rPr>
          <w:rFonts w:ascii="Times New Roman" w:hAnsi="Times New Roman" w:cs="Times New Roman"/>
        </w:rPr>
        <w:t>2.4.1 IVIS Sequences and ROI Placement</w:t>
      </w:r>
      <w:bookmarkEnd w:id="36"/>
    </w:p>
    <w:p w14:paraId="0CB69BB1" w14:textId="2373D15B" w:rsidR="00BE2911" w:rsidRPr="006038F2" w:rsidRDefault="00EF1A10" w:rsidP="003368C1">
      <w:pPr>
        <w:spacing w:line="480" w:lineRule="auto"/>
        <w:rPr>
          <w:rFonts w:ascii="Times New Roman" w:hAnsi="Times New Roman" w:cs="Times New Roman"/>
        </w:rPr>
      </w:pPr>
      <w:r w:rsidRPr="006038F2">
        <w:rPr>
          <w:rFonts w:ascii="Times New Roman" w:hAnsi="Times New Roman" w:cs="Times New Roman"/>
          <w:noProof/>
          <w14:ligatures w14:val="standardContextual"/>
        </w:rPr>
        <w:drawing>
          <wp:inline distT="0" distB="0" distL="0" distR="0" wp14:anchorId="2D335059" wp14:editId="332C6912">
            <wp:extent cx="5943600" cy="5095240"/>
            <wp:effectExtent l="12700" t="12700" r="12700" b="10160"/>
            <wp:docPr id="197195973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959736" name="Picture 1971959736"/>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5095240"/>
                    </a:xfrm>
                    <a:prstGeom prst="rect">
                      <a:avLst/>
                    </a:prstGeom>
                    <a:ln>
                      <a:solidFill>
                        <a:schemeClr val="tx1"/>
                      </a:solidFill>
                    </a:ln>
                  </pic:spPr>
                </pic:pic>
              </a:graphicData>
            </a:graphic>
          </wp:inline>
        </w:drawing>
      </w:r>
    </w:p>
    <w:p w14:paraId="5E8A4D36" w14:textId="6C8BE593" w:rsidR="0046440D" w:rsidRPr="006038F2" w:rsidRDefault="00EF1A10" w:rsidP="003368C1">
      <w:pPr>
        <w:pStyle w:val="Caption"/>
        <w:spacing w:line="480" w:lineRule="auto"/>
        <w:rPr>
          <w:rFonts w:ascii="Times New Roman" w:hAnsi="Times New Roman" w:cs="Times New Roman"/>
        </w:rPr>
      </w:pPr>
      <w:bookmarkStart w:id="37" w:name="_Ref172658484"/>
      <w:bookmarkStart w:id="38" w:name="_Toc172659205"/>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8</w:t>
      </w:r>
      <w:r w:rsidRPr="006038F2">
        <w:rPr>
          <w:rFonts w:ascii="Times New Roman" w:hAnsi="Times New Roman" w:cs="Times New Roman"/>
          <w:b/>
          <w:bCs/>
        </w:rPr>
        <w:fldChar w:fldCharType="end"/>
      </w:r>
      <w:bookmarkEnd w:id="37"/>
      <w:r w:rsidRPr="006038F2">
        <w:rPr>
          <w:rFonts w:ascii="Times New Roman" w:hAnsi="Times New Roman" w:cs="Times New Roman"/>
          <w:b/>
          <w:bCs/>
        </w:rPr>
        <w:t xml:space="preserve">: Representation of ROI placement for the IVIS imaging study. </w:t>
      </w:r>
      <w:r w:rsidRPr="006038F2">
        <w:rPr>
          <w:rFonts w:ascii="Times New Roman" w:hAnsi="Times New Roman" w:cs="Times New Roman"/>
        </w:rPr>
        <w:t xml:space="preserve">This figure shows the placement of the intranasal and subcutaneous </w:t>
      </w:r>
      <w:r w:rsidR="00B30C2C" w:rsidRPr="006038F2">
        <w:rPr>
          <w:rFonts w:ascii="Times New Roman" w:hAnsi="Times New Roman" w:cs="Times New Roman"/>
        </w:rPr>
        <w:t>ROI boxes for measurement of total radiant efficiency</w:t>
      </w:r>
      <w:r w:rsidR="008A593C" w:rsidRPr="006038F2">
        <w:rPr>
          <w:rFonts w:ascii="Times New Roman" w:hAnsi="Times New Roman" w:cs="Times New Roman"/>
        </w:rPr>
        <w:t xml:space="preserve"> after GC administration</w:t>
      </w:r>
      <w:r w:rsidR="009633EC" w:rsidRPr="006038F2">
        <w:rPr>
          <w:rFonts w:ascii="Times New Roman" w:hAnsi="Times New Roman" w:cs="Times New Roman"/>
        </w:rPr>
        <w:t xml:space="preserve">. </w:t>
      </w:r>
      <w:r w:rsidR="00F74336" w:rsidRPr="006038F2">
        <w:rPr>
          <w:rFonts w:ascii="Times New Roman" w:hAnsi="Times New Roman" w:cs="Times New Roman"/>
        </w:rPr>
        <w:t xml:space="preserve">Two ROIs are placed on each mouse, one in the intranasal area and one in the local subcutaneous area on the hind flank. </w:t>
      </w:r>
      <w:r w:rsidR="009633EC" w:rsidRPr="006038F2">
        <w:rPr>
          <w:rFonts w:ascii="Times New Roman" w:hAnsi="Times New Roman" w:cs="Times New Roman"/>
        </w:rPr>
        <w:t>The group represented here were mice in the control group (i.e., reporter mice</w:t>
      </w:r>
      <w:r w:rsidR="008652BE" w:rsidRPr="006038F2">
        <w:rPr>
          <w:rFonts w:ascii="Times New Roman" w:hAnsi="Times New Roman" w:cs="Times New Roman"/>
        </w:rPr>
        <w:t xml:space="preserve"> with no stimulation</w:t>
      </w:r>
      <w:r w:rsidR="009633EC" w:rsidRPr="006038F2">
        <w:rPr>
          <w:rFonts w:ascii="Times New Roman" w:hAnsi="Times New Roman" w:cs="Times New Roman"/>
        </w:rPr>
        <w:t>).</w:t>
      </w:r>
      <w:r w:rsidR="0046440D" w:rsidRPr="006038F2">
        <w:rPr>
          <w:rFonts w:ascii="Times New Roman" w:hAnsi="Times New Roman" w:cs="Times New Roman"/>
        </w:rPr>
        <w:t xml:space="preserve"> All relevant time points, as mentioned in the methods section, are labelled accordingly.</w:t>
      </w:r>
      <w:bookmarkEnd w:id="38"/>
      <w:r w:rsidR="0046440D" w:rsidRPr="006038F2">
        <w:rPr>
          <w:rFonts w:ascii="Times New Roman" w:hAnsi="Times New Roman" w:cs="Times New Roman"/>
        </w:rPr>
        <w:t xml:space="preserve"> </w:t>
      </w:r>
    </w:p>
    <w:p w14:paraId="33BC52DC" w14:textId="7C203330" w:rsidR="0046440D" w:rsidRPr="006038F2" w:rsidRDefault="0046440D" w:rsidP="003368C1">
      <w:pPr>
        <w:spacing w:line="480" w:lineRule="auto"/>
        <w:rPr>
          <w:rFonts w:ascii="Times New Roman" w:hAnsi="Times New Roman" w:cs="Times New Roman"/>
        </w:rPr>
      </w:pPr>
      <w:r w:rsidRPr="006038F2">
        <w:rPr>
          <w:rFonts w:ascii="Times New Roman" w:hAnsi="Times New Roman" w:cs="Times New Roman"/>
          <w:noProof/>
          <w14:ligatures w14:val="standardContextual"/>
        </w:rPr>
        <w:lastRenderedPageBreak/>
        <w:drawing>
          <wp:inline distT="0" distB="0" distL="0" distR="0" wp14:anchorId="7A58BC62" wp14:editId="69EEDC35">
            <wp:extent cx="5943600" cy="5086350"/>
            <wp:effectExtent l="12700" t="12700" r="12700" b="19050"/>
            <wp:docPr id="19022848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284883" name="Picture 190228488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5086350"/>
                    </a:xfrm>
                    <a:prstGeom prst="rect">
                      <a:avLst/>
                    </a:prstGeom>
                    <a:ln>
                      <a:solidFill>
                        <a:schemeClr val="tx1"/>
                      </a:solidFill>
                    </a:ln>
                  </pic:spPr>
                </pic:pic>
              </a:graphicData>
            </a:graphic>
          </wp:inline>
        </w:drawing>
      </w:r>
    </w:p>
    <w:p w14:paraId="5337A380" w14:textId="4D3656D0" w:rsidR="0046440D" w:rsidRPr="006038F2" w:rsidRDefault="0046440D" w:rsidP="003368C1">
      <w:pPr>
        <w:pStyle w:val="Caption"/>
        <w:spacing w:line="480" w:lineRule="auto"/>
        <w:rPr>
          <w:rFonts w:ascii="Times New Roman" w:hAnsi="Times New Roman" w:cs="Times New Roman"/>
          <w:b/>
          <w:bCs/>
        </w:rPr>
      </w:pPr>
      <w:bookmarkStart w:id="39" w:name="_Ref172658488"/>
      <w:bookmarkStart w:id="40" w:name="_Toc172659206"/>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Pr="006038F2">
        <w:rPr>
          <w:rFonts w:ascii="Times New Roman" w:hAnsi="Times New Roman" w:cs="Times New Roman"/>
          <w:b/>
          <w:bCs/>
          <w:noProof/>
        </w:rPr>
        <w:t>9</w:t>
      </w:r>
      <w:r w:rsidRPr="006038F2">
        <w:rPr>
          <w:rFonts w:ascii="Times New Roman" w:hAnsi="Times New Roman" w:cs="Times New Roman"/>
          <w:b/>
          <w:bCs/>
        </w:rPr>
        <w:fldChar w:fldCharType="end"/>
      </w:r>
      <w:bookmarkEnd w:id="39"/>
      <w:r w:rsidRPr="006038F2">
        <w:rPr>
          <w:rFonts w:ascii="Times New Roman" w:hAnsi="Times New Roman" w:cs="Times New Roman"/>
          <w:b/>
          <w:bCs/>
        </w:rPr>
        <w:t xml:space="preserve">: IVIS </w:t>
      </w:r>
      <w:r w:rsidR="0061779D" w:rsidRPr="006038F2">
        <w:rPr>
          <w:rFonts w:ascii="Times New Roman" w:hAnsi="Times New Roman" w:cs="Times New Roman"/>
          <w:b/>
          <w:bCs/>
        </w:rPr>
        <w:t xml:space="preserve">acquisition images of the 100µL test group for the imaging experiment. </w:t>
      </w:r>
      <w:r w:rsidR="00715F4C" w:rsidRPr="006038F2">
        <w:rPr>
          <w:rFonts w:ascii="Times New Roman" w:hAnsi="Times New Roman" w:cs="Times New Roman"/>
        </w:rPr>
        <w:t xml:space="preserve">This figure shows the </w:t>
      </w:r>
      <w:r w:rsidR="008A593C" w:rsidRPr="006038F2">
        <w:rPr>
          <w:rFonts w:ascii="Times New Roman" w:hAnsi="Times New Roman" w:cs="Times New Roman"/>
        </w:rPr>
        <w:t>total radiant efficiency reading increases</w:t>
      </w:r>
      <w:r w:rsidR="00715F4C" w:rsidRPr="006038F2">
        <w:rPr>
          <w:rFonts w:ascii="Times New Roman" w:hAnsi="Times New Roman" w:cs="Times New Roman"/>
        </w:rPr>
        <w:t xml:space="preserve"> of the intranasal and subcutaneous </w:t>
      </w:r>
      <w:r w:rsidR="008A593C" w:rsidRPr="006038F2">
        <w:rPr>
          <w:rFonts w:ascii="Times New Roman" w:hAnsi="Times New Roman" w:cs="Times New Roman"/>
        </w:rPr>
        <w:t>areas after GC administration</w:t>
      </w:r>
      <w:r w:rsidR="00715F4C" w:rsidRPr="006038F2">
        <w:rPr>
          <w:rFonts w:ascii="Times New Roman" w:hAnsi="Times New Roman" w:cs="Times New Roman"/>
        </w:rPr>
        <w:t xml:space="preserve">. Two </w:t>
      </w:r>
      <w:r w:rsidR="003177E7" w:rsidRPr="006038F2">
        <w:rPr>
          <w:rFonts w:ascii="Times New Roman" w:hAnsi="Times New Roman" w:cs="Times New Roman"/>
        </w:rPr>
        <w:t>areas of fluorescent increase are relevant</w:t>
      </w:r>
      <w:r w:rsidR="00715F4C" w:rsidRPr="006038F2">
        <w:rPr>
          <w:rFonts w:ascii="Times New Roman" w:hAnsi="Times New Roman" w:cs="Times New Roman"/>
        </w:rPr>
        <w:t xml:space="preserve"> on each mouse, one in the intranasal area and one in the local subcutaneous area on the hind flank. The group represented here were mice in the </w:t>
      </w:r>
      <w:r w:rsidR="00C52BBA" w:rsidRPr="006038F2">
        <w:rPr>
          <w:rFonts w:ascii="Times New Roman" w:hAnsi="Times New Roman" w:cs="Times New Roman"/>
        </w:rPr>
        <w:t xml:space="preserve">100µL test </w:t>
      </w:r>
      <w:r w:rsidR="00715F4C" w:rsidRPr="006038F2">
        <w:rPr>
          <w:rFonts w:ascii="Times New Roman" w:hAnsi="Times New Roman" w:cs="Times New Roman"/>
        </w:rPr>
        <w:t>group</w:t>
      </w:r>
      <w:r w:rsidR="00C52BBA" w:rsidRPr="006038F2">
        <w:rPr>
          <w:rFonts w:ascii="Times New Roman" w:hAnsi="Times New Roman" w:cs="Times New Roman"/>
        </w:rPr>
        <w:t xml:space="preserve">. </w:t>
      </w:r>
      <w:r w:rsidR="00715F4C" w:rsidRPr="006038F2">
        <w:rPr>
          <w:rFonts w:ascii="Times New Roman" w:hAnsi="Times New Roman" w:cs="Times New Roman"/>
        </w:rPr>
        <w:t>All relevant time points, as mentioned in the methods section, are labelled accordingly.</w:t>
      </w:r>
      <w:bookmarkEnd w:id="40"/>
    </w:p>
    <w:p w14:paraId="543AE2BC" w14:textId="5C5F6878" w:rsidR="0046440D" w:rsidRPr="006038F2" w:rsidRDefault="0046440D" w:rsidP="003368C1">
      <w:pPr>
        <w:pStyle w:val="Caption"/>
        <w:spacing w:line="480" w:lineRule="auto"/>
        <w:rPr>
          <w:rFonts w:ascii="Times New Roman" w:hAnsi="Times New Roman" w:cs="Times New Roman"/>
        </w:rPr>
      </w:pPr>
      <w:r w:rsidRPr="006038F2">
        <w:rPr>
          <w:rFonts w:ascii="Times New Roman" w:hAnsi="Times New Roman" w:cs="Times New Roman"/>
          <w:noProof/>
          <w14:ligatures w14:val="standardContextual"/>
        </w:rPr>
        <w:lastRenderedPageBreak/>
        <w:drawing>
          <wp:inline distT="0" distB="0" distL="0" distR="0" wp14:anchorId="756A135F" wp14:editId="04A485EA">
            <wp:extent cx="5943600" cy="5110480"/>
            <wp:effectExtent l="12700" t="12700" r="12700" b="7620"/>
            <wp:docPr id="152157819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578198" name="Picture 152157819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5110480"/>
                    </a:xfrm>
                    <a:prstGeom prst="rect">
                      <a:avLst/>
                    </a:prstGeom>
                    <a:ln>
                      <a:solidFill>
                        <a:schemeClr val="tx1"/>
                      </a:solidFill>
                    </a:ln>
                  </pic:spPr>
                </pic:pic>
              </a:graphicData>
            </a:graphic>
          </wp:inline>
        </w:drawing>
      </w:r>
    </w:p>
    <w:p w14:paraId="6F04A14F" w14:textId="20F36F7B" w:rsidR="0046440D" w:rsidRPr="006038F2" w:rsidRDefault="0046440D" w:rsidP="003926BC">
      <w:pPr>
        <w:pStyle w:val="Caption"/>
        <w:spacing w:line="480" w:lineRule="auto"/>
        <w:rPr>
          <w:rFonts w:ascii="Times New Roman" w:hAnsi="Times New Roman" w:cs="Times New Roman"/>
        </w:rPr>
      </w:pPr>
      <w:bookmarkStart w:id="41" w:name="_Ref172658491"/>
      <w:bookmarkStart w:id="42" w:name="_Toc172659207"/>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Pr="006038F2">
        <w:rPr>
          <w:rFonts w:ascii="Times New Roman" w:hAnsi="Times New Roman" w:cs="Times New Roman"/>
          <w:b/>
          <w:bCs/>
          <w:noProof/>
        </w:rPr>
        <w:t>10</w:t>
      </w:r>
      <w:r w:rsidRPr="006038F2">
        <w:rPr>
          <w:rFonts w:ascii="Times New Roman" w:hAnsi="Times New Roman" w:cs="Times New Roman"/>
          <w:b/>
          <w:bCs/>
        </w:rPr>
        <w:fldChar w:fldCharType="end"/>
      </w:r>
      <w:bookmarkEnd w:id="41"/>
      <w:r w:rsidRPr="006038F2">
        <w:rPr>
          <w:rFonts w:ascii="Times New Roman" w:hAnsi="Times New Roman" w:cs="Times New Roman"/>
          <w:b/>
          <w:bCs/>
        </w:rPr>
        <w:t xml:space="preserve">: IVIS acquisition images of the 50µL </w:t>
      </w:r>
      <w:r w:rsidR="0061779D" w:rsidRPr="006038F2">
        <w:rPr>
          <w:rFonts w:ascii="Times New Roman" w:hAnsi="Times New Roman" w:cs="Times New Roman"/>
          <w:b/>
          <w:bCs/>
        </w:rPr>
        <w:t>test</w:t>
      </w:r>
      <w:r w:rsidRPr="006038F2">
        <w:rPr>
          <w:rFonts w:ascii="Times New Roman" w:hAnsi="Times New Roman" w:cs="Times New Roman"/>
          <w:b/>
          <w:bCs/>
        </w:rPr>
        <w:t xml:space="preserve"> group for the imaging experiment.</w:t>
      </w:r>
      <w:r w:rsidR="00C208B7" w:rsidRPr="006038F2">
        <w:rPr>
          <w:rFonts w:ascii="Times New Roman" w:hAnsi="Times New Roman" w:cs="Times New Roman"/>
        </w:rPr>
        <w:t xml:space="preserve"> This figure shows the total radiant efficiency reading increases of the intranasal and subcutaneous areas after GC administration. Two areas of fluorescent increase are relevant on each mouse, one in the intranasal area and one in the local subcutaneous area on the hind flank. The group represented here were mice in the 100µL test group. All relevant time points, as mentioned in the methods section, are labelled accordingly.</w:t>
      </w:r>
      <w:bookmarkEnd w:id="42"/>
    </w:p>
    <w:p w14:paraId="203A8C9D" w14:textId="4B76785A" w:rsidR="00034B54" w:rsidRPr="006038F2" w:rsidRDefault="00034B54" w:rsidP="003926BC">
      <w:pPr>
        <w:spacing w:line="480" w:lineRule="auto"/>
        <w:rPr>
          <w:rFonts w:ascii="Times New Roman" w:hAnsi="Times New Roman" w:cs="Times New Roman"/>
        </w:rPr>
      </w:pPr>
      <w:r w:rsidRPr="006038F2">
        <w:rPr>
          <w:rFonts w:ascii="Times New Roman" w:hAnsi="Times New Roman" w:cs="Times New Roman"/>
        </w:rPr>
        <w:tab/>
      </w:r>
      <w:r w:rsidRPr="006038F2">
        <w:rPr>
          <w:rFonts w:ascii="Times New Roman" w:hAnsi="Times New Roman" w:cs="Times New Roman"/>
        </w:rPr>
        <w:fldChar w:fldCharType="begin"/>
      </w:r>
      <w:r w:rsidRPr="006038F2">
        <w:rPr>
          <w:rFonts w:ascii="Times New Roman" w:hAnsi="Times New Roman" w:cs="Times New Roman"/>
        </w:rPr>
        <w:instrText xml:space="preserve"> REF _Ref172658484 \h </w:instrText>
      </w:r>
      <w:r w:rsidR="003926BC" w:rsidRPr="006038F2">
        <w:rPr>
          <w:rFonts w:ascii="Times New Roman" w:hAnsi="Times New Roman" w:cs="Times New Roman"/>
        </w:rPr>
        <w:instrText xml:space="preserve">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8</w:t>
      </w:r>
      <w:r w:rsidRPr="006038F2">
        <w:rPr>
          <w:rFonts w:ascii="Times New Roman" w:hAnsi="Times New Roman" w:cs="Times New Roman"/>
        </w:rPr>
        <w:fldChar w:fldCharType="end"/>
      </w:r>
      <w:r w:rsidRPr="006038F2">
        <w:rPr>
          <w:rFonts w:ascii="Times New Roman" w:hAnsi="Times New Roman" w:cs="Times New Roman"/>
        </w:rPr>
        <w:t xml:space="preserve"> shows the IVIS acquisition images of mice in the control group</w:t>
      </w:r>
      <w:r w:rsidR="00FC785B" w:rsidRPr="006038F2">
        <w:rPr>
          <w:rFonts w:ascii="Times New Roman" w:hAnsi="Times New Roman" w:cs="Times New Roman"/>
        </w:rPr>
        <w:t xml:space="preserve"> as well as how the placement of the ROIs for total radiant efficiency data acquisition. </w:t>
      </w:r>
      <w:r w:rsidRPr="006038F2">
        <w:rPr>
          <w:rFonts w:ascii="Times New Roman" w:hAnsi="Times New Roman" w:cs="Times New Roman"/>
        </w:rPr>
        <w:t xml:space="preserve">The two mice on the </w:t>
      </w:r>
      <w:r w:rsidR="00FB495C" w:rsidRPr="006038F2">
        <w:rPr>
          <w:rFonts w:ascii="Times New Roman" w:hAnsi="Times New Roman" w:cs="Times New Roman"/>
        </w:rPr>
        <w:t xml:space="preserve">right of the row of 5 were injured with fight wounds from cage infighting during the course of the study. They were not injured enough to prevent image acquisition, </w:t>
      </w:r>
      <w:r w:rsidR="002C590E" w:rsidRPr="006038F2">
        <w:rPr>
          <w:rFonts w:ascii="Times New Roman" w:hAnsi="Times New Roman" w:cs="Times New Roman"/>
        </w:rPr>
        <w:t xml:space="preserve">so they were still included to </w:t>
      </w:r>
      <w:r w:rsidR="002C590E" w:rsidRPr="006038F2">
        <w:rPr>
          <w:rFonts w:ascii="Times New Roman" w:hAnsi="Times New Roman" w:cs="Times New Roman"/>
        </w:rPr>
        <w:lastRenderedPageBreak/>
        <w:t xml:space="preserve">represent the response of naturally inflicted wounds. </w:t>
      </w:r>
      <w:r w:rsidRPr="006038F2">
        <w:rPr>
          <w:rFonts w:ascii="Times New Roman" w:hAnsi="Times New Roman" w:cs="Times New Roman"/>
        </w:rPr>
        <w:fldChar w:fldCharType="begin"/>
      </w:r>
      <w:r w:rsidRPr="006038F2">
        <w:rPr>
          <w:rFonts w:ascii="Times New Roman" w:hAnsi="Times New Roman" w:cs="Times New Roman"/>
        </w:rPr>
        <w:instrText xml:space="preserve"> REF _Ref172658488 \h </w:instrText>
      </w:r>
      <w:r w:rsidR="003926BC" w:rsidRPr="006038F2">
        <w:rPr>
          <w:rFonts w:ascii="Times New Roman" w:hAnsi="Times New Roman" w:cs="Times New Roman"/>
        </w:rPr>
        <w:instrText xml:space="preserve">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9</w:t>
      </w:r>
      <w:r w:rsidRPr="006038F2">
        <w:rPr>
          <w:rFonts w:ascii="Times New Roman" w:hAnsi="Times New Roman" w:cs="Times New Roman"/>
        </w:rPr>
        <w:fldChar w:fldCharType="end"/>
      </w:r>
      <w:r w:rsidRPr="006038F2">
        <w:rPr>
          <w:rFonts w:ascii="Times New Roman" w:hAnsi="Times New Roman" w:cs="Times New Roman"/>
        </w:rPr>
        <w:t xml:space="preserve"> shows the IVIS acquisition images of mice in the 100µL subcutaneous injection test group.</w:t>
      </w:r>
      <w:r w:rsidR="005C0024" w:rsidRPr="006038F2">
        <w:rPr>
          <w:rFonts w:ascii="Times New Roman" w:hAnsi="Times New Roman" w:cs="Times New Roman"/>
        </w:rPr>
        <w:t xml:space="preserve"> </w:t>
      </w:r>
      <w:r w:rsidRPr="006038F2">
        <w:rPr>
          <w:rFonts w:ascii="Times New Roman" w:hAnsi="Times New Roman" w:cs="Times New Roman"/>
        </w:rPr>
        <w:fldChar w:fldCharType="begin"/>
      </w:r>
      <w:r w:rsidRPr="006038F2">
        <w:rPr>
          <w:rFonts w:ascii="Times New Roman" w:hAnsi="Times New Roman" w:cs="Times New Roman"/>
        </w:rPr>
        <w:instrText xml:space="preserve"> REF _Ref172658491 \h </w:instrText>
      </w:r>
      <w:r w:rsidR="003926BC" w:rsidRPr="006038F2">
        <w:rPr>
          <w:rFonts w:ascii="Times New Roman" w:hAnsi="Times New Roman" w:cs="Times New Roman"/>
        </w:rPr>
        <w:instrText xml:space="preserve">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10</w:t>
      </w:r>
      <w:r w:rsidRPr="006038F2">
        <w:rPr>
          <w:rFonts w:ascii="Times New Roman" w:hAnsi="Times New Roman" w:cs="Times New Roman"/>
        </w:rPr>
        <w:fldChar w:fldCharType="end"/>
      </w:r>
      <w:r w:rsidRPr="006038F2">
        <w:rPr>
          <w:rFonts w:ascii="Times New Roman" w:hAnsi="Times New Roman" w:cs="Times New Roman"/>
        </w:rPr>
        <w:t xml:space="preserve"> shows the IVIS acquisition images of mice in the 50µL subcutaneous injection test group.</w:t>
      </w:r>
      <w:r w:rsidR="003926BC" w:rsidRPr="006038F2">
        <w:rPr>
          <w:rFonts w:ascii="Times New Roman" w:hAnsi="Times New Roman" w:cs="Times New Roman"/>
        </w:rPr>
        <w:t xml:space="preserve"> In the latter two figures, the potency of the intranasal fluorescence increase is much more clearly visible than is the subcutaneous</w:t>
      </w:r>
      <w:r w:rsidR="00580E94" w:rsidRPr="006038F2">
        <w:rPr>
          <w:rFonts w:ascii="Times New Roman" w:hAnsi="Times New Roman" w:cs="Times New Roman"/>
        </w:rPr>
        <w:t xml:space="preserve">, as will be later discussed. (ROI areas are not included on the latter two figures so that the actual area of signal can be more clearly seen; the area studied in the first figure applies throughout all test groups). </w:t>
      </w:r>
    </w:p>
    <w:p w14:paraId="4E49F7CA" w14:textId="77B10E9B" w:rsidR="0003572A" w:rsidRPr="006038F2" w:rsidRDefault="0003572A" w:rsidP="003926BC">
      <w:pPr>
        <w:pStyle w:val="Heading3"/>
        <w:spacing w:line="480" w:lineRule="auto"/>
        <w:rPr>
          <w:rFonts w:ascii="Times New Roman" w:hAnsi="Times New Roman" w:cs="Times New Roman"/>
        </w:rPr>
      </w:pPr>
      <w:bookmarkStart w:id="43" w:name="_Toc172659152"/>
      <w:r w:rsidRPr="006038F2">
        <w:rPr>
          <w:rFonts w:ascii="Times New Roman" w:hAnsi="Times New Roman" w:cs="Times New Roman"/>
        </w:rPr>
        <w:t>2.4.</w:t>
      </w:r>
      <w:r w:rsidR="00BE2911" w:rsidRPr="006038F2">
        <w:rPr>
          <w:rFonts w:ascii="Times New Roman" w:hAnsi="Times New Roman" w:cs="Times New Roman"/>
        </w:rPr>
        <w:t>2</w:t>
      </w:r>
      <w:r w:rsidRPr="006038F2">
        <w:rPr>
          <w:rFonts w:ascii="Times New Roman" w:hAnsi="Times New Roman" w:cs="Times New Roman"/>
        </w:rPr>
        <w:t xml:space="preserve"> Intranasal vaccination</w:t>
      </w:r>
      <w:bookmarkEnd w:id="43"/>
    </w:p>
    <w:p w14:paraId="06B3E4F1" w14:textId="77777777" w:rsidR="0003572A" w:rsidRPr="006038F2" w:rsidRDefault="0003572A" w:rsidP="00E105D5">
      <w:pPr>
        <w:keepNext/>
        <w:spacing w:line="480" w:lineRule="auto"/>
        <w:jc w:val="center"/>
        <w:rPr>
          <w:rFonts w:ascii="Times New Roman" w:hAnsi="Times New Roman" w:cs="Times New Roman"/>
        </w:rPr>
      </w:pPr>
      <w:r w:rsidRPr="006038F2">
        <w:rPr>
          <w:rFonts w:ascii="Times New Roman" w:hAnsi="Times New Roman" w:cs="Times New Roman"/>
          <w:noProof/>
        </w:rPr>
        <w:drawing>
          <wp:inline distT="0" distB="0" distL="0" distR="0" wp14:anchorId="7F147053" wp14:editId="54F3C54E">
            <wp:extent cx="5919773" cy="3114548"/>
            <wp:effectExtent l="12700" t="12700" r="11430" b="10160"/>
            <wp:docPr id="1950542589" name="Picture 4" descr="A graph of different sizes and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542589" name="Picture 4" descr="A graph of different sizes and colors&#10;&#10;Description automatically generated"/>
                    <pic:cNvPicPr/>
                  </pic:nvPicPr>
                  <pic:blipFill rotWithShape="1">
                    <a:blip r:embed="rId20" cstate="print">
                      <a:extLst>
                        <a:ext uri="{28A0092B-C50C-407E-A947-70E740481C1C}">
                          <a14:useLocalDpi xmlns:a14="http://schemas.microsoft.com/office/drawing/2010/main" val="0"/>
                        </a:ext>
                      </a:extLst>
                    </a:blip>
                    <a:srcRect l="4115" t="7541"/>
                    <a:stretch/>
                  </pic:blipFill>
                  <pic:spPr bwMode="auto">
                    <a:xfrm>
                      <a:off x="0" y="0"/>
                      <a:ext cx="5924598" cy="31170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E629BE3" w14:textId="29EDB02D" w:rsidR="0003572A" w:rsidRPr="006038F2" w:rsidRDefault="0003572A" w:rsidP="009A2ADC">
      <w:pPr>
        <w:pStyle w:val="Caption"/>
        <w:spacing w:line="480" w:lineRule="auto"/>
        <w:rPr>
          <w:rFonts w:ascii="Times New Roman" w:hAnsi="Times New Roman" w:cs="Times New Roman"/>
        </w:rPr>
      </w:pPr>
      <w:bookmarkStart w:id="44" w:name="_Ref170812146"/>
      <w:bookmarkStart w:id="45" w:name="_Toc172659208"/>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11</w:t>
      </w:r>
      <w:r w:rsidRPr="006038F2">
        <w:rPr>
          <w:rFonts w:ascii="Times New Roman" w:hAnsi="Times New Roman" w:cs="Times New Roman"/>
          <w:b/>
          <w:bCs/>
        </w:rPr>
        <w:fldChar w:fldCharType="end"/>
      </w:r>
      <w:bookmarkEnd w:id="44"/>
      <w:r w:rsidRPr="006038F2">
        <w:rPr>
          <w:rFonts w:ascii="Times New Roman" w:hAnsi="Times New Roman" w:cs="Times New Roman"/>
          <w:b/>
          <w:bCs/>
        </w:rPr>
        <w:t>: Increase in total radiant efficiency in nasal cavity above background reading after GC administration: control vs test.</w:t>
      </w:r>
      <w:r w:rsidRPr="006038F2">
        <w:rPr>
          <w:rFonts w:ascii="Times New Roman" w:hAnsi="Times New Roman" w:cs="Times New Roman"/>
        </w:rPr>
        <w:t xml:space="preserve"> Grouped column bar graph depicting the percent increase of total radiant efficiency in the nasal area following intranasal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control and test group for each time point, for which one star indicates significance greater than 0.05 and two stars indicates greater than 0.01. (Significance readings below 0.1 are not shown.)</w:t>
      </w:r>
      <w:bookmarkEnd w:id="45"/>
    </w:p>
    <w:p w14:paraId="68031EFE" w14:textId="77777777" w:rsidR="0003572A" w:rsidRPr="006038F2" w:rsidRDefault="0003572A" w:rsidP="009A2ADC">
      <w:pPr>
        <w:spacing w:line="480" w:lineRule="auto"/>
        <w:rPr>
          <w:rFonts w:ascii="Times New Roman" w:hAnsi="Times New Roman" w:cs="Times New Roman"/>
          <w:lang w:eastAsia="en-US"/>
        </w:rPr>
      </w:pPr>
    </w:p>
    <w:p w14:paraId="5AC8D3B5" w14:textId="77777777" w:rsidR="0003572A" w:rsidRPr="006038F2" w:rsidRDefault="0003572A" w:rsidP="00E105D5">
      <w:pPr>
        <w:spacing w:line="480" w:lineRule="auto"/>
        <w:jc w:val="center"/>
        <w:rPr>
          <w:rFonts w:ascii="Times New Roman" w:hAnsi="Times New Roman" w:cs="Times New Roman"/>
          <w:lang w:eastAsia="en-US"/>
        </w:rPr>
      </w:pPr>
      <w:r w:rsidRPr="006038F2">
        <w:rPr>
          <w:rFonts w:ascii="Times New Roman" w:hAnsi="Times New Roman" w:cs="Times New Roman"/>
          <w:noProof/>
        </w:rPr>
        <w:drawing>
          <wp:inline distT="0" distB="0" distL="0" distR="0" wp14:anchorId="26E7FDEA" wp14:editId="3F981047">
            <wp:extent cx="5943600" cy="2890445"/>
            <wp:effectExtent l="12700" t="12700" r="12700" b="18415"/>
            <wp:docPr id="2077867999" name="Picture 10"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867999" name="Picture 10" descr="A graph of different sizes and colors&#10;&#10;Description automatically generated with medium confidence"/>
                    <pic:cNvPicPr/>
                  </pic:nvPicPr>
                  <pic:blipFill rotWithShape="1">
                    <a:blip r:embed="rId21" cstate="print">
                      <a:extLst>
                        <a:ext uri="{28A0092B-C50C-407E-A947-70E740481C1C}">
                          <a14:useLocalDpi xmlns:a14="http://schemas.microsoft.com/office/drawing/2010/main" val="0"/>
                        </a:ext>
                      </a:extLst>
                    </a:blip>
                    <a:srcRect t="9793"/>
                    <a:stretch/>
                  </pic:blipFill>
                  <pic:spPr bwMode="auto">
                    <a:xfrm>
                      <a:off x="0" y="0"/>
                      <a:ext cx="5943600" cy="289044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56EB3FF" w14:textId="153A2A38" w:rsidR="0003572A" w:rsidRPr="006038F2" w:rsidRDefault="0003572A" w:rsidP="009A2ADC">
      <w:pPr>
        <w:pStyle w:val="Caption"/>
        <w:spacing w:line="480" w:lineRule="auto"/>
        <w:rPr>
          <w:rFonts w:ascii="Times New Roman" w:hAnsi="Times New Roman" w:cs="Times New Roman"/>
        </w:rPr>
      </w:pPr>
      <w:bookmarkStart w:id="46" w:name="_Ref170812153"/>
      <w:bookmarkStart w:id="47" w:name="_Toc172659209"/>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12</w:t>
      </w:r>
      <w:r w:rsidRPr="006038F2">
        <w:rPr>
          <w:rFonts w:ascii="Times New Roman" w:hAnsi="Times New Roman" w:cs="Times New Roman"/>
          <w:b/>
          <w:bCs/>
        </w:rPr>
        <w:fldChar w:fldCharType="end"/>
      </w:r>
      <w:bookmarkEnd w:id="46"/>
      <w:r w:rsidRPr="006038F2">
        <w:rPr>
          <w:rFonts w:ascii="Times New Roman" w:hAnsi="Times New Roman" w:cs="Times New Roman"/>
          <w:b/>
          <w:bCs/>
        </w:rPr>
        <w:t>:</w:t>
      </w:r>
      <w:r w:rsidRPr="006038F2">
        <w:rPr>
          <w:rFonts w:ascii="Times New Roman" w:hAnsi="Times New Roman" w:cs="Times New Roman"/>
        </w:rPr>
        <w:t xml:space="preserve"> </w:t>
      </w:r>
      <w:r w:rsidRPr="006038F2">
        <w:rPr>
          <w:rFonts w:ascii="Times New Roman" w:hAnsi="Times New Roman" w:cs="Times New Roman"/>
          <w:b/>
          <w:bCs/>
        </w:rPr>
        <w:t>Increase in total radiant efficiency in nasal cavity above background reading after GC administration: time point vs background.</w:t>
      </w:r>
      <w:r w:rsidRPr="006038F2">
        <w:rPr>
          <w:rFonts w:ascii="Times New Roman" w:hAnsi="Times New Roman" w:cs="Times New Roman"/>
        </w:rPr>
        <w:t xml:space="preserve"> Grouped column bar graph depicting the percent increase of total radiant efficiency in the nasal area following intranasal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background (i.e., base signal) and each time point for individual test groups, for which one star indicates significance greater than 0.05 and two stars indicates greater than 0.01. (Significance readings below 0.1 are not shown.)</w:t>
      </w:r>
      <w:bookmarkEnd w:id="47"/>
    </w:p>
    <w:p w14:paraId="62FC3765" w14:textId="11A7E647" w:rsidR="0003572A" w:rsidRPr="006038F2" w:rsidRDefault="0003572A" w:rsidP="009A2ADC">
      <w:pPr>
        <w:spacing w:line="480" w:lineRule="auto"/>
        <w:rPr>
          <w:rFonts w:ascii="Times New Roman" w:hAnsi="Times New Roman" w:cs="Times New Roman"/>
        </w:rPr>
      </w:pPr>
      <w:r w:rsidRPr="006038F2">
        <w:rPr>
          <w:rFonts w:ascii="Times New Roman" w:hAnsi="Times New Roman" w:cs="Times New Roman"/>
        </w:rPr>
        <w:tab/>
      </w:r>
      <w:r w:rsidRPr="006038F2">
        <w:rPr>
          <w:rFonts w:ascii="Times New Roman" w:hAnsi="Times New Roman" w:cs="Times New Roman"/>
        </w:rPr>
        <w:fldChar w:fldCharType="begin"/>
      </w:r>
      <w:r w:rsidRPr="006038F2">
        <w:rPr>
          <w:rFonts w:ascii="Times New Roman" w:hAnsi="Times New Roman" w:cs="Times New Roman"/>
        </w:rPr>
        <w:instrText xml:space="preserve"> REF _Ref170812146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2</w:t>
      </w:r>
      <w:r w:rsidRPr="006038F2">
        <w:rPr>
          <w:rFonts w:ascii="Times New Roman" w:hAnsi="Times New Roman" w:cs="Times New Roman"/>
        </w:rPr>
        <w:fldChar w:fldCharType="end"/>
      </w:r>
      <w:r w:rsidRPr="006038F2">
        <w:rPr>
          <w:rFonts w:ascii="Times New Roman" w:hAnsi="Times New Roman" w:cs="Times New Roman"/>
        </w:rPr>
        <w:t xml:space="preserve"> display percentage increase values for total radian</w:t>
      </w:r>
      <w:r w:rsidR="008C2E70" w:rsidRPr="006038F2">
        <w:rPr>
          <w:rFonts w:ascii="Times New Roman" w:hAnsi="Times New Roman" w:cs="Times New Roman"/>
        </w:rPr>
        <w:t>t</w:t>
      </w:r>
      <w:r w:rsidRPr="006038F2">
        <w:rPr>
          <w:rFonts w:ascii="Times New Roman" w:hAnsi="Times New Roman" w:cs="Times New Roman"/>
        </w:rPr>
        <w:t xml:space="preserve"> efficiency readings as normalized to the background reading in the nasal cavity, following intranasal GC vaccination.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_Ref170812146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w:t>
      </w:r>
      <w:r w:rsidRPr="006038F2">
        <w:rPr>
          <w:rFonts w:ascii="Times New Roman" w:hAnsi="Times New Roman" w:cs="Times New Roman"/>
        </w:rPr>
        <w:fldChar w:fldCharType="end"/>
      </w:r>
      <w:r w:rsidRPr="006038F2">
        <w:rPr>
          <w:rFonts w:ascii="Times New Roman" w:hAnsi="Times New Roman" w:cs="Times New Roman"/>
        </w:rPr>
        <w:t xml:space="preserve"> shows the significant comparisons between the test group and control group at each time point. These have significance at each time point.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2</w:t>
      </w:r>
      <w:r w:rsidRPr="006038F2">
        <w:rPr>
          <w:rFonts w:ascii="Times New Roman" w:hAnsi="Times New Roman" w:cs="Times New Roman"/>
        </w:rPr>
        <w:fldChar w:fldCharType="end"/>
      </w:r>
      <w:r w:rsidRPr="006038F2">
        <w:rPr>
          <w:rFonts w:ascii="Times New Roman" w:hAnsi="Times New Roman" w:cs="Times New Roman"/>
        </w:rPr>
        <w:t xml:space="preserve"> shows the significant comparisons between each time point and the background, to show significant increases in readings. These have significance at most test time points and no significance in the control group. (In both, points that do not have comparison significance labelled on the graph do not have high enough statistical significance to be noteworthy (i.e., significance less than 0.1).)</w:t>
      </w:r>
    </w:p>
    <w:p w14:paraId="00E5FDE7" w14:textId="17397F15" w:rsidR="0003572A" w:rsidRPr="006038F2" w:rsidRDefault="0003572A" w:rsidP="009A2ADC">
      <w:pPr>
        <w:pStyle w:val="Heading3"/>
        <w:spacing w:line="480" w:lineRule="auto"/>
        <w:rPr>
          <w:rFonts w:ascii="Times New Roman" w:hAnsi="Times New Roman" w:cs="Times New Roman"/>
        </w:rPr>
      </w:pPr>
      <w:bookmarkStart w:id="48" w:name="_Toc172659153"/>
      <w:r w:rsidRPr="006038F2">
        <w:rPr>
          <w:rFonts w:ascii="Times New Roman" w:hAnsi="Times New Roman" w:cs="Times New Roman"/>
        </w:rPr>
        <w:lastRenderedPageBreak/>
        <w:t>2.4.</w:t>
      </w:r>
      <w:r w:rsidR="00BE2911" w:rsidRPr="006038F2">
        <w:rPr>
          <w:rFonts w:ascii="Times New Roman" w:hAnsi="Times New Roman" w:cs="Times New Roman"/>
        </w:rPr>
        <w:t>3</w:t>
      </w:r>
      <w:r w:rsidRPr="006038F2">
        <w:rPr>
          <w:rFonts w:ascii="Times New Roman" w:hAnsi="Times New Roman" w:cs="Times New Roman"/>
        </w:rPr>
        <w:t xml:space="preserve"> Subcutaneous vaccination</w:t>
      </w:r>
      <w:bookmarkEnd w:id="48"/>
    </w:p>
    <w:p w14:paraId="124A4317" w14:textId="77777777" w:rsidR="0003572A" w:rsidRPr="006038F2" w:rsidRDefault="0003572A" w:rsidP="00E105D5">
      <w:pPr>
        <w:spacing w:line="480" w:lineRule="auto"/>
        <w:jc w:val="center"/>
        <w:rPr>
          <w:rFonts w:ascii="Times New Roman" w:hAnsi="Times New Roman" w:cs="Times New Roman"/>
          <w:b/>
          <w:bCs/>
          <w:lang w:eastAsia="en-US"/>
        </w:rPr>
      </w:pPr>
      <w:r w:rsidRPr="006038F2">
        <w:rPr>
          <w:rFonts w:ascii="Times New Roman" w:hAnsi="Times New Roman" w:cs="Times New Roman"/>
          <w:noProof/>
        </w:rPr>
        <w:drawing>
          <wp:inline distT="0" distB="0" distL="0" distR="0" wp14:anchorId="2B09B6FC" wp14:editId="0FF4A299">
            <wp:extent cx="5943600" cy="2885739"/>
            <wp:effectExtent l="12700" t="12700" r="12700" b="10160"/>
            <wp:docPr id="216092721"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92721" name="Picture 3" descr="A graph of different colored lines&#10;&#10;Description automatically generated"/>
                    <pic:cNvPicPr/>
                  </pic:nvPicPr>
                  <pic:blipFill rotWithShape="1">
                    <a:blip r:embed="rId22" cstate="print">
                      <a:extLst>
                        <a:ext uri="{28A0092B-C50C-407E-A947-70E740481C1C}">
                          <a14:useLocalDpi xmlns:a14="http://schemas.microsoft.com/office/drawing/2010/main" val="0"/>
                        </a:ext>
                      </a:extLst>
                    </a:blip>
                    <a:srcRect t="8525"/>
                    <a:stretch/>
                  </pic:blipFill>
                  <pic:spPr bwMode="auto">
                    <a:xfrm>
                      <a:off x="0" y="0"/>
                      <a:ext cx="5943600" cy="288573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5FC775D" w14:textId="37351331" w:rsidR="0003572A" w:rsidRPr="006038F2" w:rsidRDefault="0003572A" w:rsidP="009A2ADC">
      <w:pPr>
        <w:pStyle w:val="Caption"/>
        <w:spacing w:line="480" w:lineRule="auto"/>
        <w:rPr>
          <w:rFonts w:ascii="Times New Roman" w:hAnsi="Times New Roman" w:cs="Times New Roman"/>
          <w:b/>
          <w:bCs/>
          <w:lang w:eastAsia="en-US"/>
        </w:rPr>
      </w:pPr>
      <w:bookmarkStart w:id="49" w:name="_Ref170812156"/>
      <w:bookmarkStart w:id="50" w:name="_Toc172659210"/>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13</w:t>
      </w:r>
      <w:r w:rsidRPr="006038F2">
        <w:rPr>
          <w:rFonts w:ascii="Times New Roman" w:hAnsi="Times New Roman" w:cs="Times New Roman"/>
          <w:b/>
          <w:bCs/>
        </w:rPr>
        <w:fldChar w:fldCharType="end"/>
      </w:r>
      <w:bookmarkEnd w:id="49"/>
      <w:r w:rsidRPr="006038F2">
        <w:rPr>
          <w:rFonts w:ascii="Times New Roman" w:hAnsi="Times New Roman" w:cs="Times New Roman"/>
          <w:b/>
          <w:bCs/>
        </w:rPr>
        <w:t>:</w:t>
      </w:r>
      <w:r w:rsidRPr="006038F2">
        <w:rPr>
          <w:rFonts w:ascii="Times New Roman" w:hAnsi="Times New Roman" w:cs="Times New Roman"/>
        </w:rPr>
        <w:t xml:space="preserve"> </w:t>
      </w:r>
      <w:r w:rsidRPr="006038F2">
        <w:rPr>
          <w:rFonts w:ascii="Times New Roman" w:hAnsi="Times New Roman" w:cs="Times New Roman"/>
          <w:b/>
          <w:bCs/>
        </w:rPr>
        <w:t>Increase in total radiant efficiency above background reading in area after subcutaneous GC injection: control vs test.</w:t>
      </w:r>
      <w:r w:rsidRPr="006038F2">
        <w:rPr>
          <w:rFonts w:ascii="Times New Roman" w:hAnsi="Times New Roman" w:cs="Times New Roman"/>
        </w:rPr>
        <w:t xml:space="preserve"> Grouped column bar graph depicting the percent increase of total radiant efficiency in the local area following subcutaneous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control and test group for each time point, for which one star indicates significance greater than 0.05, two stars indicates greater than 0.01, and “ns” indicates significance between 0.1 and 0.05. (Significance readings below 0.1 are not shown.)</w:t>
      </w:r>
      <w:bookmarkEnd w:id="50"/>
    </w:p>
    <w:p w14:paraId="017BFDFF" w14:textId="77777777" w:rsidR="0003572A" w:rsidRPr="006038F2" w:rsidRDefault="0003572A" w:rsidP="00E105D5">
      <w:pPr>
        <w:spacing w:line="480" w:lineRule="auto"/>
        <w:jc w:val="center"/>
        <w:rPr>
          <w:rFonts w:ascii="Times New Roman" w:hAnsi="Times New Roman" w:cs="Times New Roman"/>
          <w:b/>
          <w:bCs/>
          <w:lang w:eastAsia="en-US"/>
        </w:rPr>
      </w:pPr>
      <w:r w:rsidRPr="006038F2">
        <w:rPr>
          <w:rFonts w:ascii="Times New Roman" w:hAnsi="Times New Roman" w:cs="Times New Roman"/>
          <w:noProof/>
        </w:rPr>
        <w:lastRenderedPageBreak/>
        <w:drawing>
          <wp:inline distT="0" distB="0" distL="0" distR="0" wp14:anchorId="3AE82EE5" wp14:editId="428AF500">
            <wp:extent cx="5943600" cy="2642235"/>
            <wp:effectExtent l="12700" t="12700" r="12700" b="12065"/>
            <wp:docPr id="409637211" name="Picture 9" descr="A graph of different colored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637211" name="Picture 9" descr="A graph of different colored and numbers&#10;&#10;Description automatically generated with medium confidence"/>
                    <pic:cNvPicPr/>
                  </pic:nvPicPr>
                  <pic:blipFill rotWithShape="1">
                    <a:blip r:embed="rId23" cstate="print">
                      <a:extLst>
                        <a:ext uri="{28A0092B-C50C-407E-A947-70E740481C1C}">
                          <a14:useLocalDpi xmlns:a14="http://schemas.microsoft.com/office/drawing/2010/main" val="0"/>
                        </a:ext>
                      </a:extLst>
                    </a:blip>
                    <a:srcRect t="10343"/>
                    <a:stretch/>
                  </pic:blipFill>
                  <pic:spPr bwMode="auto">
                    <a:xfrm>
                      <a:off x="0" y="0"/>
                      <a:ext cx="5943600" cy="264223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CCBDB48" w14:textId="08FEF72D" w:rsidR="0003572A" w:rsidRPr="006038F2" w:rsidRDefault="0003572A" w:rsidP="009A2ADC">
      <w:pPr>
        <w:pStyle w:val="Caption"/>
        <w:spacing w:line="480" w:lineRule="auto"/>
        <w:rPr>
          <w:rFonts w:ascii="Times New Roman" w:hAnsi="Times New Roman" w:cs="Times New Roman"/>
        </w:rPr>
      </w:pPr>
      <w:bookmarkStart w:id="51" w:name="_Ref170812158"/>
      <w:bookmarkStart w:id="52" w:name="_Toc172659211"/>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14</w:t>
      </w:r>
      <w:r w:rsidRPr="006038F2">
        <w:rPr>
          <w:rFonts w:ascii="Times New Roman" w:hAnsi="Times New Roman" w:cs="Times New Roman"/>
          <w:b/>
          <w:bCs/>
        </w:rPr>
        <w:fldChar w:fldCharType="end"/>
      </w:r>
      <w:bookmarkEnd w:id="51"/>
      <w:r w:rsidRPr="006038F2">
        <w:rPr>
          <w:rFonts w:ascii="Times New Roman" w:hAnsi="Times New Roman" w:cs="Times New Roman"/>
          <w:b/>
          <w:bCs/>
        </w:rPr>
        <w:t xml:space="preserve">: Increase in total radiant efficiency above background reading in area after subcutaneous GC injection: time point vs background. </w:t>
      </w:r>
      <w:r w:rsidRPr="006038F2">
        <w:rPr>
          <w:rFonts w:ascii="Times New Roman" w:hAnsi="Times New Roman" w:cs="Times New Roman"/>
        </w:rPr>
        <w:t>Grouped column bar graph depicted the percent increase of total radiant efficiency in the local area following subcutaneous vaccinations, as normalized to the background signal (the imaging time point prior to the vaccination) for each individual treatment group, calculated at time points up to 7 days post-injection. The reporter group indicates the GC-vaccinated interferon reporter mice, whereas the control group indicates the PBS-vaccinated. Significance is calculated for the difference between the background (i.e., base signal) and each time point for individual test groups, for which one star indicates significance greater than 0.05, two stars as greater than 0.01, and three stars as greater than 0.001. (Significance readings below 0.1 are not shown.)</w:t>
      </w:r>
      <w:bookmarkEnd w:id="52"/>
    </w:p>
    <w:p w14:paraId="03A8231E" w14:textId="06919B90"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4</w:t>
      </w:r>
      <w:r w:rsidRPr="006038F2">
        <w:rPr>
          <w:rFonts w:ascii="Times New Roman" w:hAnsi="Times New Roman" w:cs="Times New Roman"/>
        </w:rPr>
        <w:fldChar w:fldCharType="end"/>
      </w:r>
      <w:r w:rsidRPr="006038F2">
        <w:rPr>
          <w:rFonts w:ascii="Times New Roman" w:hAnsi="Times New Roman" w:cs="Times New Roman"/>
        </w:rPr>
        <w:t xml:space="preserve"> display percentage increase values for total radiance efficiency readings as normalized to the background reading in the local area, following subcutaneous GC vaccination.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shows the significant comparisons between the test group and control group at each time point. These have significance at most time points for the 100µL test group and no notable significance for the 50µL group or control group.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4</w:t>
      </w:r>
      <w:r w:rsidRPr="006038F2">
        <w:rPr>
          <w:rFonts w:ascii="Times New Roman" w:hAnsi="Times New Roman" w:cs="Times New Roman"/>
        </w:rPr>
        <w:fldChar w:fldCharType="end"/>
      </w:r>
      <w:r w:rsidRPr="006038F2">
        <w:rPr>
          <w:rFonts w:ascii="Times New Roman" w:hAnsi="Times New Roman" w:cs="Times New Roman"/>
        </w:rPr>
        <w:t xml:space="preserve"> shows the significant comparisons between each time point and the background, to show significant increases in readings. These have significance at all test time points for the 100µL group, no consistent significance in the 50µL group, and no significance in the control group. (In both, points that do </w:t>
      </w:r>
      <w:r w:rsidRPr="006038F2">
        <w:rPr>
          <w:rFonts w:ascii="Times New Roman" w:hAnsi="Times New Roman" w:cs="Times New Roman"/>
        </w:rPr>
        <w:lastRenderedPageBreak/>
        <w:t xml:space="preserve">not have comparison significance labelled on the graph do not </w:t>
      </w:r>
      <w:proofErr w:type="gramStart"/>
      <w:r w:rsidRPr="006038F2">
        <w:rPr>
          <w:rFonts w:ascii="Times New Roman" w:hAnsi="Times New Roman" w:cs="Times New Roman"/>
        </w:rPr>
        <w:t>have  high</w:t>
      </w:r>
      <w:proofErr w:type="gramEnd"/>
      <w:r w:rsidRPr="006038F2">
        <w:rPr>
          <w:rFonts w:ascii="Times New Roman" w:hAnsi="Times New Roman" w:cs="Times New Roman"/>
        </w:rPr>
        <w:t xml:space="preserve"> enough statistical significance to be noteworthy (i.e., significance less than 0.1).)</w:t>
      </w:r>
    </w:p>
    <w:p w14:paraId="6457D93A" w14:textId="15293660"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tab/>
        <w:t xml:space="preserve">In </w:t>
      </w:r>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REF _Ref170812146 \h  \* MERGEFORMAT </w:instrText>
      </w:r>
      <w:r w:rsidRPr="006038F2">
        <w:rPr>
          <w:rFonts w:ascii="Times New Roman" w:hAnsi="Times New Roman" w:cs="Times New Roman"/>
          <w:lang w:eastAsia="en-US"/>
        </w:rPr>
      </w:r>
      <w:r w:rsidRPr="006038F2">
        <w:rPr>
          <w:rFonts w:ascii="Times New Roman" w:hAnsi="Times New Roman" w:cs="Times New Roman"/>
          <w:lang w:eastAsia="en-US"/>
        </w:rPr>
        <w:fldChar w:fldCharType="separate"/>
      </w:r>
      <w:r w:rsidRPr="006038F2">
        <w:rPr>
          <w:rFonts w:ascii="Times New Roman" w:hAnsi="Times New Roman" w:cs="Times New Roman"/>
          <w:b/>
          <w:bCs/>
        </w:rPr>
        <w:t>Figure</w:t>
      </w:r>
      <w:r w:rsidR="00AB031D" w:rsidRPr="006038F2">
        <w:rPr>
          <w:rFonts w:ascii="Times New Roman" w:hAnsi="Times New Roman" w:cs="Times New Roman"/>
          <w:b/>
          <w:bCs/>
        </w:rPr>
        <w:t>s</w:t>
      </w:r>
      <w:r w:rsidRPr="006038F2">
        <w:rPr>
          <w:rFonts w:ascii="Times New Roman" w:hAnsi="Times New Roman" w:cs="Times New Roman"/>
          <w:b/>
          <w:bCs/>
        </w:rPr>
        <w:t xml:space="preserve"> </w:t>
      </w:r>
      <w:r w:rsidRPr="006038F2">
        <w:rPr>
          <w:rFonts w:ascii="Times New Roman" w:hAnsi="Times New Roman" w:cs="Times New Roman"/>
          <w:b/>
          <w:bCs/>
          <w:noProof/>
        </w:rPr>
        <w:t>1</w:t>
      </w:r>
      <w:r w:rsidRPr="006038F2">
        <w:rPr>
          <w:rFonts w:ascii="Times New Roman" w:hAnsi="Times New Roman" w:cs="Times New Roman"/>
          <w:lang w:eastAsia="en-US"/>
        </w:rPr>
        <w:fldChar w:fldCharType="end"/>
      </w:r>
      <w:r w:rsidR="00AB031D" w:rsidRPr="006038F2">
        <w:rPr>
          <w:rFonts w:ascii="Times New Roman" w:hAnsi="Times New Roman" w:cs="Times New Roman"/>
          <w:lang w:eastAsia="en-US"/>
        </w:rPr>
        <w:t>-</w:t>
      </w:r>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REF _Ref170812158 \h  \* MERGEFORMAT </w:instrText>
      </w:r>
      <w:r w:rsidRPr="006038F2">
        <w:rPr>
          <w:rFonts w:ascii="Times New Roman" w:hAnsi="Times New Roman" w:cs="Times New Roman"/>
          <w:lang w:eastAsia="en-US"/>
        </w:rPr>
      </w:r>
      <w:r w:rsidRPr="006038F2">
        <w:rPr>
          <w:rFonts w:ascii="Times New Roman" w:hAnsi="Times New Roman" w:cs="Times New Roman"/>
          <w:lang w:eastAsia="en-US"/>
        </w:rPr>
        <w:fldChar w:fldCharType="separate"/>
      </w:r>
      <w:r w:rsidRPr="006038F2">
        <w:rPr>
          <w:rFonts w:ascii="Times New Roman" w:hAnsi="Times New Roman" w:cs="Times New Roman"/>
          <w:b/>
          <w:bCs/>
          <w:noProof/>
        </w:rPr>
        <w:t>4</w:t>
      </w:r>
      <w:r w:rsidRPr="006038F2">
        <w:rPr>
          <w:rFonts w:ascii="Times New Roman" w:hAnsi="Times New Roman" w:cs="Times New Roman"/>
          <w:lang w:eastAsia="en-US"/>
        </w:rPr>
        <w:fldChar w:fldCharType="end"/>
      </w:r>
      <w:r w:rsidRPr="006038F2">
        <w:rPr>
          <w:rFonts w:ascii="Times New Roman" w:hAnsi="Times New Roman" w:cs="Times New Roman"/>
          <w:lang w:eastAsia="en-US"/>
        </w:rPr>
        <w:t xml:space="preserve">, total radiant efficiency measurements for each time point on each sample were individually normalized to the background, with each time point then being represented as a percentage increase over the background signal, as calculated for each individual sample then averaged. Results are therefore normalized to the baseline fluorescent signal for each mouse, thus showing effective increase in signal. Mice being used are interferon reporter mice, which fluoresce on the </w:t>
      </w:r>
      <w:proofErr w:type="spellStart"/>
      <w:r w:rsidRPr="006038F2">
        <w:rPr>
          <w:rFonts w:ascii="Times New Roman" w:hAnsi="Times New Roman" w:cs="Times New Roman"/>
          <w:lang w:eastAsia="en-US"/>
        </w:rPr>
        <w:t>DsRed</w:t>
      </w:r>
      <w:proofErr w:type="spellEnd"/>
      <w:r w:rsidRPr="006038F2">
        <w:rPr>
          <w:rFonts w:ascii="Times New Roman" w:hAnsi="Times New Roman" w:cs="Times New Roman"/>
          <w:lang w:eastAsia="en-US"/>
        </w:rPr>
        <w:t xml:space="preserve"> wavelength in response to interferon stimulation. These normalized increases thus represent increase from the interferon signal propagation.  </w:t>
      </w:r>
    </w:p>
    <w:p w14:paraId="1935656B" w14:textId="77777777" w:rsidR="0003572A" w:rsidRPr="006038F2" w:rsidRDefault="0003572A" w:rsidP="009A2ADC">
      <w:pPr>
        <w:pStyle w:val="Heading2"/>
        <w:spacing w:line="480" w:lineRule="auto"/>
        <w:rPr>
          <w:rFonts w:ascii="Times New Roman" w:hAnsi="Times New Roman" w:cs="Times New Roman"/>
        </w:rPr>
      </w:pPr>
      <w:bookmarkStart w:id="53" w:name="_Toc172659154"/>
      <w:r w:rsidRPr="006038F2">
        <w:rPr>
          <w:rFonts w:ascii="Times New Roman" w:hAnsi="Times New Roman" w:cs="Times New Roman"/>
        </w:rPr>
        <w:t>2.5 Discussion</w:t>
      </w:r>
      <w:bookmarkEnd w:id="53"/>
    </w:p>
    <w:p w14:paraId="308085DA" w14:textId="77777777" w:rsidR="0003572A" w:rsidRPr="006038F2" w:rsidRDefault="0003572A" w:rsidP="009A2ADC">
      <w:pPr>
        <w:pStyle w:val="Heading3"/>
        <w:spacing w:line="480" w:lineRule="auto"/>
        <w:rPr>
          <w:rFonts w:ascii="Times New Roman" w:hAnsi="Times New Roman" w:cs="Times New Roman"/>
        </w:rPr>
      </w:pPr>
      <w:bookmarkStart w:id="54" w:name="_Toc172659155"/>
      <w:r w:rsidRPr="006038F2">
        <w:rPr>
          <w:rFonts w:ascii="Times New Roman" w:hAnsi="Times New Roman" w:cs="Times New Roman"/>
        </w:rPr>
        <w:t>2.5.1 Intranasal application</w:t>
      </w:r>
      <w:bookmarkEnd w:id="54"/>
    </w:p>
    <w:p w14:paraId="4D9BB6B7"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_Ref170812146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w:t>
      </w:r>
      <w:r w:rsidRPr="006038F2">
        <w:rPr>
          <w:rFonts w:ascii="Times New Roman" w:hAnsi="Times New Roman" w:cs="Times New Roman"/>
        </w:rPr>
        <w:fldChar w:fldCharType="end"/>
      </w:r>
      <w:r w:rsidRPr="006038F2">
        <w:rPr>
          <w:rFonts w:ascii="Times New Roman" w:hAnsi="Times New Roman" w:cs="Times New Roman"/>
        </w:rPr>
        <w:t xml:space="preserve"> verifies the change by marking significance between the test group and the control group for each time point.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2</w:t>
      </w:r>
      <w:r w:rsidRPr="006038F2">
        <w:rPr>
          <w:rFonts w:ascii="Times New Roman" w:hAnsi="Times New Roman" w:cs="Times New Roman"/>
        </w:rPr>
        <w:fldChar w:fldCharType="end"/>
      </w:r>
      <w:r w:rsidRPr="006038F2">
        <w:rPr>
          <w:rFonts w:ascii="Times New Roman" w:hAnsi="Times New Roman" w:cs="Times New Roman"/>
        </w:rPr>
        <w:t xml:space="preserve"> verifies the change by marking the significance between the background and each time point, for individual test groups. In this way, significant changes are seen as compared to both the control group and the test group’s own signal.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_Ref170812146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w:t>
      </w:r>
      <w:r w:rsidRPr="006038F2">
        <w:rPr>
          <w:rFonts w:ascii="Times New Roman" w:hAnsi="Times New Roman" w:cs="Times New Roman"/>
        </w:rPr>
        <w:fldChar w:fldCharType="end"/>
      </w:r>
      <w:r w:rsidRPr="006038F2">
        <w:rPr>
          <w:rFonts w:ascii="Times New Roman" w:hAnsi="Times New Roman" w:cs="Times New Roman"/>
        </w:rPr>
        <w:t xml:space="preserve">, which shows intranasal fluorescence analysis, every time point tested shows a statistically significant increase of the GC treated group as compared to the untreated for the same time.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2</w:t>
      </w:r>
      <w:r w:rsidRPr="006038F2">
        <w:rPr>
          <w:rFonts w:ascii="Times New Roman" w:hAnsi="Times New Roman" w:cs="Times New Roman"/>
        </w:rPr>
        <w:fldChar w:fldCharType="end"/>
      </w:r>
      <w:r w:rsidRPr="006038F2">
        <w:rPr>
          <w:rFonts w:ascii="Times New Roman" w:hAnsi="Times New Roman" w:cs="Times New Roman"/>
        </w:rPr>
        <w:t xml:space="preserve">, which also shows intranasal fluorescence analysis, almost every time point of the GC group shows a statistically significant increase as compared to the background. Those time points that did not have calculated significance likely lacked it because of the higher standard deviation. Because fluorescence is so variable, smaller test groups (in this case, a group of 10) can outweigh the average change (see </w:t>
      </w:r>
      <w:r w:rsidRPr="006038F2">
        <w:rPr>
          <w:rFonts w:ascii="Times New Roman" w:hAnsi="Times New Roman" w:cs="Times New Roman"/>
        </w:rPr>
        <w:fldChar w:fldCharType="begin"/>
      </w:r>
      <w:r w:rsidRPr="006038F2">
        <w:rPr>
          <w:rFonts w:ascii="Times New Roman" w:hAnsi="Times New Roman" w:cs="Times New Roman"/>
        </w:rPr>
        <w:instrText xml:space="preserve"> REF _Ref170908421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16</w:t>
      </w:r>
      <w:r w:rsidRPr="006038F2">
        <w:rPr>
          <w:rFonts w:ascii="Times New Roman" w:hAnsi="Times New Roman" w:cs="Times New Roman"/>
        </w:rPr>
        <w:fldChar w:fldCharType="end"/>
      </w:r>
      <w:r w:rsidRPr="006038F2">
        <w:rPr>
          <w:rFonts w:ascii="Times New Roman" w:hAnsi="Times New Roman" w:cs="Times New Roman"/>
        </w:rPr>
        <w:t xml:space="preserve">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_Ref170821526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lang w:eastAsia="en-US"/>
        </w:rPr>
        <w:t>Appendix C: IVIS Optimization</w:t>
      </w:r>
      <w:r w:rsidRPr="006038F2">
        <w:rPr>
          <w:rFonts w:ascii="Times New Roman" w:hAnsi="Times New Roman" w:cs="Times New Roman"/>
        </w:rPr>
        <w:fldChar w:fldCharType="end"/>
      </w:r>
      <w:r w:rsidRPr="006038F2">
        <w:rPr>
          <w:rFonts w:ascii="Times New Roman" w:hAnsi="Times New Roman" w:cs="Times New Roman"/>
        </w:rPr>
        <w:t xml:space="preserve">). </w:t>
      </w:r>
      <w:r w:rsidRPr="006038F2">
        <w:rPr>
          <w:rFonts w:ascii="Times New Roman" w:hAnsi="Times New Roman" w:cs="Times New Roman"/>
        </w:rPr>
        <w:lastRenderedPageBreak/>
        <w:t xml:space="preserve">While the control group saw some fluctuation, none of it was calculated to be significant, so this change can likely be attributed to normal fluctuation. </w:t>
      </w:r>
    </w:p>
    <w:p w14:paraId="69BD5EFF" w14:textId="77777777" w:rsidR="0003572A" w:rsidRPr="006038F2" w:rsidRDefault="0003572A" w:rsidP="009A2ADC">
      <w:pPr>
        <w:pStyle w:val="Heading3"/>
        <w:spacing w:line="480" w:lineRule="auto"/>
        <w:rPr>
          <w:rFonts w:ascii="Times New Roman" w:hAnsi="Times New Roman" w:cs="Times New Roman"/>
        </w:rPr>
      </w:pPr>
      <w:bookmarkStart w:id="55" w:name="_Toc172659156"/>
      <w:r w:rsidRPr="006038F2">
        <w:rPr>
          <w:rFonts w:ascii="Times New Roman" w:hAnsi="Times New Roman" w:cs="Times New Roman"/>
        </w:rPr>
        <w:t>2.5.2 Subcutaneous application</w:t>
      </w:r>
      <w:bookmarkEnd w:id="55"/>
    </w:p>
    <w:p w14:paraId="20F258A5"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verifies the change by marking significance between the test group and the control group for each time point.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4</w:t>
      </w:r>
      <w:r w:rsidRPr="006038F2">
        <w:rPr>
          <w:rFonts w:ascii="Times New Roman" w:hAnsi="Times New Roman" w:cs="Times New Roman"/>
        </w:rPr>
        <w:fldChar w:fldCharType="end"/>
      </w:r>
      <w:r w:rsidRPr="006038F2">
        <w:rPr>
          <w:rFonts w:ascii="Times New Roman" w:hAnsi="Times New Roman" w:cs="Times New Roman"/>
        </w:rPr>
        <w:t xml:space="preserve"> verifies the change by marking the significance between the background and each time point, for individual test groups. In this way, we see significant changes as compared to both the control group and the test group’s own signal. </w:t>
      </w:r>
    </w:p>
    <w:p w14:paraId="0C3F7D06"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which shows subcutaneous fluorescence interpretations, every time point tested shows some measure of statistical significance between the untreated and the 100µL GC treated. The 60h and 72h points show less than the desired significance, but still a respectable level. The difference in these two versus in the others is likely in the smaller test group. In between the 48h and 60h time points, one of the mouse cages being used saw extreme in-fighting, causing wounds in a few of the mice too great for them to continue in the study. Would that these mice had continued the study, we would likely see the same level of significance as priorly. </w:t>
      </w:r>
    </w:p>
    <w:p w14:paraId="7AAC02CD"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_Ref170812158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4</w:t>
      </w:r>
      <w:r w:rsidRPr="006038F2">
        <w:rPr>
          <w:rFonts w:ascii="Times New Roman" w:hAnsi="Times New Roman" w:cs="Times New Roman"/>
        </w:rPr>
        <w:fldChar w:fldCharType="end"/>
      </w:r>
      <w:r w:rsidRPr="006038F2">
        <w:rPr>
          <w:rFonts w:ascii="Times New Roman" w:hAnsi="Times New Roman" w:cs="Times New Roman"/>
        </w:rPr>
        <w:t xml:space="preserve"> shows that every single time point showed a significant increase as compared to the background, whereas the other groups mostly did not. However, as seen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not every single increase was as statistically significant as compared to the control’s percent increase. The 50µL GC injection was also tested to see whether a smaller dosage in vivo could still elicit a potent response. As seen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4</w:t>
      </w:r>
      <w:r w:rsidRPr="006038F2">
        <w:rPr>
          <w:rFonts w:ascii="Times New Roman" w:hAnsi="Times New Roman" w:cs="Times New Roman"/>
        </w:rPr>
        <w:fldChar w:fldCharType="end"/>
      </w:r>
      <w:r w:rsidRPr="006038F2">
        <w:rPr>
          <w:rFonts w:ascii="Times New Roman" w:hAnsi="Times New Roman" w:cs="Times New Roman"/>
        </w:rPr>
        <w:t xml:space="preserve">, while the 50µL group did show an increase, it was not statistically significant. However, the error bars in this group show to be slightly larger, on average, so this may hinder shown results (as previously discussed with the </w:t>
      </w:r>
      <w:r w:rsidRPr="006038F2">
        <w:rPr>
          <w:rFonts w:ascii="Times New Roman" w:hAnsi="Times New Roman" w:cs="Times New Roman"/>
        </w:rPr>
        <w:lastRenderedPageBreak/>
        <w:t xml:space="preserve">relatively small test group sizes). Regardless of these minor dips in significance, this work still shows promising preliminary results in interferon activation to lead into a larger study. </w:t>
      </w:r>
    </w:p>
    <w:p w14:paraId="6CA5398A" w14:textId="188691AE" w:rsidR="0026281F" w:rsidRPr="006038F2" w:rsidRDefault="0026281F" w:rsidP="009A2ADC">
      <w:pPr>
        <w:spacing w:line="480" w:lineRule="auto"/>
        <w:ind w:firstLine="720"/>
        <w:rPr>
          <w:rFonts w:ascii="Times New Roman" w:hAnsi="Times New Roman" w:cs="Times New Roman"/>
        </w:rPr>
      </w:pPr>
      <w:r w:rsidRPr="006038F2">
        <w:rPr>
          <w:rFonts w:ascii="Times New Roman" w:hAnsi="Times New Roman" w:cs="Times New Roman"/>
        </w:rPr>
        <w:t>It should be noted here, as a comparison, that the intranasal results produced equally significant results as the 5X larger volum</w:t>
      </w:r>
      <w:r w:rsidR="00284178" w:rsidRPr="006038F2">
        <w:rPr>
          <w:rFonts w:ascii="Times New Roman" w:hAnsi="Times New Roman" w:cs="Times New Roman"/>
        </w:rPr>
        <w:t>e. This holds significance in terms of application of this immunoadjuvant in future treatment application. Not only does it save resources with a smaller volume able to produce the same response, but it also supports the extension of GC into intranasal vaccination treatment practice. This is significant findings because, as mentioned previously, intranasal administration holds great promise in improved treatment efficacy and immune memory generation.</w:t>
      </w:r>
    </w:p>
    <w:p w14:paraId="33F47872" w14:textId="77777777" w:rsidR="0003572A" w:rsidRPr="006038F2" w:rsidRDefault="0003572A" w:rsidP="009A2ADC">
      <w:pPr>
        <w:pStyle w:val="Heading3"/>
        <w:spacing w:line="480" w:lineRule="auto"/>
        <w:rPr>
          <w:rFonts w:ascii="Times New Roman" w:hAnsi="Times New Roman" w:cs="Times New Roman"/>
          <w:lang w:eastAsia="en-US"/>
        </w:rPr>
      </w:pPr>
      <w:bookmarkStart w:id="56" w:name="_Toc172659157"/>
      <w:r w:rsidRPr="006038F2">
        <w:rPr>
          <w:rFonts w:ascii="Times New Roman" w:hAnsi="Times New Roman" w:cs="Times New Roman"/>
          <w:lang w:eastAsia="en-US"/>
        </w:rPr>
        <w:t>2.5.3 IVIS Field of View</w:t>
      </w:r>
      <w:bookmarkEnd w:id="56"/>
    </w:p>
    <w:p w14:paraId="44BD7E90" w14:textId="51F9B0A4"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tab/>
        <w:t xml:space="preserve">For the purposes of this study, because there were two localized spots on opposite sides of the body being imaged and because so many mice were being done at a time (relatively, in terms of the time for acquisition on the IVIS machine), IVIS field of view (FOV) D was used (see </w:t>
      </w:r>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REF _Ref170823013 \h  \* MERGEFORMAT </w:instrText>
      </w:r>
      <w:r w:rsidRPr="006038F2">
        <w:rPr>
          <w:rFonts w:ascii="Times New Roman" w:hAnsi="Times New Roman" w:cs="Times New Roman"/>
          <w:lang w:eastAsia="en-US"/>
        </w:rPr>
      </w:r>
      <w:r w:rsidRPr="006038F2">
        <w:rPr>
          <w:rFonts w:ascii="Times New Roman" w:hAnsi="Times New Roman" w:cs="Times New Roman"/>
          <w:lang w:eastAsia="en-US"/>
        </w:rPr>
        <w:fldChar w:fldCharType="separate"/>
      </w:r>
      <w:r w:rsidRPr="006038F2">
        <w:rPr>
          <w:rFonts w:ascii="Times New Roman" w:hAnsi="Times New Roman" w:cs="Times New Roman"/>
          <w:lang w:eastAsia="en-US"/>
        </w:rPr>
        <w:t>Appendix C: IVIS Optimization</w:t>
      </w:r>
      <w:r w:rsidRPr="006038F2">
        <w:rPr>
          <w:rFonts w:ascii="Times New Roman" w:hAnsi="Times New Roman" w:cs="Times New Roman"/>
          <w:lang w:eastAsia="en-US"/>
        </w:rPr>
        <w:fldChar w:fldCharType="end"/>
      </w:r>
      <w:r w:rsidRPr="006038F2">
        <w:rPr>
          <w:rFonts w:ascii="Times New Roman" w:hAnsi="Times New Roman" w:cs="Times New Roman"/>
          <w:lang w:eastAsia="en-US"/>
        </w:rPr>
        <w:t xml:space="preserve"> for a visualization of the view differences). In this view, 5 mice may be imaged at once. In consideration of the time for acquisition: 4 minutes to </w:t>
      </w:r>
      <w:r w:rsidR="007162F2" w:rsidRPr="006038F2">
        <w:rPr>
          <w:rFonts w:ascii="Times New Roman" w:hAnsi="Times New Roman" w:cs="Times New Roman"/>
          <w:lang w:eastAsia="en-US"/>
        </w:rPr>
        <w:t>anesthetize</w:t>
      </w:r>
      <w:r w:rsidRPr="006038F2">
        <w:rPr>
          <w:rFonts w:ascii="Times New Roman" w:hAnsi="Times New Roman" w:cs="Times New Roman"/>
          <w:lang w:eastAsia="en-US"/>
        </w:rPr>
        <w:t xml:space="preserve"> the mouse and 6 minutes for the two separate acquisitions. At 10 minutes per mouse, the time difference from the first to the last mouse could cause significant differences in terms of immune response timeline. Additionally, because of the nature of this study in terms of time points, the length of experiment running at times outside of normal operating hours, as previously discussed, could have caused more detriment in disruption of mouse rhythms. However, now that this preliminary data has been set, time points could be adjusted to be fewer and within regular hours; this obstacle could be circumvented. Performing this study at the </w:t>
      </w:r>
      <w:r w:rsidRPr="006038F2">
        <w:rPr>
          <w:rFonts w:ascii="Times New Roman" w:hAnsi="Times New Roman" w:cs="Times New Roman"/>
          <w:lang w:eastAsia="en-US"/>
        </w:rPr>
        <w:lastRenderedPageBreak/>
        <w:t xml:space="preserve">farther FOV may generate less accurate or less tissue-penetrating readings as compared to a closer view (e.g., FOV A), but it nonetheless produced significant results in this study. </w:t>
      </w:r>
    </w:p>
    <w:p w14:paraId="34AD294A" w14:textId="77777777" w:rsidR="0003572A" w:rsidRPr="006038F2" w:rsidRDefault="0003572A" w:rsidP="009A2ADC">
      <w:pPr>
        <w:pStyle w:val="Heading3"/>
        <w:spacing w:line="480" w:lineRule="auto"/>
        <w:rPr>
          <w:rFonts w:ascii="Times New Roman" w:hAnsi="Times New Roman" w:cs="Times New Roman"/>
          <w:lang w:eastAsia="en-US"/>
        </w:rPr>
      </w:pPr>
      <w:bookmarkStart w:id="57" w:name="_Toc172659158"/>
      <w:r w:rsidRPr="006038F2">
        <w:rPr>
          <w:rFonts w:ascii="Times New Roman" w:hAnsi="Times New Roman" w:cs="Times New Roman"/>
          <w:lang w:eastAsia="en-US"/>
        </w:rPr>
        <w:t>2.5.4 Adverse reactions</w:t>
      </w:r>
      <w:bookmarkEnd w:id="57"/>
    </w:p>
    <w:p w14:paraId="7215C097" w14:textId="77777777"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tab/>
        <w:t xml:space="preserve">In the 100µL injection group, most mice experienced an adverse reaction of necrosis around the site of injection (see </w:t>
      </w:r>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REF _Ref170902140 \h  \* MERGEFORMAT </w:instrText>
      </w:r>
      <w:r w:rsidRPr="006038F2">
        <w:rPr>
          <w:rFonts w:ascii="Times New Roman" w:hAnsi="Times New Roman" w:cs="Times New Roman"/>
          <w:lang w:eastAsia="en-US"/>
        </w:rPr>
      </w:r>
      <w:r w:rsidRPr="006038F2">
        <w:rPr>
          <w:rFonts w:ascii="Times New Roman" w:hAnsi="Times New Roman" w:cs="Times New Roman"/>
          <w:lang w:eastAsia="en-US"/>
        </w:rPr>
        <w:fldChar w:fldCharType="separate"/>
      </w:r>
      <w:r w:rsidRPr="006038F2">
        <w:rPr>
          <w:rFonts w:ascii="Times New Roman" w:hAnsi="Times New Roman" w:cs="Times New Roman"/>
        </w:rPr>
        <w:t>Appendix A: IVIS Adverse Reactions</w:t>
      </w:r>
      <w:r w:rsidRPr="006038F2">
        <w:rPr>
          <w:rFonts w:ascii="Times New Roman" w:hAnsi="Times New Roman" w:cs="Times New Roman"/>
          <w:lang w:eastAsia="en-US"/>
        </w:rPr>
        <w:fldChar w:fldCharType="end"/>
      </w:r>
      <w:r w:rsidRPr="006038F2">
        <w:rPr>
          <w:rFonts w:ascii="Times New Roman" w:hAnsi="Times New Roman" w:cs="Times New Roman"/>
          <w:lang w:eastAsia="en-US"/>
        </w:rPr>
        <w:t xml:space="preserve">). In addition to this necrosis, the “bubble” of injection under the skin turned hard and stayed for over 14 days post-injection. Necrosis did not occur in the 50 µL injection group, but the mass at injection site only persisted for 7 days. Further experimentation may help narrow down to the cause of this problem. </w:t>
      </w:r>
    </w:p>
    <w:p w14:paraId="478A5059" w14:textId="030C9DB8" w:rsidR="0003572A" w:rsidRPr="006038F2" w:rsidRDefault="0003572A" w:rsidP="00150C75">
      <w:pPr>
        <w:spacing w:line="480" w:lineRule="auto"/>
        <w:rPr>
          <w:rFonts w:ascii="Times New Roman" w:hAnsi="Times New Roman" w:cs="Times New Roman"/>
        </w:rPr>
      </w:pPr>
      <w:r w:rsidRPr="006038F2">
        <w:rPr>
          <w:rFonts w:ascii="Times New Roman" w:hAnsi="Times New Roman" w:cs="Times New Roman"/>
          <w:lang w:eastAsia="en-US"/>
        </w:rPr>
        <w:tab/>
        <w:t>This injection volume has been used in other studies in the lab many times and has not caused this reaction before. Some hypothesized reasons for this are as follows. First, GC is a very viscous fluid, so it may need to be diluted more to allow it to dissipate from the injection site. Because the same reaction did not occur in the 50µL injection group, this cause only applies for higher volumes. Secondly, it is possible that because the GC was administered alone (i.e., there was no existing response to amplify), the response generated may have turned inwardly attacking and caused a build-up under the skin. If this were the case, or possibly a combination of the two, the effect could possibly be mitigated by finding a volume that does not cause necrosis but still produces a notable response.</w:t>
      </w:r>
      <w:r w:rsidR="00150C75" w:rsidRPr="006038F2">
        <w:rPr>
          <w:rFonts w:ascii="Times New Roman" w:hAnsi="Times New Roman" w:cs="Times New Roman"/>
          <w:lang w:eastAsia="en-US"/>
        </w:rPr>
        <w:t xml:space="preserve"> However</w:t>
      </w:r>
      <w:r w:rsidRPr="006038F2">
        <w:rPr>
          <w:rFonts w:ascii="Times New Roman" w:hAnsi="Times New Roman" w:cs="Times New Roman"/>
          <w:lang w:eastAsia="en-US"/>
        </w:rPr>
        <w:t>, some of the wounds looked as if they could have been self-inflicted</w:t>
      </w:r>
      <w:r w:rsidR="00150C75" w:rsidRPr="006038F2">
        <w:rPr>
          <w:rFonts w:ascii="Times New Roman" w:hAnsi="Times New Roman" w:cs="Times New Roman"/>
          <w:lang w:eastAsia="en-US"/>
        </w:rPr>
        <w:t xml:space="preserve"> or inflicted by cage mates</w:t>
      </w:r>
      <w:r w:rsidRPr="006038F2">
        <w:rPr>
          <w:rFonts w:ascii="Times New Roman" w:hAnsi="Times New Roman" w:cs="Times New Roman"/>
          <w:lang w:eastAsia="en-US"/>
        </w:rPr>
        <w:t>.</w:t>
      </w:r>
      <w:r w:rsidR="00150C75" w:rsidRPr="006038F2">
        <w:rPr>
          <w:rFonts w:ascii="Times New Roman" w:hAnsi="Times New Roman" w:cs="Times New Roman"/>
          <w:lang w:eastAsia="en-US"/>
        </w:rPr>
        <w:t xml:space="preserve"> That type of reaction to a skin disturbance has been previously in the lab as well.</w:t>
      </w:r>
      <w:r w:rsidR="00150C75" w:rsidRPr="006038F2">
        <w:rPr>
          <w:rFonts w:ascii="Times New Roman" w:hAnsi="Times New Roman" w:cs="Times New Roman"/>
        </w:rPr>
        <w:t xml:space="preserve"> </w:t>
      </w:r>
      <w:r w:rsidRPr="006038F2">
        <w:rPr>
          <w:rFonts w:ascii="Times New Roman" w:hAnsi="Times New Roman" w:cs="Times New Roman"/>
          <w:lang w:eastAsia="en-US"/>
        </w:rPr>
        <w:t xml:space="preserve">It is possible that the large volume at the given viscosity caused the mouse enough irritation for it to bite or scratch the area. The resulting wound combined with the heightened immune environment could have caused the negative effect. </w:t>
      </w:r>
    </w:p>
    <w:p w14:paraId="20394AF7" w14:textId="77777777" w:rsidR="0003572A" w:rsidRPr="006038F2" w:rsidRDefault="0003572A" w:rsidP="009A2ADC">
      <w:pPr>
        <w:pStyle w:val="Heading3"/>
        <w:spacing w:line="480" w:lineRule="auto"/>
        <w:rPr>
          <w:rFonts w:ascii="Times New Roman" w:hAnsi="Times New Roman" w:cs="Times New Roman"/>
          <w:lang w:eastAsia="en-US"/>
        </w:rPr>
      </w:pPr>
      <w:bookmarkStart w:id="58" w:name="_Toc172659159"/>
      <w:r w:rsidRPr="006038F2">
        <w:rPr>
          <w:rFonts w:ascii="Times New Roman" w:hAnsi="Times New Roman" w:cs="Times New Roman"/>
          <w:lang w:eastAsia="en-US"/>
        </w:rPr>
        <w:lastRenderedPageBreak/>
        <w:t>2.5.4 Potential Limitations</w:t>
      </w:r>
      <w:bookmarkEnd w:id="58"/>
    </w:p>
    <w:p w14:paraId="50FD9708" w14:textId="7631FBA3"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Fluorescent signal </w:t>
      </w:r>
      <w:r w:rsidRPr="006038F2">
        <w:rPr>
          <w:rFonts w:ascii="Times New Roman" w:hAnsi="Times New Roman" w:cs="Times New Roman"/>
          <w:i/>
          <w:iCs/>
        </w:rPr>
        <w:t>in vivo</w:t>
      </w:r>
      <w:r w:rsidRPr="006038F2">
        <w:rPr>
          <w:rFonts w:ascii="Times New Roman" w:hAnsi="Times New Roman" w:cs="Times New Roman"/>
        </w:rPr>
        <w:t xml:space="preserve"> in mice fluctuates often depending on anything from diet to hair length to time of day. Even with the mice on a chlorophyl-free diet to reduce noise (see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_Ref170821526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lang w:eastAsia="en-US"/>
        </w:rPr>
        <w:t>Appendix C: IVIS Optimization</w:t>
      </w:r>
      <w:r w:rsidRPr="006038F2">
        <w:rPr>
          <w:rFonts w:ascii="Times New Roman" w:hAnsi="Times New Roman" w:cs="Times New Roman"/>
        </w:rPr>
        <w:fldChar w:fldCharType="end"/>
      </w:r>
      <w:r w:rsidRPr="006038F2">
        <w:rPr>
          <w:rFonts w:ascii="Times New Roman" w:hAnsi="Times New Roman" w:cs="Times New Roman"/>
        </w:rPr>
        <w:t xml:space="preserve">), there is still fluctuation, as evidenced by the changes seen in the control group, which should have had no direct immune stimulation. Part of the fluctuation in this study specifically may also be attributed to the fact that the mice had to be used outside of the typical window of operating hours; this interferes with their natural circadian rhythm and therefore may have caused slight changes due to stress </w:t>
      </w:r>
      <w:sdt>
        <w:sdtPr>
          <w:rPr>
            <w:rFonts w:ascii="Times New Roman" w:hAnsi="Times New Roman" w:cs="Times New Roman"/>
          </w:rPr>
          <w:id w:val="1419822455"/>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Hyl22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(Hylander, 2022)</w:t>
          </w:r>
          <w:r w:rsidRPr="006038F2">
            <w:rPr>
              <w:rFonts w:ascii="Times New Roman" w:hAnsi="Times New Roman" w:cs="Times New Roman"/>
            </w:rPr>
            <w:fldChar w:fldCharType="end"/>
          </w:r>
        </w:sdtContent>
      </w:sdt>
      <w:r w:rsidRPr="006038F2">
        <w:rPr>
          <w:rFonts w:ascii="Times New Roman" w:hAnsi="Times New Roman" w:cs="Times New Roman"/>
        </w:rPr>
        <w:t xml:space="preserve">. In addition to the abnormal experimental hours is the high number of run times in such a short period of time. The mice underwent many rounds of anesthesia, which may have further impacted their resting state due to added stress. Thus, the need for normalization to a base signal was necessary to determine effective validity of results. Despite these potential limitations of fluorescence, the intranasal and subcutaneous GC vaccinations still produced a potent type I interferon response </w:t>
      </w:r>
      <w:r w:rsidRPr="006038F2">
        <w:rPr>
          <w:rFonts w:ascii="Times New Roman" w:hAnsi="Times New Roman" w:cs="Times New Roman"/>
          <w:i/>
          <w:iCs/>
        </w:rPr>
        <w:t>in vivo</w:t>
      </w:r>
      <w:r w:rsidRPr="006038F2">
        <w:rPr>
          <w:rFonts w:ascii="Times New Roman" w:hAnsi="Times New Roman" w:cs="Times New Roman"/>
        </w:rPr>
        <w:t xml:space="preserve">. </w:t>
      </w:r>
    </w:p>
    <w:p w14:paraId="2B97FBAE" w14:textId="77777777" w:rsidR="0003572A" w:rsidRPr="006038F2" w:rsidRDefault="0003572A" w:rsidP="009A2ADC">
      <w:pPr>
        <w:spacing w:line="480" w:lineRule="auto"/>
        <w:rPr>
          <w:rFonts w:ascii="Times New Roman" w:hAnsi="Times New Roman" w:cs="Times New Roman"/>
          <w:lang w:eastAsia="en-US"/>
        </w:rPr>
      </w:pPr>
    </w:p>
    <w:p w14:paraId="009EF9A9" w14:textId="77777777"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br w:type="page"/>
      </w:r>
    </w:p>
    <w:p w14:paraId="11C3C215" w14:textId="77777777" w:rsidR="00F00752" w:rsidRPr="006038F2" w:rsidRDefault="0003572A" w:rsidP="00F00752">
      <w:pPr>
        <w:pStyle w:val="Heading1"/>
        <w:spacing w:line="480" w:lineRule="auto"/>
        <w:jc w:val="center"/>
        <w:rPr>
          <w:rFonts w:ascii="Times New Roman" w:hAnsi="Times New Roman" w:cs="Times New Roman"/>
        </w:rPr>
      </w:pPr>
      <w:bookmarkStart w:id="59" w:name="_Toc172659160"/>
      <w:r w:rsidRPr="006038F2">
        <w:rPr>
          <w:rFonts w:ascii="Times New Roman" w:hAnsi="Times New Roman" w:cs="Times New Roman"/>
        </w:rPr>
        <w:lastRenderedPageBreak/>
        <w:t>Chapter 3</w:t>
      </w:r>
      <w:bookmarkEnd w:id="59"/>
    </w:p>
    <w:p w14:paraId="6DDC8BC1" w14:textId="0DEE807C" w:rsidR="0003572A" w:rsidRPr="006038F2" w:rsidRDefault="0003572A" w:rsidP="00F00752">
      <w:pPr>
        <w:pStyle w:val="Heading1"/>
        <w:spacing w:line="480" w:lineRule="auto"/>
        <w:jc w:val="center"/>
        <w:rPr>
          <w:rFonts w:ascii="Times New Roman" w:hAnsi="Times New Roman" w:cs="Times New Roman"/>
        </w:rPr>
      </w:pPr>
      <w:bookmarkStart w:id="60" w:name="_Toc172659161"/>
      <w:r w:rsidRPr="006038F2">
        <w:rPr>
          <w:rFonts w:ascii="Times New Roman" w:hAnsi="Times New Roman" w:cs="Times New Roman"/>
        </w:rPr>
        <w:t>Differential Gene Expression After GC Administration</w:t>
      </w:r>
      <w:bookmarkEnd w:id="60"/>
    </w:p>
    <w:p w14:paraId="01EA597E" w14:textId="77777777" w:rsidR="00F00752" w:rsidRPr="006038F2" w:rsidRDefault="00F00752" w:rsidP="00F00752">
      <w:pPr>
        <w:spacing w:line="480" w:lineRule="auto"/>
        <w:rPr>
          <w:rFonts w:ascii="Times New Roman" w:hAnsi="Times New Roman" w:cs="Times New Roman"/>
        </w:rPr>
      </w:pPr>
    </w:p>
    <w:p w14:paraId="1090945E" w14:textId="77777777" w:rsidR="00F00752" w:rsidRPr="006038F2" w:rsidRDefault="00F00752" w:rsidP="00F00752">
      <w:pPr>
        <w:spacing w:line="480" w:lineRule="auto"/>
        <w:rPr>
          <w:rFonts w:ascii="Times New Roman" w:hAnsi="Times New Roman" w:cs="Times New Roman"/>
        </w:rPr>
      </w:pPr>
    </w:p>
    <w:p w14:paraId="40EA5045" w14:textId="77777777" w:rsidR="0003572A" w:rsidRPr="006038F2" w:rsidRDefault="0003572A" w:rsidP="00F00752">
      <w:pPr>
        <w:pStyle w:val="Heading2"/>
        <w:spacing w:line="480" w:lineRule="auto"/>
        <w:rPr>
          <w:rFonts w:ascii="Times New Roman" w:hAnsi="Times New Roman" w:cs="Times New Roman"/>
        </w:rPr>
      </w:pPr>
      <w:bookmarkStart w:id="61" w:name="_Toc172659162"/>
      <w:r w:rsidRPr="006038F2">
        <w:rPr>
          <w:rFonts w:ascii="Times New Roman" w:hAnsi="Times New Roman" w:cs="Times New Roman"/>
        </w:rPr>
        <w:t>3.1 Objective</w:t>
      </w:r>
      <w:bookmarkEnd w:id="61"/>
    </w:p>
    <w:p w14:paraId="78162E52" w14:textId="77777777"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tab/>
        <w:t>The purpose of this experiment was to qualify the interferon response results found in the IVIS experiment discussed in Chapter 2. While the IVIS experiment showed that there was in fact in a response of quantitative significance, this experiment aimed to further elucidate the specific mechanisms by which that response was achieved.</w:t>
      </w:r>
    </w:p>
    <w:p w14:paraId="05FBF608" w14:textId="77777777" w:rsidR="0003572A" w:rsidRPr="006038F2" w:rsidRDefault="0003572A" w:rsidP="009A2ADC">
      <w:pPr>
        <w:pStyle w:val="Heading2"/>
        <w:spacing w:line="480" w:lineRule="auto"/>
        <w:rPr>
          <w:rFonts w:ascii="Times New Roman" w:hAnsi="Times New Roman" w:cs="Times New Roman"/>
        </w:rPr>
      </w:pPr>
      <w:bookmarkStart w:id="62" w:name="_Toc163479229"/>
      <w:bookmarkStart w:id="63" w:name="_Toc172659163"/>
      <w:r w:rsidRPr="006038F2">
        <w:rPr>
          <w:rFonts w:ascii="Times New Roman" w:hAnsi="Times New Roman" w:cs="Times New Roman"/>
        </w:rPr>
        <w:t>3.2. Materials</w:t>
      </w:r>
      <w:bookmarkEnd w:id="62"/>
      <w:bookmarkEnd w:id="63"/>
      <w:r w:rsidRPr="006038F2">
        <w:rPr>
          <w:rFonts w:ascii="Times New Roman" w:hAnsi="Times New Roman" w:cs="Times New Roman"/>
        </w:rPr>
        <w:t xml:space="preserve"> </w:t>
      </w:r>
    </w:p>
    <w:p w14:paraId="2E1A3626"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Aqueous solution of N-</w:t>
      </w:r>
      <w:proofErr w:type="spellStart"/>
      <w:r w:rsidRPr="006038F2">
        <w:rPr>
          <w:rFonts w:ascii="Times New Roman" w:hAnsi="Times New Roman" w:cs="Times New Roman"/>
        </w:rPr>
        <w:t>dihydrogalactochitosan</w:t>
      </w:r>
      <w:proofErr w:type="spellEnd"/>
      <w:r w:rsidRPr="006038F2">
        <w:rPr>
          <w:rFonts w:ascii="Times New Roman" w:hAnsi="Times New Roman" w:cs="Times New Roman"/>
        </w:rPr>
        <w:t xml:space="preserve">, more commonly known as glycated chitosan (GC) (10mg/mL,1%), was provided by </w:t>
      </w:r>
      <w:proofErr w:type="spellStart"/>
      <w:r w:rsidRPr="006038F2">
        <w:rPr>
          <w:rFonts w:ascii="Times New Roman" w:hAnsi="Times New Roman" w:cs="Times New Roman"/>
        </w:rPr>
        <w:t>ImmunoPhotonics</w:t>
      </w:r>
      <w:proofErr w:type="spellEnd"/>
      <w:r w:rsidRPr="006038F2">
        <w:rPr>
          <w:rFonts w:ascii="Times New Roman" w:hAnsi="Times New Roman" w:cs="Times New Roman"/>
        </w:rPr>
        <w:t xml:space="preserve">, Inc. Female 8-week-old C57BL/6J mice were purchased from Jackson Laboratories. The Quick-RNA </w:t>
      </w:r>
      <w:proofErr w:type="spellStart"/>
      <w:r w:rsidRPr="006038F2">
        <w:rPr>
          <w:rFonts w:ascii="Times New Roman" w:hAnsi="Times New Roman" w:cs="Times New Roman"/>
        </w:rPr>
        <w:t>Microprep</w:t>
      </w:r>
      <w:proofErr w:type="spellEnd"/>
      <w:r w:rsidRPr="006038F2">
        <w:rPr>
          <w:rFonts w:ascii="Times New Roman" w:hAnsi="Times New Roman" w:cs="Times New Roman"/>
        </w:rPr>
        <w:t xml:space="preserve"> Kit was purchased from Zymo Research (Cat# R1051). The Omni Ruptor Elite homogenizer was borrowed from the Dr. John Clegg, here at the University of Oklahoma; Hard Tissue Homogenizing Ceramic Bead Filled Tubes were purchased from Omni International. RNAase Away Surface Decontaminant spray was purchased from </w:t>
      </w:r>
      <w:proofErr w:type="spellStart"/>
      <w:r w:rsidRPr="006038F2">
        <w:rPr>
          <w:rFonts w:ascii="Times New Roman" w:hAnsi="Times New Roman" w:cs="Times New Roman"/>
        </w:rPr>
        <w:t>Thermo</w:t>
      </w:r>
      <w:proofErr w:type="spellEnd"/>
      <w:r w:rsidRPr="006038F2">
        <w:rPr>
          <w:rFonts w:ascii="Times New Roman" w:hAnsi="Times New Roman" w:cs="Times New Roman"/>
        </w:rPr>
        <w:t xml:space="preserve"> Scientific.</w:t>
      </w:r>
    </w:p>
    <w:p w14:paraId="3E9C0DD9" w14:textId="77777777" w:rsidR="0003572A" w:rsidRPr="006038F2" w:rsidRDefault="0003572A" w:rsidP="009A2ADC">
      <w:pPr>
        <w:pStyle w:val="Heading2"/>
        <w:spacing w:line="480" w:lineRule="auto"/>
        <w:rPr>
          <w:rFonts w:ascii="Times New Roman" w:hAnsi="Times New Roman" w:cs="Times New Roman"/>
        </w:rPr>
      </w:pPr>
      <w:bookmarkStart w:id="64" w:name="_Toc172659164"/>
      <w:r w:rsidRPr="006038F2">
        <w:rPr>
          <w:rFonts w:ascii="Times New Roman" w:hAnsi="Times New Roman" w:cs="Times New Roman"/>
        </w:rPr>
        <w:lastRenderedPageBreak/>
        <w:t>3.3. Methods</w:t>
      </w:r>
      <w:bookmarkEnd w:id="64"/>
      <w:r w:rsidRPr="006038F2">
        <w:rPr>
          <w:rFonts w:ascii="Times New Roman" w:hAnsi="Times New Roman" w:cs="Times New Roman"/>
        </w:rPr>
        <w:t xml:space="preserve"> </w:t>
      </w:r>
    </w:p>
    <w:p w14:paraId="03CC0099" w14:textId="77777777" w:rsidR="0003572A" w:rsidRPr="006038F2" w:rsidRDefault="0003572A" w:rsidP="009A2ADC">
      <w:pPr>
        <w:pStyle w:val="Heading3"/>
        <w:spacing w:line="480" w:lineRule="auto"/>
        <w:rPr>
          <w:rFonts w:ascii="Times New Roman" w:hAnsi="Times New Roman" w:cs="Times New Roman"/>
        </w:rPr>
      </w:pPr>
      <w:bookmarkStart w:id="65" w:name="_Toc172659165"/>
      <w:bookmarkStart w:id="66" w:name="_Toc163479231"/>
      <w:r w:rsidRPr="006038F2">
        <w:rPr>
          <w:rFonts w:ascii="Times New Roman" w:hAnsi="Times New Roman" w:cs="Times New Roman"/>
        </w:rPr>
        <w:t>3.3.1. Intranasal vaccination</w:t>
      </w:r>
      <w:bookmarkEnd w:id="65"/>
    </w:p>
    <w:p w14:paraId="443F9AFD"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1% GC and PBS were combined in a 3:1 ratio, respectively. Due to GC’s viscosity, this dilution was performed to allow acquisition into the nasal cavity.</w:t>
      </w:r>
    </w:p>
    <w:p w14:paraId="5729B898" w14:textId="0E7F1EF0"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Mice were anesthetized using an isoflurane chamber; once under, they were put on their backs. A drop at a time, 10 µL of the GC/PBS mixture was added to each nostril by holding the pipette tip directly above the nostril but not touching. Mice were left on their backs under anesthesia for 5 minutes after application, or until the solution had been fully taken in–marked when the sound of uptake is no longer heard along with the mice’s </w:t>
      </w:r>
      <w:proofErr w:type="gramStart"/>
      <w:r w:rsidRPr="006038F2">
        <w:rPr>
          <w:rFonts w:ascii="Times New Roman" w:hAnsi="Times New Roman" w:cs="Times New Roman"/>
        </w:rPr>
        <w:t>breaths</w:t>
      </w:r>
      <w:proofErr w:type="gramEnd"/>
      <w:r w:rsidRPr="006038F2">
        <w:rPr>
          <w:rFonts w:ascii="Times New Roman" w:hAnsi="Times New Roman" w:cs="Times New Roman"/>
        </w:rPr>
        <w:t xml:space="preserve"> and none is seen on the outside of the nostril. (It is important to allow complete uptake under anesthesia so that the mice do not sneeze out the solution; it is important to keep them on their backs for gravity’s help in solution uptake.) (For picture-based reference and in-depth detailing, </w:t>
      </w:r>
      <w:sdt>
        <w:sdtPr>
          <w:rPr>
            <w:rFonts w:ascii="Times New Roman" w:hAnsi="Times New Roman" w:cs="Times New Roman"/>
          </w:rPr>
          <w:id w:val="-424033324"/>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Ago22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(Agostino, 2022)</w:t>
          </w:r>
          <w:r w:rsidRPr="006038F2">
            <w:rPr>
              <w:rFonts w:ascii="Times New Roman" w:hAnsi="Times New Roman" w:cs="Times New Roman"/>
            </w:rPr>
            <w:fldChar w:fldCharType="end"/>
          </w:r>
        </w:sdtContent>
      </w:sdt>
      <w:r w:rsidRPr="006038F2">
        <w:rPr>
          <w:rFonts w:ascii="Times New Roman" w:hAnsi="Times New Roman" w:cs="Times New Roman"/>
        </w:rPr>
        <w:t xml:space="preserve"> is particularly helpful.)</w:t>
      </w:r>
    </w:p>
    <w:p w14:paraId="769B9381" w14:textId="77777777" w:rsidR="0003572A" w:rsidRPr="006038F2" w:rsidRDefault="0003572A" w:rsidP="00C73575">
      <w:pPr>
        <w:pStyle w:val="Heading3"/>
        <w:spacing w:line="480" w:lineRule="auto"/>
        <w:rPr>
          <w:rFonts w:ascii="Times New Roman" w:hAnsi="Times New Roman" w:cs="Times New Roman"/>
        </w:rPr>
      </w:pPr>
      <w:bookmarkStart w:id="67" w:name="_Toc172659166"/>
      <w:r w:rsidRPr="006038F2">
        <w:rPr>
          <w:rFonts w:ascii="Times New Roman" w:hAnsi="Times New Roman" w:cs="Times New Roman"/>
        </w:rPr>
        <w:t xml:space="preserve">3.3.2. </w:t>
      </w:r>
      <w:bookmarkEnd w:id="66"/>
      <w:r w:rsidRPr="006038F2">
        <w:rPr>
          <w:rFonts w:ascii="Times New Roman" w:hAnsi="Times New Roman" w:cs="Times New Roman"/>
        </w:rPr>
        <w:t>NALT extraction</w:t>
      </w:r>
      <w:bookmarkEnd w:id="67"/>
    </w:p>
    <w:p w14:paraId="6E715A79" w14:textId="1FDFE137" w:rsidR="00C73575" w:rsidRPr="006038F2" w:rsidRDefault="00C73575" w:rsidP="00C73575">
      <w:pPr>
        <w:spacing w:line="480" w:lineRule="auto"/>
        <w:rPr>
          <w:rFonts w:ascii="Times New Roman" w:hAnsi="Times New Roman" w:cs="Times New Roman"/>
        </w:rPr>
      </w:pPr>
      <w:r w:rsidRPr="006038F2">
        <w:rPr>
          <w:rFonts w:ascii="Times New Roman" w:hAnsi="Times New Roman" w:cs="Times New Roman"/>
          <w:noProof/>
          <w14:ligatures w14:val="standardContextual"/>
        </w:rPr>
        <w:drawing>
          <wp:inline distT="0" distB="0" distL="0" distR="0" wp14:anchorId="6ACFB57F" wp14:editId="78E6EA67">
            <wp:extent cx="5943600" cy="1529080"/>
            <wp:effectExtent l="12700" t="12700" r="12700" b="7620"/>
            <wp:docPr id="16083401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40145" name="Picture 160834014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529080"/>
                    </a:xfrm>
                    <a:prstGeom prst="rect">
                      <a:avLst/>
                    </a:prstGeom>
                    <a:ln>
                      <a:solidFill>
                        <a:schemeClr val="tx1"/>
                      </a:solidFill>
                    </a:ln>
                  </pic:spPr>
                </pic:pic>
              </a:graphicData>
            </a:graphic>
          </wp:inline>
        </w:drawing>
      </w:r>
    </w:p>
    <w:p w14:paraId="21D0F487" w14:textId="41C56EDB" w:rsidR="00C73575" w:rsidRPr="006038F2" w:rsidRDefault="00861710" w:rsidP="00861710">
      <w:pPr>
        <w:pStyle w:val="Caption"/>
        <w:rPr>
          <w:rFonts w:ascii="Times New Roman" w:hAnsi="Times New Roman" w:cs="Times New Roman"/>
          <w:b/>
          <w:bCs/>
        </w:rPr>
      </w:pPr>
      <w:bookmarkStart w:id="68" w:name="_Toc172659212"/>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15</w:t>
      </w:r>
      <w:r w:rsidRPr="006038F2">
        <w:rPr>
          <w:rFonts w:ascii="Times New Roman" w:hAnsi="Times New Roman" w:cs="Times New Roman"/>
          <w:b/>
          <w:bCs/>
        </w:rPr>
        <w:fldChar w:fldCharType="end"/>
      </w:r>
      <w:r w:rsidRPr="006038F2">
        <w:rPr>
          <w:rFonts w:ascii="Times New Roman" w:hAnsi="Times New Roman" w:cs="Times New Roman"/>
          <w:b/>
          <w:bCs/>
        </w:rPr>
        <w:t xml:space="preserve">: Timeline for NALT RNA sequencing experiment. </w:t>
      </w:r>
      <w:r w:rsidRPr="006038F2">
        <w:rPr>
          <w:rFonts w:ascii="Times New Roman" w:hAnsi="Times New Roman" w:cs="Times New Roman"/>
        </w:rPr>
        <w:t xml:space="preserve">This figure shows the various events performed for the vaccination and NALT extraction in the RNA sequencing experiment, as plotted on a timeline (not a continuous interval width). Shown are </w:t>
      </w:r>
      <w:proofErr w:type="gramStart"/>
      <w:r w:rsidRPr="006038F2">
        <w:rPr>
          <w:rFonts w:ascii="Times New Roman" w:hAnsi="Times New Roman" w:cs="Times New Roman"/>
        </w:rPr>
        <w:t>the  vaccination</w:t>
      </w:r>
      <w:proofErr w:type="gramEnd"/>
      <w:r w:rsidRPr="006038F2">
        <w:rPr>
          <w:rFonts w:ascii="Times New Roman" w:hAnsi="Times New Roman" w:cs="Times New Roman"/>
        </w:rPr>
        <w:t xml:space="preserve"> and </w:t>
      </w:r>
      <w:r w:rsidR="00A858FD" w:rsidRPr="006038F2">
        <w:rPr>
          <w:rFonts w:ascii="Times New Roman" w:hAnsi="Times New Roman" w:cs="Times New Roman"/>
        </w:rPr>
        <w:t>multiple group-based harvesting time points</w:t>
      </w:r>
      <w:r w:rsidRPr="006038F2">
        <w:rPr>
          <w:rFonts w:ascii="Times New Roman" w:hAnsi="Times New Roman" w:cs="Times New Roman"/>
        </w:rPr>
        <w:t>.</w:t>
      </w:r>
      <w:bookmarkEnd w:id="68"/>
    </w:p>
    <w:p w14:paraId="4976B878" w14:textId="57B88CCF" w:rsidR="0003572A" w:rsidRPr="006038F2" w:rsidRDefault="0003572A" w:rsidP="00C73575">
      <w:pPr>
        <w:spacing w:line="480" w:lineRule="auto"/>
        <w:rPr>
          <w:rFonts w:ascii="Times New Roman" w:hAnsi="Times New Roman" w:cs="Times New Roman"/>
        </w:rPr>
      </w:pPr>
      <w:r w:rsidRPr="006038F2">
        <w:rPr>
          <w:rFonts w:ascii="Times New Roman" w:hAnsi="Times New Roman" w:cs="Times New Roman"/>
        </w:rPr>
        <w:tab/>
        <w:t xml:space="preserve">At time points of 24-, 48-, and 72-hours post-GC administration, mice were euthanized and NALT extraction performed. The euthanized mouse was placed on its back, and pins were </w:t>
      </w:r>
      <w:r w:rsidRPr="006038F2">
        <w:rPr>
          <w:rFonts w:ascii="Times New Roman" w:hAnsi="Times New Roman" w:cs="Times New Roman"/>
        </w:rPr>
        <w:lastRenderedPageBreak/>
        <w:t xml:space="preserve">used in the four feet and at the tip of the nose to secure the specimen. The jaw was cut open on both sides, removing the lower mandible, and excess blood was washed and wiped away with cold PBS and sterile cloth. A scalpel was run along all sides of the palette on the top mandible to detach it. The tissue piece was then gripped at the top with forceps and gently lifted off by pulling in the opposite direction of the nose, avoiding tearing (scalpel was sometimes further required to cut any tissue connections underneath the palette). The NALT was then washed twice in a well of a plate filled with PBS, swishing around gently to get rid of excess blood, hair, or other contaminating elements. The tissue piece was then transferred to a 2mL bead-beating tube for the homogenization step. (More detailed protocols for this surgery can be found in the literature </w:t>
      </w:r>
      <w:sdt>
        <w:sdtPr>
          <w:rPr>
            <w:rFonts w:ascii="Times New Roman" w:hAnsi="Times New Roman" w:cs="Times New Roman"/>
          </w:rPr>
          <w:id w:val="2132440796"/>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JoV12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(JoVE Journal, 2012)</w:t>
          </w:r>
          <w:r w:rsidRPr="006038F2">
            <w:rPr>
              <w:rFonts w:ascii="Times New Roman" w:hAnsi="Times New Roman" w:cs="Times New Roman"/>
            </w:rPr>
            <w:fldChar w:fldCharType="end"/>
          </w:r>
        </w:sdtContent>
      </w:sdt>
      <w:r w:rsidRPr="006038F2">
        <w:rPr>
          <w:rFonts w:ascii="Times New Roman" w:hAnsi="Times New Roman" w:cs="Times New Roman"/>
        </w:rPr>
        <w:t xml:space="preserve"> </w:t>
      </w:r>
      <w:sdt>
        <w:sdtPr>
          <w:rPr>
            <w:rFonts w:ascii="Times New Roman" w:hAnsi="Times New Roman" w:cs="Times New Roman"/>
          </w:rPr>
          <w:id w:val="218258787"/>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ANa14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(A Nacer, 2014)</w:t>
          </w:r>
          <w:r w:rsidRPr="006038F2">
            <w:rPr>
              <w:rFonts w:ascii="Times New Roman" w:hAnsi="Times New Roman" w:cs="Times New Roman"/>
            </w:rPr>
            <w:fldChar w:fldCharType="end"/>
          </w:r>
        </w:sdtContent>
      </w:sdt>
      <w:r w:rsidRPr="006038F2">
        <w:rPr>
          <w:rFonts w:ascii="Times New Roman" w:hAnsi="Times New Roman" w:cs="Times New Roman"/>
        </w:rPr>
        <w:t>.)</w:t>
      </w:r>
    </w:p>
    <w:p w14:paraId="6A8FB021" w14:textId="77777777" w:rsidR="0003572A" w:rsidRPr="006038F2" w:rsidRDefault="0003572A" w:rsidP="009A2ADC">
      <w:pPr>
        <w:spacing w:line="480" w:lineRule="auto"/>
        <w:rPr>
          <w:rFonts w:ascii="Times New Roman" w:hAnsi="Times New Roman" w:cs="Times New Roman"/>
        </w:rPr>
      </w:pPr>
      <w:r w:rsidRPr="006038F2">
        <w:rPr>
          <w:rFonts w:ascii="Times New Roman" w:hAnsi="Times New Roman" w:cs="Times New Roman"/>
        </w:rPr>
        <w:tab/>
        <w:t xml:space="preserve">All surgical tools, workspace, and hands were thoroughly cleaned with RNAase Away spray and ethanol in between subjects. Proper PPE, including a mask and hair net to ensure no downfall of DNA contamination from the person to the sample, were worn at all times. </w:t>
      </w:r>
    </w:p>
    <w:p w14:paraId="2564C858" w14:textId="77777777" w:rsidR="0003572A" w:rsidRPr="006038F2" w:rsidRDefault="0003572A" w:rsidP="009A2ADC">
      <w:pPr>
        <w:pStyle w:val="Heading3"/>
        <w:spacing w:line="480" w:lineRule="auto"/>
        <w:rPr>
          <w:rFonts w:ascii="Times New Roman" w:hAnsi="Times New Roman" w:cs="Times New Roman"/>
        </w:rPr>
      </w:pPr>
      <w:bookmarkStart w:id="69" w:name="_Toc172659167"/>
      <w:r w:rsidRPr="006038F2">
        <w:rPr>
          <w:rFonts w:ascii="Times New Roman" w:hAnsi="Times New Roman" w:cs="Times New Roman"/>
        </w:rPr>
        <w:t>3.3.3. RNA extraction and preparation</w:t>
      </w:r>
      <w:bookmarkEnd w:id="69"/>
    </w:p>
    <w:p w14:paraId="26669018"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The bead-beating tube containing Lysis Buffer and the NALT, was then put through 4 15 second running intervals on medium speed, or until no large tissue pieces were visible within the tube.</w:t>
      </w:r>
    </w:p>
    <w:p w14:paraId="47B29E11"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RNA preparation from the extracted NALT tissue was performed using the Zymo prep kit and conducted according to the manufacturer’s instructions, as given in the manual. </w:t>
      </w:r>
    </w:p>
    <w:p w14:paraId="2A66D89B" w14:textId="77777777" w:rsidR="0003572A" w:rsidRPr="006038F2" w:rsidRDefault="0003572A" w:rsidP="009A2ADC">
      <w:pPr>
        <w:pStyle w:val="Heading3"/>
        <w:spacing w:line="480" w:lineRule="auto"/>
        <w:rPr>
          <w:rFonts w:ascii="Times New Roman" w:hAnsi="Times New Roman" w:cs="Times New Roman"/>
        </w:rPr>
      </w:pPr>
      <w:bookmarkStart w:id="70" w:name="_Toc172659168"/>
      <w:r w:rsidRPr="006038F2">
        <w:rPr>
          <w:rFonts w:ascii="Times New Roman" w:hAnsi="Times New Roman" w:cs="Times New Roman"/>
        </w:rPr>
        <w:lastRenderedPageBreak/>
        <w:t>3.3.4. RNA processing and sequencing</w:t>
      </w:r>
      <w:bookmarkEnd w:id="70"/>
      <w:r w:rsidRPr="006038F2">
        <w:rPr>
          <w:rFonts w:ascii="Times New Roman" w:hAnsi="Times New Roman" w:cs="Times New Roman"/>
        </w:rPr>
        <w:t xml:space="preserve"> </w:t>
      </w:r>
    </w:p>
    <w:p w14:paraId="46907166"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For sequencing, RNA preparation and sequencing service were performed by the OUHSC Genomics Lab, with library preparation and sequencing performed on the NextSeq 2000 machine from Illumina. Further explanation of this process can be found in Appendix B.</w:t>
      </w:r>
    </w:p>
    <w:p w14:paraId="2E5B2DA6" w14:textId="77777777" w:rsidR="0003572A" w:rsidRPr="006038F2" w:rsidRDefault="0003572A" w:rsidP="009A2ADC">
      <w:pPr>
        <w:pStyle w:val="Heading3"/>
        <w:spacing w:line="480" w:lineRule="auto"/>
        <w:rPr>
          <w:rFonts w:ascii="Times New Roman" w:hAnsi="Times New Roman" w:cs="Times New Roman"/>
        </w:rPr>
      </w:pPr>
      <w:bookmarkStart w:id="71" w:name="_Toc172659169"/>
      <w:r w:rsidRPr="006038F2">
        <w:rPr>
          <w:rFonts w:ascii="Times New Roman" w:hAnsi="Times New Roman" w:cs="Times New Roman"/>
        </w:rPr>
        <w:t>3.3.5 Previous study’s BMDC culture and stimulation</w:t>
      </w:r>
      <w:bookmarkEnd w:id="71"/>
    </w:p>
    <w:p w14:paraId="5663CFF4" w14:textId="63A908FC" w:rsidR="0003572A" w:rsidRPr="006038F2" w:rsidRDefault="0003572A" w:rsidP="009A2ADC">
      <w:pPr>
        <w:spacing w:line="480" w:lineRule="auto"/>
        <w:rPr>
          <w:rFonts w:ascii="Times New Roman" w:hAnsi="Times New Roman" w:cs="Times New Roman"/>
        </w:rPr>
      </w:pPr>
      <w:r w:rsidRPr="006038F2">
        <w:rPr>
          <w:rFonts w:ascii="Times New Roman" w:hAnsi="Times New Roman" w:cs="Times New Roman"/>
        </w:rPr>
        <w:tab/>
      </w:r>
      <w:r w:rsidRPr="006038F2">
        <w:rPr>
          <w:rFonts w:ascii="Times New Roman" w:hAnsi="Times New Roman" w:cs="Times New Roman"/>
          <w:lang w:eastAsia="en-US"/>
        </w:rPr>
        <w:t xml:space="preserve">BMDCs underwent a 24-hour stimulation with GC then were harvested and stained (with BV510, CD11b, APC-Cy7, and CD11c FITC). Live cells positive for the markers were then isolated using FACS sorting and put through an RNA isolation protocol using the Zymo kit mentioned in the Materials section. Further information about sequencing and bioinformatics specifics can be found in Appendix B </w:t>
      </w:r>
      <w:sdt>
        <w:sdtPr>
          <w:rPr>
            <w:rFonts w:ascii="Times New Roman" w:hAnsi="Times New Roman" w:cs="Times New Roman"/>
            <w:lang w:eastAsia="en-US"/>
          </w:rPr>
          <w:id w:val="1448345360"/>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Hoo22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(Hoover, 2022)</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w:t>
      </w:r>
    </w:p>
    <w:p w14:paraId="4E2DAD10" w14:textId="77777777" w:rsidR="0003572A" w:rsidRPr="006038F2" w:rsidRDefault="0003572A" w:rsidP="009A2ADC">
      <w:pPr>
        <w:pStyle w:val="Heading2"/>
        <w:spacing w:line="480" w:lineRule="auto"/>
        <w:rPr>
          <w:rFonts w:ascii="Times New Roman" w:hAnsi="Times New Roman" w:cs="Times New Roman"/>
        </w:rPr>
      </w:pPr>
      <w:bookmarkStart w:id="72" w:name="_Toc172659170"/>
      <w:r w:rsidRPr="006038F2">
        <w:rPr>
          <w:rFonts w:ascii="Times New Roman" w:hAnsi="Times New Roman" w:cs="Times New Roman"/>
        </w:rPr>
        <w:lastRenderedPageBreak/>
        <w:t>3.4. Results</w:t>
      </w:r>
      <w:bookmarkEnd w:id="72"/>
      <w:r w:rsidRPr="006038F2">
        <w:rPr>
          <w:rFonts w:ascii="Times New Roman" w:hAnsi="Times New Roman" w:cs="Times New Roman"/>
        </w:rPr>
        <w:t xml:space="preserve"> </w:t>
      </w:r>
    </w:p>
    <w:p w14:paraId="49552E75" w14:textId="77777777" w:rsidR="0003572A" w:rsidRPr="006038F2" w:rsidRDefault="0003572A" w:rsidP="009A2ADC">
      <w:pPr>
        <w:pStyle w:val="Heading3"/>
        <w:spacing w:line="480" w:lineRule="auto"/>
        <w:rPr>
          <w:rFonts w:ascii="Times New Roman" w:hAnsi="Times New Roman" w:cs="Times New Roman"/>
        </w:rPr>
      </w:pPr>
      <w:bookmarkStart w:id="73" w:name="_Toc172659171"/>
      <w:r w:rsidRPr="006038F2">
        <w:rPr>
          <w:rFonts w:ascii="Times New Roman" w:hAnsi="Times New Roman" w:cs="Times New Roman"/>
        </w:rPr>
        <w:t>3.4.1 Study basis</w:t>
      </w:r>
      <w:bookmarkEnd w:id="73"/>
    </w:p>
    <w:p w14:paraId="63E40AB4" w14:textId="77777777" w:rsidR="0003572A" w:rsidRPr="006038F2" w:rsidRDefault="0003572A" w:rsidP="00C17B2B">
      <w:pPr>
        <w:spacing w:line="480" w:lineRule="auto"/>
        <w:jc w:val="center"/>
        <w:rPr>
          <w:rFonts w:ascii="Times New Roman" w:hAnsi="Times New Roman" w:cs="Times New Roman"/>
          <w:lang w:eastAsia="en-US"/>
        </w:rPr>
      </w:pPr>
      <w:r w:rsidRPr="006038F2">
        <w:rPr>
          <w:rFonts w:ascii="Times New Roman" w:hAnsi="Times New Roman" w:cs="Times New Roman"/>
          <w:noProof/>
        </w:rPr>
        <w:drawing>
          <wp:inline distT="0" distB="0" distL="0" distR="0" wp14:anchorId="7633F454" wp14:editId="561EF071">
            <wp:extent cx="5911702" cy="5607758"/>
            <wp:effectExtent l="12700" t="12700" r="6985" b="18415"/>
            <wp:docPr id="152847697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476971" name="Picture 1" descr="A screenshot of a graph&#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57933" cy="5651612"/>
                    </a:xfrm>
                    <a:prstGeom prst="rect">
                      <a:avLst/>
                    </a:prstGeom>
                    <a:ln>
                      <a:solidFill>
                        <a:schemeClr val="tx1"/>
                      </a:solidFill>
                    </a:ln>
                  </pic:spPr>
                </pic:pic>
              </a:graphicData>
            </a:graphic>
          </wp:inline>
        </w:drawing>
      </w:r>
    </w:p>
    <w:p w14:paraId="3E7B912E" w14:textId="38DDCDFC" w:rsidR="0003572A" w:rsidRPr="006038F2" w:rsidRDefault="0003572A" w:rsidP="009A2ADC">
      <w:pPr>
        <w:pStyle w:val="Caption"/>
        <w:spacing w:line="480" w:lineRule="auto"/>
        <w:rPr>
          <w:rFonts w:ascii="Times New Roman" w:hAnsi="Times New Roman" w:cs="Times New Roman"/>
        </w:rPr>
      </w:pPr>
      <w:bookmarkStart w:id="74" w:name="_Ref170812035"/>
      <w:bookmarkStart w:id="75" w:name="_Toc172659213"/>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16</w:t>
      </w:r>
      <w:r w:rsidRPr="006038F2">
        <w:rPr>
          <w:rFonts w:ascii="Times New Roman" w:hAnsi="Times New Roman" w:cs="Times New Roman"/>
          <w:b/>
          <w:bCs/>
        </w:rPr>
        <w:fldChar w:fldCharType="end"/>
      </w:r>
      <w:bookmarkEnd w:id="74"/>
      <w:r w:rsidRPr="006038F2">
        <w:rPr>
          <w:rFonts w:ascii="Times New Roman" w:hAnsi="Times New Roman" w:cs="Times New Roman"/>
          <w:b/>
          <w:bCs/>
        </w:rPr>
        <w:t xml:space="preserve">: Gene Differential Expression of wild-type BMDCs GC-stimulated vs Unstimulated. </w:t>
      </w:r>
      <w:r w:rsidRPr="006038F2">
        <w:rPr>
          <w:rFonts w:ascii="Times New Roman" w:hAnsi="Times New Roman" w:cs="Times New Roman"/>
        </w:rPr>
        <w:t xml:space="preserve">Heatmap illustrating comparisons between treatment groups in gene expression variability counts. Results were generated from RNA sequencing data from BMDCs stimulated for 24 hours before being stained, sorted, and isolated for RNA content. Highlighted is the comparison in wild-type mice between unstimulated and GC treated groups. (These results are from a previously run experiment in the lab, which I am using for reference purposes.) </w:t>
      </w:r>
      <w:sdt>
        <w:sdtPr>
          <w:rPr>
            <w:rFonts w:ascii="Times New Roman" w:hAnsi="Times New Roman" w:cs="Times New Roman"/>
          </w:rPr>
          <w:id w:val="-38549676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Hoo22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(Hoover, 2022)</w:t>
          </w:r>
          <w:r w:rsidRPr="006038F2">
            <w:rPr>
              <w:rFonts w:ascii="Times New Roman" w:hAnsi="Times New Roman" w:cs="Times New Roman"/>
            </w:rPr>
            <w:fldChar w:fldCharType="end"/>
          </w:r>
        </w:sdtContent>
      </w:sdt>
      <w:bookmarkEnd w:id="75"/>
    </w:p>
    <w:p w14:paraId="257D59DE" w14:textId="3708E1A6" w:rsidR="0003572A" w:rsidRPr="006038F2" w:rsidRDefault="0003572A" w:rsidP="009A2ADC">
      <w:pPr>
        <w:spacing w:line="480" w:lineRule="auto"/>
        <w:rPr>
          <w:rFonts w:ascii="Times New Roman" w:hAnsi="Times New Roman" w:cs="Times New Roman"/>
        </w:rPr>
      </w:pPr>
      <w:r w:rsidRPr="006038F2">
        <w:rPr>
          <w:rFonts w:ascii="Times New Roman" w:hAnsi="Times New Roman" w:cs="Times New Roman"/>
        </w:rPr>
        <w:lastRenderedPageBreak/>
        <w:tab/>
      </w:r>
      <w:r w:rsidRPr="006038F2">
        <w:rPr>
          <w:rFonts w:ascii="Times New Roman" w:hAnsi="Times New Roman" w:cs="Times New Roman"/>
        </w:rPr>
        <w:fldChar w:fldCharType="begin"/>
      </w:r>
      <w:r w:rsidRPr="006038F2">
        <w:rPr>
          <w:rFonts w:ascii="Times New Roman" w:hAnsi="Times New Roman" w:cs="Times New Roman"/>
        </w:rPr>
        <w:instrText xml:space="preserve"> REF _Ref170812035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5</w:t>
      </w:r>
      <w:r w:rsidRPr="006038F2">
        <w:rPr>
          <w:rFonts w:ascii="Times New Roman" w:hAnsi="Times New Roman" w:cs="Times New Roman"/>
        </w:rPr>
        <w:fldChar w:fldCharType="end"/>
      </w:r>
      <w:r w:rsidRPr="006038F2">
        <w:rPr>
          <w:rFonts w:ascii="Times New Roman" w:hAnsi="Times New Roman" w:cs="Times New Roman"/>
        </w:rPr>
        <w:t xml:space="preserve"> shows a trend of differential gene expression upon GC administration in BMDCs, found in a study performed previously in the lab. The protocol for BMDC treatment can be fou</w:t>
      </w:r>
      <w:r w:rsidR="009A1895" w:rsidRPr="006038F2">
        <w:rPr>
          <w:rFonts w:ascii="Times New Roman" w:hAnsi="Times New Roman" w:cs="Times New Roman"/>
        </w:rPr>
        <w:t>n</w:t>
      </w:r>
      <w:r w:rsidRPr="006038F2">
        <w:rPr>
          <w:rFonts w:ascii="Times New Roman" w:hAnsi="Times New Roman" w:cs="Times New Roman"/>
        </w:rPr>
        <w:t xml:space="preserve">d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_Ref171100777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rPr>
        <w:t>Appendix B: Previous RNA Sequencing</w:t>
      </w:r>
      <w:r w:rsidRPr="006038F2">
        <w:rPr>
          <w:rFonts w:ascii="Times New Roman" w:hAnsi="Times New Roman" w:cs="Times New Roman"/>
        </w:rPr>
        <w:fldChar w:fldCharType="end"/>
      </w:r>
      <w:r w:rsidRPr="006038F2">
        <w:rPr>
          <w:rFonts w:ascii="Times New Roman" w:hAnsi="Times New Roman" w:cs="Times New Roman"/>
        </w:rPr>
        <w:t xml:space="preserve">. This study was used as the basis and inspiration for the current study’s efforts, and as a guideline for what results should show. In the figure, the two boxes indicate the two test groups using wild-type mice BMDC’s, one group unstimulated and the other stimulated with GC. It shows a clear difference in gene expression in the BMDCs upon GC stimulation. </w:t>
      </w:r>
    </w:p>
    <w:p w14:paraId="54ED706A" w14:textId="77777777" w:rsidR="0003572A" w:rsidRPr="006038F2" w:rsidRDefault="0003572A" w:rsidP="009A2ADC">
      <w:pPr>
        <w:pStyle w:val="Heading3"/>
        <w:spacing w:line="480" w:lineRule="auto"/>
        <w:rPr>
          <w:rFonts w:ascii="Times New Roman" w:hAnsi="Times New Roman" w:cs="Times New Roman"/>
        </w:rPr>
      </w:pPr>
      <w:bookmarkStart w:id="76" w:name="_Toc172659172"/>
      <w:r w:rsidRPr="006038F2">
        <w:rPr>
          <w:rFonts w:ascii="Times New Roman" w:hAnsi="Times New Roman" w:cs="Times New Roman"/>
        </w:rPr>
        <w:t>3.4.2 Current results versus previous results</w:t>
      </w:r>
      <w:bookmarkEnd w:id="76"/>
    </w:p>
    <w:p w14:paraId="33FE7963" w14:textId="77777777" w:rsidR="0003572A" w:rsidRPr="006038F2" w:rsidRDefault="0003572A" w:rsidP="006D33DA">
      <w:pPr>
        <w:spacing w:line="480" w:lineRule="auto"/>
        <w:jc w:val="center"/>
        <w:rPr>
          <w:rFonts w:ascii="Times New Roman" w:hAnsi="Times New Roman" w:cs="Times New Roman"/>
          <w:lang w:eastAsia="en-US"/>
        </w:rPr>
      </w:pPr>
      <w:r w:rsidRPr="006038F2">
        <w:rPr>
          <w:rFonts w:ascii="Times New Roman" w:hAnsi="Times New Roman" w:cs="Times New Roman"/>
          <w:b/>
          <w:bCs/>
          <w:noProof/>
        </w:rPr>
        <w:drawing>
          <wp:inline distT="0" distB="0" distL="0" distR="0" wp14:anchorId="7328534C" wp14:editId="6661B20A">
            <wp:extent cx="5943600" cy="2004695"/>
            <wp:effectExtent l="12700" t="12700" r="12700" b="14605"/>
            <wp:docPr id="1166627219" name="Picture 3" descr="A blue and white grid with white text&#10;&#10;Description automatically generated">
              <a:extLst xmlns:a="http://schemas.openxmlformats.org/drawingml/2006/main">
                <a:ext uri="{FF2B5EF4-FFF2-40B4-BE49-F238E27FC236}">
                  <a16:creationId xmlns:a16="http://schemas.microsoft.com/office/drawing/2014/main" id="{19AE1BA0-CFA1-4253-93F6-5B96F37FCF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blue and white grid with white text&#10;&#10;Description automatically generated">
                      <a:extLst>
                        <a:ext uri="{FF2B5EF4-FFF2-40B4-BE49-F238E27FC236}">
                          <a16:creationId xmlns:a16="http://schemas.microsoft.com/office/drawing/2014/main" id="{19AE1BA0-CFA1-4253-93F6-5B96F37FCF17}"/>
                        </a:ext>
                      </a:extLst>
                    </pic:cNvPr>
                    <pic:cNvPicPr>
                      <a:picLocks noChangeAspect="1"/>
                    </pic:cNvPicPr>
                  </pic:nvPicPr>
                  <pic:blipFill>
                    <a:blip r:embed="rId26"/>
                    <a:stretch>
                      <a:fillRect/>
                    </a:stretch>
                  </pic:blipFill>
                  <pic:spPr>
                    <a:xfrm>
                      <a:off x="0" y="0"/>
                      <a:ext cx="5943600" cy="2004695"/>
                    </a:xfrm>
                    <a:prstGeom prst="rect">
                      <a:avLst/>
                    </a:prstGeom>
                    <a:ln>
                      <a:solidFill>
                        <a:schemeClr val="tx1"/>
                      </a:solidFill>
                    </a:ln>
                  </pic:spPr>
                </pic:pic>
              </a:graphicData>
            </a:graphic>
          </wp:inline>
        </w:drawing>
      </w:r>
    </w:p>
    <w:p w14:paraId="05D84CBB" w14:textId="6F7E3614" w:rsidR="0003572A" w:rsidRPr="006038F2" w:rsidRDefault="0003572A" w:rsidP="00C96381">
      <w:pPr>
        <w:pStyle w:val="Caption"/>
        <w:spacing w:line="480" w:lineRule="auto"/>
        <w:rPr>
          <w:rFonts w:ascii="Times New Roman" w:hAnsi="Times New Roman" w:cs="Times New Roman"/>
        </w:rPr>
      </w:pPr>
      <w:bookmarkStart w:id="77" w:name="_Ref170827263"/>
      <w:bookmarkStart w:id="78" w:name="_Toc172659214"/>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17</w:t>
      </w:r>
      <w:r w:rsidRPr="006038F2">
        <w:rPr>
          <w:rFonts w:ascii="Times New Roman" w:hAnsi="Times New Roman" w:cs="Times New Roman"/>
          <w:b/>
          <w:bCs/>
        </w:rPr>
        <w:fldChar w:fldCharType="end"/>
      </w:r>
      <w:bookmarkEnd w:id="77"/>
      <w:r w:rsidRPr="006038F2">
        <w:rPr>
          <w:rFonts w:ascii="Times New Roman" w:hAnsi="Times New Roman" w:cs="Times New Roman"/>
          <w:b/>
          <w:bCs/>
        </w:rPr>
        <w:t xml:space="preserve">: Previous experiment's distance heat map. </w:t>
      </w:r>
      <w:r w:rsidRPr="006038F2">
        <w:rPr>
          <w:rFonts w:ascii="Times New Roman" w:hAnsi="Times New Roman" w:cs="Times New Roman"/>
        </w:rPr>
        <w:t xml:space="preserve">Heat maps for distance data of RNA samples generated from RNA sequencing data from BMDCs that were stimulated for 24 hours before being stained, sorted, and isolated. Different test groups are classified under two variables: genotype (STING knockout vs WT) and treatment (unstimulated vs GC stimulated). (These results are from a previously run experiment in the lab, which I am using for comparison purposes. Methods for this can be found in Appendix B.) A higher divergence in expression profiles is indicated by a larger distance. </w:t>
      </w:r>
      <w:sdt>
        <w:sdtPr>
          <w:rPr>
            <w:rFonts w:ascii="Times New Roman" w:hAnsi="Times New Roman" w:cs="Times New Roman"/>
          </w:rPr>
          <w:id w:val="94681412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Hoo22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(Hoover, 2022)</w:t>
          </w:r>
          <w:r w:rsidRPr="006038F2">
            <w:rPr>
              <w:rFonts w:ascii="Times New Roman" w:hAnsi="Times New Roman" w:cs="Times New Roman"/>
            </w:rPr>
            <w:fldChar w:fldCharType="end"/>
          </w:r>
        </w:sdtContent>
      </w:sdt>
      <w:bookmarkEnd w:id="78"/>
    </w:p>
    <w:p w14:paraId="5604649E" w14:textId="77777777" w:rsidR="0003572A" w:rsidRPr="006038F2" w:rsidRDefault="0003572A" w:rsidP="006D33DA">
      <w:pPr>
        <w:spacing w:line="480" w:lineRule="auto"/>
        <w:jc w:val="center"/>
        <w:rPr>
          <w:rFonts w:ascii="Times New Roman" w:hAnsi="Times New Roman" w:cs="Times New Roman"/>
          <w:b/>
          <w:bCs/>
          <w:lang w:eastAsia="en-US"/>
        </w:rPr>
      </w:pPr>
      <w:r w:rsidRPr="006038F2">
        <w:rPr>
          <w:rFonts w:ascii="Times New Roman" w:hAnsi="Times New Roman" w:cs="Times New Roman"/>
          <w:noProof/>
        </w:rPr>
        <w:lastRenderedPageBreak/>
        <w:drawing>
          <wp:inline distT="0" distB="0" distL="0" distR="0" wp14:anchorId="2EC3FE12" wp14:editId="671F0BC6">
            <wp:extent cx="5943600" cy="2007235"/>
            <wp:effectExtent l="12700" t="12700" r="12700" b="12065"/>
            <wp:docPr id="9731167" name="Picture 1"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1167" name="Picture 1" descr="A diagram of a graph&#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2007235"/>
                    </a:xfrm>
                    <a:prstGeom prst="rect">
                      <a:avLst/>
                    </a:prstGeom>
                    <a:ln>
                      <a:solidFill>
                        <a:schemeClr val="tx1"/>
                      </a:solidFill>
                    </a:ln>
                  </pic:spPr>
                </pic:pic>
              </a:graphicData>
            </a:graphic>
          </wp:inline>
        </w:drawing>
      </w:r>
    </w:p>
    <w:p w14:paraId="4A77191F" w14:textId="1A9C0BD2" w:rsidR="0003572A" w:rsidRPr="006038F2" w:rsidRDefault="0003572A" w:rsidP="00C96381">
      <w:pPr>
        <w:pStyle w:val="Caption"/>
        <w:spacing w:line="480" w:lineRule="auto"/>
        <w:rPr>
          <w:rFonts w:ascii="Times New Roman" w:hAnsi="Times New Roman" w:cs="Times New Roman"/>
        </w:rPr>
      </w:pPr>
      <w:bookmarkStart w:id="79" w:name="_Ref170827279"/>
      <w:bookmarkStart w:id="80" w:name="_Toc172659215"/>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18</w:t>
      </w:r>
      <w:r w:rsidRPr="006038F2">
        <w:rPr>
          <w:rFonts w:ascii="Times New Roman" w:hAnsi="Times New Roman" w:cs="Times New Roman"/>
          <w:b/>
          <w:bCs/>
        </w:rPr>
        <w:fldChar w:fldCharType="end"/>
      </w:r>
      <w:bookmarkEnd w:id="79"/>
      <w:r w:rsidRPr="006038F2">
        <w:rPr>
          <w:rFonts w:ascii="Times New Roman" w:hAnsi="Times New Roman" w:cs="Times New Roman"/>
          <w:b/>
          <w:bCs/>
        </w:rPr>
        <w:t xml:space="preserve">: Current experiment's distance heat map. </w:t>
      </w:r>
      <w:r w:rsidRPr="006038F2">
        <w:rPr>
          <w:rFonts w:ascii="Times New Roman" w:hAnsi="Times New Roman" w:cs="Times New Roman"/>
        </w:rPr>
        <w:t>Heat maps for distance data of RNA samples generated from RNA sequencing data from homogenized NALT following intranasal vaccination. Samples names provide vaccination solution in letters (vaccination with GC or with PBS) then time point post-vaccination of tissue collection in numbers (24h, 48h, or 72h) then sample number (mouse 1, 2, or 3 for the respective group). A higher divergence in expression profiles is indicated by a larger distance.</w:t>
      </w:r>
      <w:bookmarkEnd w:id="80"/>
    </w:p>
    <w:p w14:paraId="560B87D0" w14:textId="77777777" w:rsidR="0003572A" w:rsidRPr="006038F2" w:rsidRDefault="0003572A" w:rsidP="006D33DA">
      <w:pPr>
        <w:spacing w:line="480" w:lineRule="auto"/>
        <w:jc w:val="center"/>
        <w:rPr>
          <w:rFonts w:ascii="Times New Roman" w:hAnsi="Times New Roman" w:cs="Times New Roman"/>
          <w:lang w:eastAsia="en-US"/>
        </w:rPr>
      </w:pPr>
      <w:r w:rsidRPr="006038F2">
        <w:rPr>
          <w:rFonts w:ascii="Times New Roman" w:hAnsi="Times New Roman" w:cs="Times New Roman"/>
          <w:noProof/>
        </w:rPr>
        <w:drawing>
          <wp:inline distT="0" distB="0" distL="0" distR="0" wp14:anchorId="2B14235C" wp14:editId="65571782">
            <wp:extent cx="5942336" cy="2239107"/>
            <wp:effectExtent l="12700" t="12700" r="13970" b="8890"/>
            <wp:docPr id="11" name="Picture 10" descr="A screenshot of a graph&#10;&#10;Description automatically generated">
              <a:extLst xmlns:a="http://schemas.openxmlformats.org/drawingml/2006/main">
                <a:ext uri="{FF2B5EF4-FFF2-40B4-BE49-F238E27FC236}">
                  <a16:creationId xmlns:a16="http://schemas.microsoft.com/office/drawing/2014/main" id="{27102138-E0D3-42F7-A8B7-BF00B8405D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screenshot of a graph&#10;&#10;Description automatically generated">
                      <a:extLst>
                        <a:ext uri="{FF2B5EF4-FFF2-40B4-BE49-F238E27FC236}">
                          <a16:creationId xmlns:a16="http://schemas.microsoft.com/office/drawing/2014/main" id="{27102138-E0D3-42F7-A8B7-BF00B8405D76}"/>
                        </a:ext>
                      </a:extLst>
                    </pic:cNvPr>
                    <pic:cNvPicPr>
                      <a:picLocks noChangeAspect="1"/>
                    </pic:cNvPicPr>
                  </pic:nvPicPr>
                  <pic:blipFill rotWithShape="1">
                    <a:blip r:embed="rId28"/>
                    <a:srcRect t="17536" b="15463"/>
                    <a:stretch/>
                  </pic:blipFill>
                  <pic:spPr bwMode="auto">
                    <a:xfrm>
                      <a:off x="0" y="0"/>
                      <a:ext cx="5943600" cy="223958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3661BCB" w14:textId="4016B678" w:rsidR="0003572A" w:rsidRPr="006038F2" w:rsidRDefault="0003572A" w:rsidP="009A2ADC">
      <w:pPr>
        <w:pStyle w:val="Caption"/>
        <w:spacing w:line="480" w:lineRule="auto"/>
        <w:rPr>
          <w:rFonts w:ascii="Times New Roman" w:hAnsi="Times New Roman" w:cs="Times New Roman"/>
        </w:rPr>
      </w:pPr>
      <w:bookmarkStart w:id="81" w:name="_Ref170827272"/>
      <w:bookmarkStart w:id="82" w:name="_Toc172659216"/>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19</w:t>
      </w:r>
      <w:r w:rsidRPr="006038F2">
        <w:rPr>
          <w:rFonts w:ascii="Times New Roman" w:hAnsi="Times New Roman" w:cs="Times New Roman"/>
          <w:b/>
          <w:bCs/>
        </w:rPr>
        <w:fldChar w:fldCharType="end"/>
      </w:r>
      <w:bookmarkEnd w:id="81"/>
      <w:r w:rsidRPr="006038F2">
        <w:rPr>
          <w:rFonts w:ascii="Times New Roman" w:hAnsi="Times New Roman" w:cs="Times New Roman"/>
          <w:b/>
          <w:bCs/>
        </w:rPr>
        <w:t xml:space="preserve">: Previous experiment's PCA plots with variance stabilization. </w:t>
      </w:r>
      <w:r w:rsidRPr="006038F2">
        <w:rPr>
          <w:rFonts w:ascii="Times New Roman" w:hAnsi="Times New Roman" w:cs="Times New Roman"/>
        </w:rPr>
        <w:t xml:space="preserve">PCA plots of various subsets for the BMDC data, as previously referenced. Graph formulation utilizes count data from RNA sequencing reads from RNA isolated post-GC-stimulation. Samples are divided under two variable types: genotype (STINGKO vs WT) and treatment (GC stimulated vs unstimulated). </w:t>
      </w:r>
      <w:sdt>
        <w:sdtPr>
          <w:rPr>
            <w:rFonts w:ascii="Times New Roman" w:hAnsi="Times New Roman" w:cs="Times New Roman"/>
          </w:rPr>
          <w:id w:val="196752833"/>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Hoo22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(Hoover, 2022)</w:t>
          </w:r>
          <w:r w:rsidRPr="006038F2">
            <w:rPr>
              <w:rFonts w:ascii="Times New Roman" w:hAnsi="Times New Roman" w:cs="Times New Roman"/>
            </w:rPr>
            <w:fldChar w:fldCharType="end"/>
          </w:r>
        </w:sdtContent>
      </w:sdt>
      <w:bookmarkEnd w:id="82"/>
    </w:p>
    <w:p w14:paraId="4F44FD6F" w14:textId="77777777" w:rsidR="0003572A" w:rsidRPr="006038F2" w:rsidRDefault="0003572A" w:rsidP="009A2ADC">
      <w:pPr>
        <w:spacing w:line="480" w:lineRule="auto"/>
        <w:rPr>
          <w:rFonts w:ascii="Times New Roman" w:hAnsi="Times New Roman" w:cs="Times New Roman"/>
        </w:rPr>
      </w:pPr>
    </w:p>
    <w:p w14:paraId="24BB5821" w14:textId="77777777" w:rsidR="0003572A" w:rsidRPr="006038F2" w:rsidRDefault="0003572A" w:rsidP="006D33DA">
      <w:pPr>
        <w:spacing w:line="480" w:lineRule="auto"/>
        <w:jc w:val="center"/>
        <w:rPr>
          <w:rFonts w:ascii="Times New Roman" w:hAnsi="Times New Roman" w:cs="Times New Roman"/>
          <w:b/>
          <w:bCs/>
          <w:lang w:eastAsia="en-US"/>
        </w:rPr>
      </w:pPr>
      <w:r w:rsidRPr="006038F2">
        <w:rPr>
          <w:rFonts w:ascii="Times New Roman" w:hAnsi="Times New Roman" w:cs="Times New Roman"/>
          <w:noProof/>
        </w:rPr>
        <w:lastRenderedPageBreak/>
        <w:drawing>
          <wp:inline distT="0" distB="0" distL="0" distR="0" wp14:anchorId="33E1E1EE" wp14:editId="48E50C8E">
            <wp:extent cx="5943600" cy="2486025"/>
            <wp:effectExtent l="12700" t="12700" r="12700" b="15875"/>
            <wp:docPr id="2084706174" name="Picture 4" descr="A graph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06174" name="Picture 4" descr="A graph with red and blue dots&#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2486025"/>
                    </a:xfrm>
                    <a:prstGeom prst="rect">
                      <a:avLst/>
                    </a:prstGeom>
                    <a:ln>
                      <a:solidFill>
                        <a:schemeClr val="tx1"/>
                      </a:solidFill>
                    </a:ln>
                  </pic:spPr>
                </pic:pic>
              </a:graphicData>
            </a:graphic>
          </wp:inline>
        </w:drawing>
      </w:r>
    </w:p>
    <w:p w14:paraId="5F2103E0" w14:textId="2DEA66C6" w:rsidR="0003572A" w:rsidRPr="006038F2" w:rsidRDefault="0003572A" w:rsidP="00C17B2B">
      <w:pPr>
        <w:pStyle w:val="Caption"/>
        <w:spacing w:line="480" w:lineRule="auto"/>
        <w:rPr>
          <w:rFonts w:ascii="Times New Roman" w:hAnsi="Times New Roman" w:cs="Times New Roman"/>
        </w:rPr>
      </w:pPr>
      <w:bookmarkStart w:id="83" w:name="_Ref170827286"/>
      <w:bookmarkStart w:id="84" w:name="_Toc172659217"/>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20</w:t>
      </w:r>
      <w:r w:rsidRPr="006038F2">
        <w:rPr>
          <w:rFonts w:ascii="Times New Roman" w:hAnsi="Times New Roman" w:cs="Times New Roman"/>
          <w:b/>
          <w:bCs/>
        </w:rPr>
        <w:fldChar w:fldCharType="end"/>
      </w:r>
      <w:bookmarkEnd w:id="83"/>
      <w:r w:rsidRPr="006038F2">
        <w:rPr>
          <w:rFonts w:ascii="Times New Roman" w:hAnsi="Times New Roman" w:cs="Times New Roman"/>
          <w:b/>
          <w:bCs/>
        </w:rPr>
        <w:t>: Current experiment's PCA plots with variance stabilization</w:t>
      </w:r>
      <w:r w:rsidRPr="006038F2">
        <w:rPr>
          <w:rFonts w:ascii="Times New Roman" w:hAnsi="Times New Roman" w:cs="Times New Roman"/>
        </w:rPr>
        <w:t>. PCA plots of various subsets for the NALT data, as completed for this study. Graph formulation utilizes count data from RNA sequencing reads from RNA isolated post-GC intranasal administration. Samples are divided under two variable types: treatment (GC stimulated or PBS stimulated) and time point post-vaccination of tissue harvest (24h, 48h, or 72h).</w:t>
      </w:r>
      <w:bookmarkEnd w:id="84"/>
      <w:r w:rsidRPr="006038F2">
        <w:rPr>
          <w:rFonts w:ascii="Times New Roman" w:hAnsi="Times New Roman" w:cs="Times New Roman"/>
        </w:rPr>
        <w:t xml:space="preserve"> </w:t>
      </w:r>
    </w:p>
    <w:p w14:paraId="109E8224" w14:textId="1642F75F"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Euclidean distance maps depict differential gene expression by illustrating divergence between expression profiles. In these graph types, the larger distance (with color indicated on the scale) correlates to a higher divergence between samples </w:t>
      </w:r>
      <w:sdt>
        <w:sdtPr>
          <w:rPr>
            <w:rFonts w:ascii="Times New Roman" w:hAnsi="Times New Roman" w:cs="Times New Roman"/>
          </w:rPr>
          <w:id w:val="143293606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Gla10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(Mushegian, 2010)</w:t>
          </w:r>
          <w:r w:rsidRPr="006038F2">
            <w:rPr>
              <w:rFonts w:ascii="Times New Roman" w:hAnsi="Times New Roman" w:cs="Times New Roman"/>
            </w:rPr>
            <w:fldChar w:fldCharType="end"/>
          </w:r>
        </w:sdtContent>
      </w:sdt>
      <w:r w:rsidRPr="006038F2">
        <w:rPr>
          <w:rFonts w:ascii="Times New Roman" w:hAnsi="Times New Roman" w:cs="Times New Roman"/>
        </w:rPr>
        <w:t xml:space="preserve">. Poisson distance maps are also a measure of genetic similarity but are instead generated based on individual gene expression counts.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_Ref170827263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6</w:t>
      </w:r>
      <w:r w:rsidRPr="006038F2">
        <w:rPr>
          <w:rFonts w:ascii="Times New Roman" w:hAnsi="Times New Roman" w:cs="Times New Roman"/>
        </w:rPr>
        <w:fldChar w:fldCharType="end"/>
      </w:r>
      <w:r w:rsidRPr="006038F2">
        <w:rPr>
          <w:rFonts w:ascii="Times New Roman" w:hAnsi="Times New Roman" w:cs="Times New Roman"/>
        </w:rPr>
        <w:t xml:space="preserve"> shows various distance map results from the previous BMDC study and serves as a comparison for what uniform results with distinct differences across test groups should look like.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_Ref170827279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7</w:t>
      </w:r>
      <w:r w:rsidRPr="006038F2">
        <w:rPr>
          <w:rFonts w:ascii="Times New Roman" w:hAnsi="Times New Roman" w:cs="Times New Roman"/>
        </w:rPr>
        <w:fldChar w:fldCharType="end"/>
      </w:r>
      <w:r w:rsidRPr="006038F2">
        <w:rPr>
          <w:rFonts w:ascii="Times New Roman" w:hAnsi="Times New Roman" w:cs="Times New Roman"/>
        </w:rPr>
        <w:t xml:space="preserve"> shows distance map results from this current study and shows no discernible results across test group expression profiles. Samples of the same groups do not relate, and there is no uniform distribution for any of them.</w:t>
      </w:r>
    </w:p>
    <w:p w14:paraId="2BF369C8" w14:textId="59B810D3"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PCA plots, otherwise known as principal component analysis, show similarities and variance considerations between samples in genetic profiling. The two axes are in the two directions that separate the data points the most, with variance for both labelled alongside </w:t>
      </w:r>
      <w:sdt>
        <w:sdtPr>
          <w:rPr>
            <w:rFonts w:ascii="Times New Roman" w:hAnsi="Times New Roman" w:cs="Times New Roman"/>
          </w:rPr>
          <w:id w:val="1634676532"/>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Lov15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(Love, </w:t>
          </w:r>
          <w:r w:rsidR="00B56B5A" w:rsidRPr="006038F2">
            <w:rPr>
              <w:rFonts w:ascii="Times New Roman" w:hAnsi="Times New Roman" w:cs="Times New Roman"/>
              <w:noProof/>
            </w:rPr>
            <w:lastRenderedPageBreak/>
            <w:t>2015)</w:t>
          </w:r>
          <w:r w:rsidRPr="006038F2">
            <w:rPr>
              <w:rFonts w:ascii="Times New Roman" w:hAnsi="Times New Roman" w:cs="Times New Roman"/>
            </w:rPr>
            <w:fldChar w:fldCharType="end"/>
          </w:r>
        </w:sdtContent>
      </w:sdt>
      <w:r w:rsidRPr="006038F2">
        <w:rPr>
          <w:rFonts w:ascii="Times New Roman" w:hAnsi="Times New Roman" w:cs="Times New Roman"/>
        </w:rPr>
        <w:t xml:space="preserve">. These are, to put it simply, just another depiction of genetic expression profile differences, in another manner than in the distance maps shown before.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_Ref170827272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8</w:t>
      </w:r>
      <w:r w:rsidRPr="006038F2">
        <w:rPr>
          <w:rFonts w:ascii="Times New Roman" w:hAnsi="Times New Roman" w:cs="Times New Roman"/>
        </w:rPr>
        <w:fldChar w:fldCharType="end"/>
      </w:r>
      <w:r w:rsidRPr="006038F2">
        <w:rPr>
          <w:rFonts w:ascii="Times New Roman" w:hAnsi="Times New Roman" w:cs="Times New Roman"/>
        </w:rPr>
        <w:t xml:space="preserve"> shows various PCA </w:t>
      </w:r>
      <w:proofErr w:type="gramStart"/>
      <w:r w:rsidRPr="006038F2">
        <w:rPr>
          <w:rFonts w:ascii="Times New Roman" w:hAnsi="Times New Roman" w:cs="Times New Roman"/>
        </w:rPr>
        <w:t>plot  results</w:t>
      </w:r>
      <w:proofErr w:type="gramEnd"/>
      <w:r w:rsidRPr="006038F2">
        <w:rPr>
          <w:rFonts w:ascii="Times New Roman" w:hAnsi="Times New Roman" w:cs="Times New Roman"/>
        </w:rPr>
        <w:t xml:space="preserve"> from the previous BMDC study and serves as a comparison for what uniform results with distinct differences across test groups should look like.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_Ref170827286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9</w:t>
      </w:r>
      <w:r w:rsidRPr="006038F2">
        <w:rPr>
          <w:rFonts w:ascii="Times New Roman" w:hAnsi="Times New Roman" w:cs="Times New Roman"/>
        </w:rPr>
        <w:fldChar w:fldCharType="end"/>
      </w:r>
      <w:r w:rsidRPr="006038F2">
        <w:rPr>
          <w:rFonts w:ascii="Times New Roman" w:hAnsi="Times New Roman" w:cs="Times New Roman"/>
        </w:rPr>
        <w:t xml:space="preserve"> shows PCA plot results from this current study and shows no discernible results across test group expression profiles. Samples of the same groups do not relate, and there is no uniform distribution for any of them.</w:t>
      </w:r>
    </w:p>
    <w:p w14:paraId="342DFB2B" w14:textId="77777777" w:rsidR="0003572A" w:rsidRPr="006038F2" w:rsidRDefault="0003572A" w:rsidP="009A2ADC">
      <w:pPr>
        <w:pStyle w:val="Heading3"/>
        <w:spacing w:line="480" w:lineRule="auto"/>
        <w:rPr>
          <w:rFonts w:ascii="Times New Roman" w:hAnsi="Times New Roman" w:cs="Times New Roman"/>
        </w:rPr>
      </w:pPr>
      <w:bookmarkStart w:id="85" w:name="_Toc172659173"/>
      <w:r w:rsidRPr="006038F2">
        <w:rPr>
          <w:rFonts w:ascii="Times New Roman" w:hAnsi="Times New Roman" w:cs="Times New Roman"/>
        </w:rPr>
        <w:t>3.4.3 Sample RNA readings</w:t>
      </w:r>
      <w:bookmarkEnd w:id="85"/>
    </w:p>
    <w:p w14:paraId="63096E78" w14:textId="77777777" w:rsidR="0003572A" w:rsidRPr="006038F2" w:rsidRDefault="0003572A" w:rsidP="006D33DA">
      <w:pPr>
        <w:spacing w:line="480" w:lineRule="auto"/>
        <w:jc w:val="center"/>
        <w:rPr>
          <w:rFonts w:ascii="Times New Roman" w:hAnsi="Times New Roman" w:cs="Times New Roman"/>
          <w:lang w:eastAsia="en-US"/>
        </w:rPr>
      </w:pPr>
      <w:r w:rsidRPr="006038F2">
        <w:rPr>
          <w:rFonts w:ascii="Times New Roman" w:hAnsi="Times New Roman" w:cs="Times New Roman"/>
          <w:noProof/>
        </w:rPr>
        <w:drawing>
          <wp:inline distT="0" distB="0" distL="0" distR="0" wp14:anchorId="0B1517B0" wp14:editId="770E5203">
            <wp:extent cx="5890437" cy="3434316"/>
            <wp:effectExtent l="0" t="0" r="15240" b="7620"/>
            <wp:docPr id="877211771" name="Chart 1">
              <a:extLst xmlns:a="http://schemas.openxmlformats.org/drawingml/2006/main">
                <a:ext uri="{FF2B5EF4-FFF2-40B4-BE49-F238E27FC236}">
                  <a16:creationId xmlns:a16="http://schemas.microsoft.com/office/drawing/2014/main" id="{5E2BF95E-1E85-AC66-CA05-FA76B2A7C1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BDFE73A" w14:textId="39D7C0CF" w:rsidR="0003572A" w:rsidRPr="006038F2" w:rsidRDefault="0003572A" w:rsidP="009A2ADC">
      <w:pPr>
        <w:pStyle w:val="Caption"/>
        <w:spacing w:line="480" w:lineRule="auto"/>
        <w:rPr>
          <w:rFonts w:ascii="Times New Roman" w:hAnsi="Times New Roman" w:cs="Times New Roman"/>
          <w:lang w:eastAsia="en-US"/>
        </w:rPr>
      </w:pPr>
      <w:bookmarkStart w:id="86" w:name="_Ref170824801"/>
      <w:bookmarkStart w:id="87" w:name="_Toc172659218"/>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21</w:t>
      </w:r>
      <w:r w:rsidRPr="006038F2">
        <w:rPr>
          <w:rFonts w:ascii="Times New Roman" w:hAnsi="Times New Roman" w:cs="Times New Roman"/>
          <w:b/>
          <w:bCs/>
        </w:rPr>
        <w:fldChar w:fldCharType="end"/>
      </w:r>
      <w:bookmarkEnd w:id="86"/>
      <w:r w:rsidRPr="006038F2">
        <w:rPr>
          <w:rFonts w:ascii="Times New Roman" w:hAnsi="Times New Roman" w:cs="Times New Roman"/>
          <w:b/>
          <w:bCs/>
        </w:rPr>
        <w:t>:</w:t>
      </w:r>
      <w:r w:rsidRPr="006038F2">
        <w:rPr>
          <w:rFonts w:ascii="Times New Roman" w:hAnsi="Times New Roman" w:cs="Times New Roman"/>
        </w:rPr>
        <w:t xml:space="preserve"> </w:t>
      </w:r>
      <w:r w:rsidRPr="006038F2">
        <w:rPr>
          <w:rFonts w:ascii="Times New Roman" w:hAnsi="Times New Roman" w:cs="Times New Roman"/>
          <w:b/>
          <w:bCs/>
        </w:rPr>
        <w:t xml:space="preserve">RNA content vs RNA integrity. </w:t>
      </w:r>
      <w:r w:rsidRPr="006038F2">
        <w:rPr>
          <w:rFonts w:ascii="Times New Roman" w:hAnsi="Times New Roman" w:cs="Times New Roman"/>
        </w:rPr>
        <w:t>Bar graph with secondary axis graph depicting a sample-by-sample comparison of each sample’s RNA integrity number (RIN) and nucleic acid content amount (ng/µL), where each sample is the RNA content isolated from extracted murine NALT following intranasal vaccination. Sample names provide vaccination solution in letters (vaccination with GC or with PBS) then time point post- vaccination of tissue collection in umbers (24h, 48h, or 72h) then sample number (mouse 1, 2, or 3 for the respective group). Attempt to show trend or lack thereof between the values for each sample.</w:t>
      </w:r>
      <w:bookmarkEnd w:id="87"/>
    </w:p>
    <w:p w14:paraId="1498AF8A" w14:textId="0141EC57"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lastRenderedPageBreak/>
        <w:tab/>
        <w:t xml:space="preserve">Prior to sequencing, samples submitted for the process undergo a sample quality verification process to ensure that libraries built from the data will be reflective of the true nature of the sample. For example, a low RNA content could corrupt the produced results, and a low RNA integrity number (RIN) could indicate that the full spread of the tissue’s RNA content is not reflected. Both of these measures are reflected for each sample in </w:t>
      </w:r>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REF _Ref170824801 \h  \* MERGEFORMAT </w:instrText>
      </w:r>
      <w:r w:rsidRPr="006038F2">
        <w:rPr>
          <w:rFonts w:ascii="Times New Roman" w:hAnsi="Times New Roman" w:cs="Times New Roman"/>
          <w:lang w:eastAsia="en-US"/>
        </w:rPr>
      </w:r>
      <w:r w:rsidRPr="006038F2">
        <w:rPr>
          <w:rFonts w:ascii="Times New Roman" w:hAnsi="Times New Roman" w:cs="Times New Roman"/>
          <w:lang w:eastAsia="en-US"/>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10</w:t>
      </w:r>
      <w:r w:rsidRPr="006038F2">
        <w:rPr>
          <w:rFonts w:ascii="Times New Roman" w:hAnsi="Times New Roman" w:cs="Times New Roman"/>
          <w:lang w:eastAsia="en-US"/>
        </w:rPr>
        <w:fldChar w:fldCharType="end"/>
      </w:r>
      <w:r w:rsidRPr="006038F2">
        <w:rPr>
          <w:rFonts w:ascii="Times New Roman" w:hAnsi="Times New Roman" w:cs="Times New Roman"/>
          <w:lang w:eastAsia="en-US"/>
        </w:rPr>
        <w:t xml:space="preserve">. An RIN below the threshold of 7 is not recommended for throughput in sequencing. In experimental setup for this procedure, 3 mice per group were used. However, only 11 of 18 samples were put through to the sequencing stage, as they had RINs below the threshold. </w:t>
      </w:r>
    </w:p>
    <w:p w14:paraId="409307DE" w14:textId="77777777" w:rsidR="0003572A" w:rsidRPr="006038F2" w:rsidRDefault="0003572A" w:rsidP="009A2ADC">
      <w:pPr>
        <w:pStyle w:val="Heading2"/>
        <w:spacing w:line="480" w:lineRule="auto"/>
        <w:rPr>
          <w:rFonts w:ascii="Times New Roman" w:hAnsi="Times New Roman" w:cs="Times New Roman"/>
        </w:rPr>
      </w:pPr>
      <w:r w:rsidRPr="006038F2">
        <w:rPr>
          <w:rFonts w:ascii="Times New Roman" w:hAnsi="Times New Roman" w:cs="Times New Roman"/>
        </w:rPr>
        <w:t xml:space="preserve"> </w:t>
      </w:r>
      <w:bookmarkStart w:id="88" w:name="_Toc172659174"/>
      <w:r w:rsidRPr="006038F2">
        <w:rPr>
          <w:rFonts w:ascii="Times New Roman" w:hAnsi="Times New Roman" w:cs="Times New Roman"/>
        </w:rPr>
        <w:t>3.5 Discussion</w:t>
      </w:r>
      <w:bookmarkEnd w:id="88"/>
    </w:p>
    <w:p w14:paraId="63A1951B" w14:textId="77777777" w:rsidR="0003572A" w:rsidRPr="006038F2" w:rsidRDefault="0003572A" w:rsidP="009A2ADC">
      <w:pPr>
        <w:pStyle w:val="Heading3"/>
        <w:spacing w:line="480" w:lineRule="auto"/>
        <w:rPr>
          <w:rFonts w:ascii="Times New Roman" w:hAnsi="Times New Roman" w:cs="Times New Roman"/>
        </w:rPr>
      </w:pPr>
      <w:bookmarkStart w:id="89" w:name="_Toc172659175"/>
      <w:r w:rsidRPr="006038F2">
        <w:rPr>
          <w:rFonts w:ascii="Times New Roman" w:hAnsi="Times New Roman" w:cs="Times New Roman"/>
        </w:rPr>
        <w:t>3.5.1 Expression difference interpretation</w:t>
      </w:r>
      <w:bookmarkEnd w:id="89"/>
    </w:p>
    <w:p w14:paraId="48E21542"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_Ref170812035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5</w:t>
      </w:r>
      <w:r w:rsidRPr="006038F2">
        <w:rPr>
          <w:rFonts w:ascii="Times New Roman" w:hAnsi="Times New Roman" w:cs="Times New Roman"/>
        </w:rPr>
        <w:fldChar w:fldCharType="end"/>
      </w:r>
      <w:r w:rsidRPr="006038F2">
        <w:rPr>
          <w:rFonts w:ascii="Times New Roman" w:hAnsi="Times New Roman" w:cs="Times New Roman"/>
        </w:rPr>
        <w:t xml:space="preserve"> illustrates the clear GC-induced gene expression up-/down-regulation, as proved in the referenced previous study. This study was done </w:t>
      </w:r>
      <w:r w:rsidRPr="006038F2">
        <w:rPr>
          <w:rFonts w:ascii="Times New Roman" w:hAnsi="Times New Roman" w:cs="Times New Roman"/>
          <w:i/>
          <w:iCs/>
        </w:rPr>
        <w:t>in vitro</w:t>
      </w:r>
      <w:r w:rsidRPr="006038F2">
        <w:rPr>
          <w:rFonts w:ascii="Times New Roman" w:hAnsi="Times New Roman" w:cs="Times New Roman"/>
        </w:rPr>
        <w:t xml:space="preserve"> in BMDCs, which laid the basis for changing the location to find the initiation location of the immune response from GC. </w:t>
      </w:r>
    </w:p>
    <w:p w14:paraId="245666C3"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_Ref170827263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6</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_Ref170827272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8</w:t>
      </w:r>
      <w:r w:rsidRPr="006038F2">
        <w:rPr>
          <w:rFonts w:ascii="Times New Roman" w:hAnsi="Times New Roman" w:cs="Times New Roman"/>
        </w:rPr>
        <w:fldChar w:fldCharType="end"/>
      </w:r>
      <w:r w:rsidRPr="006038F2">
        <w:rPr>
          <w:rFonts w:ascii="Times New Roman" w:hAnsi="Times New Roman" w:cs="Times New Roman"/>
        </w:rPr>
        <w:t xml:space="preserve"> are from the previous study’s BMDC RNA sequencing. These graphs show a clear trend of similarities between the different test groups, where the unstimulated groups are nearly identical, and the two stimulated groups show significant differences; these two show the clear expression difference that lend to the proof of STING’s participation in the GC mechanism. </w:t>
      </w:r>
    </w:p>
    <w:p w14:paraId="21B0FBE4"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_Ref170827279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7</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_Ref170827286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9</w:t>
      </w:r>
      <w:r w:rsidRPr="006038F2">
        <w:rPr>
          <w:rFonts w:ascii="Times New Roman" w:hAnsi="Times New Roman" w:cs="Times New Roman"/>
        </w:rPr>
        <w:fldChar w:fldCharType="end"/>
      </w:r>
      <w:r w:rsidRPr="006038F2">
        <w:rPr>
          <w:rFonts w:ascii="Times New Roman" w:hAnsi="Times New Roman" w:cs="Times New Roman"/>
        </w:rPr>
        <w:t xml:space="preserve"> are from the current study’s NALT RNA sequencing. When compared to the BMDC graphs, it is clear that the NALT data had no clear trend in expression differences. There is no clear trend across treatment groups and not even a similar grouping </w:t>
      </w:r>
      <w:r w:rsidRPr="006038F2">
        <w:rPr>
          <w:rFonts w:ascii="Times New Roman" w:hAnsi="Times New Roman" w:cs="Times New Roman"/>
        </w:rPr>
        <w:lastRenderedPageBreak/>
        <w:t xml:space="preserve">based on individual treatment types. As seen in the PCA plots of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_Ref170827286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9</w:t>
      </w:r>
      <w:r w:rsidRPr="006038F2">
        <w:rPr>
          <w:rFonts w:ascii="Times New Roman" w:hAnsi="Times New Roman" w:cs="Times New Roman"/>
        </w:rPr>
        <w:fldChar w:fldCharType="end"/>
      </w:r>
      <w:r w:rsidRPr="006038F2">
        <w:rPr>
          <w:rFonts w:ascii="Times New Roman" w:hAnsi="Times New Roman" w:cs="Times New Roman"/>
        </w:rPr>
        <w:t xml:space="preserve">, there are no similar locations for the time point (shape) or treatment type (color); the plots are all over the map. </w:t>
      </w:r>
    </w:p>
    <w:p w14:paraId="1DBC2462" w14:textId="77777777" w:rsidR="0003572A" w:rsidRPr="006038F2" w:rsidRDefault="0003572A" w:rsidP="009A2ADC">
      <w:pPr>
        <w:pStyle w:val="Heading3"/>
        <w:spacing w:line="480" w:lineRule="auto"/>
        <w:rPr>
          <w:rFonts w:ascii="Times New Roman" w:hAnsi="Times New Roman" w:cs="Times New Roman"/>
        </w:rPr>
      </w:pPr>
      <w:bookmarkStart w:id="90" w:name="_Toc172659176"/>
      <w:r w:rsidRPr="006038F2">
        <w:rPr>
          <w:rFonts w:ascii="Times New Roman" w:hAnsi="Times New Roman" w:cs="Times New Roman"/>
        </w:rPr>
        <w:t>3.5.2 RNA quality assessment</w:t>
      </w:r>
      <w:bookmarkEnd w:id="90"/>
    </w:p>
    <w:p w14:paraId="55CC932D"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Upon receipt from OUHSC of library prep data of RNA samples, it was seen that the sample characteristics were all over the board. Two main indicators of sample quality are the nucleic acid concentration (RNA quantity) and RNA integrity number (RIN). Oddly, there was no trend in group type of the lower quality samples, i.e., the low RIN samples were not all of one treatment type or all of one time point. This leaves the possibilities of corruption source very broad. </w:t>
      </w:r>
    </w:p>
    <w:p w14:paraId="2436FB71" w14:textId="63440862"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 xml:space="preserve">Another consideration besides low quality in one treatment group is then whether the two measures of low quality are both low in the samples that were not passed through to the sequencing phase.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_Ref170824801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10</w:t>
      </w:r>
      <w:r w:rsidRPr="006038F2">
        <w:rPr>
          <w:rFonts w:ascii="Times New Roman" w:hAnsi="Times New Roman" w:cs="Times New Roman"/>
        </w:rPr>
        <w:fldChar w:fldCharType="end"/>
      </w:r>
      <w:r w:rsidRPr="006038F2">
        <w:rPr>
          <w:rFonts w:ascii="Times New Roman" w:hAnsi="Times New Roman" w:cs="Times New Roman"/>
        </w:rPr>
        <w:t xml:space="preserve"> shows the attempt at correlation between RNA quality (RIN) and RNA quantity (nucleic acid concentration). As can be seen, there is no similar trend in quality vs quantity per sample. Some of the values that have the lowest nucleic acid concentrations have the highest RINs. This in fact may have lent to the expression profile variability. A low enough amount of RNA content may skew library results, as will RIN </w:t>
      </w:r>
      <w:sdt>
        <w:sdtPr>
          <w:rPr>
            <w:rFonts w:ascii="Times New Roman" w:hAnsi="Times New Roman" w:cs="Times New Roman"/>
          </w:rPr>
          <w:id w:val="109421264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Rom14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(Romero, 2014)</w:t>
          </w:r>
          <w:r w:rsidRPr="006038F2">
            <w:rPr>
              <w:rFonts w:ascii="Times New Roman" w:hAnsi="Times New Roman" w:cs="Times New Roman"/>
            </w:rPr>
            <w:fldChar w:fldCharType="end"/>
          </w:r>
        </w:sdtContent>
      </w:sdt>
      <w:r w:rsidRPr="006038F2">
        <w:rPr>
          <w:rFonts w:ascii="Times New Roman" w:hAnsi="Times New Roman" w:cs="Times New Roman"/>
        </w:rPr>
        <w:t xml:space="preserve">. Thus, if a sample was used in the reads because it had a high enough RIN but had a very low nucleic acid concentration, the sample may not have been entirely representative of the actual environment </w:t>
      </w:r>
      <w:sdt>
        <w:sdtPr>
          <w:rPr>
            <w:rFonts w:ascii="Times New Roman" w:hAnsi="Times New Roman" w:cs="Times New Roman"/>
          </w:rPr>
          <w:id w:val="102652916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Pen24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(PennState: Huck Institutes of the Life Sciences, 2024)</w:t>
          </w:r>
          <w:r w:rsidRPr="006038F2">
            <w:rPr>
              <w:rFonts w:ascii="Times New Roman" w:hAnsi="Times New Roman" w:cs="Times New Roman"/>
            </w:rPr>
            <w:fldChar w:fldCharType="end"/>
          </w:r>
        </w:sdtContent>
      </w:sdt>
      <w:r w:rsidRPr="006038F2">
        <w:rPr>
          <w:rFonts w:ascii="Times New Roman" w:hAnsi="Times New Roman" w:cs="Times New Roman"/>
        </w:rPr>
        <w:t xml:space="preserve">. So, even those samples that had high enough RIN numbers to run through sequencing did not produce any sensible results, as seen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_Ref170827279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7</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_Ref170827286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9</w:t>
      </w:r>
      <w:r w:rsidRPr="006038F2">
        <w:rPr>
          <w:rFonts w:ascii="Times New Roman" w:hAnsi="Times New Roman" w:cs="Times New Roman"/>
        </w:rPr>
        <w:fldChar w:fldCharType="end"/>
      </w:r>
      <w:r w:rsidRPr="006038F2">
        <w:rPr>
          <w:rFonts w:ascii="Times New Roman" w:hAnsi="Times New Roman" w:cs="Times New Roman"/>
        </w:rPr>
        <w:t>. This indicates a problem within the execution, rather than in the experimental design.</w:t>
      </w:r>
    </w:p>
    <w:p w14:paraId="6C58EC93" w14:textId="77777777" w:rsidR="0003572A" w:rsidRPr="006038F2" w:rsidRDefault="0003572A" w:rsidP="009A2ADC">
      <w:pPr>
        <w:pStyle w:val="Heading3"/>
        <w:spacing w:line="480" w:lineRule="auto"/>
        <w:rPr>
          <w:rFonts w:ascii="Times New Roman" w:hAnsi="Times New Roman" w:cs="Times New Roman"/>
        </w:rPr>
      </w:pPr>
      <w:bookmarkStart w:id="91" w:name="_Toc172659177"/>
      <w:r w:rsidRPr="006038F2">
        <w:rPr>
          <w:rFonts w:ascii="Times New Roman" w:hAnsi="Times New Roman" w:cs="Times New Roman"/>
        </w:rPr>
        <w:lastRenderedPageBreak/>
        <w:t>3.5.3 Reasons for variable results</w:t>
      </w:r>
      <w:bookmarkEnd w:id="91"/>
    </w:p>
    <w:p w14:paraId="2A78AB08" w14:textId="57F625B7" w:rsidR="0003572A" w:rsidRPr="006038F2" w:rsidRDefault="0003572A" w:rsidP="009A2ADC">
      <w:pPr>
        <w:spacing w:line="480" w:lineRule="auto"/>
        <w:ind w:firstLine="720"/>
        <w:rPr>
          <w:rFonts w:ascii="Times New Roman" w:hAnsi="Times New Roman" w:cs="Times New Roman"/>
          <w:lang w:eastAsia="en-US"/>
        </w:rPr>
      </w:pPr>
      <w:r w:rsidRPr="006038F2">
        <w:rPr>
          <w:rFonts w:ascii="Times New Roman" w:hAnsi="Times New Roman" w:cs="Times New Roman"/>
          <w:lang w:eastAsia="en-US"/>
        </w:rPr>
        <w:t xml:space="preserve">All appropriate sanitary and sterilization protocol was followed during surgery and sample handling during all rounds, so corruption seems unlikely. </w:t>
      </w:r>
      <w:r w:rsidRPr="006038F2">
        <w:rPr>
          <w:rFonts w:ascii="Times New Roman" w:hAnsi="Times New Roman" w:cs="Times New Roman"/>
        </w:rPr>
        <w:t xml:space="preserve">Possible reasons hypothesized for this variability of the NALT experiment results lie in the homogenization method. </w:t>
      </w:r>
      <w:r w:rsidRPr="006038F2">
        <w:rPr>
          <w:rFonts w:ascii="Times New Roman" w:hAnsi="Times New Roman" w:cs="Times New Roman"/>
          <w:lang w:eastAsia="en-US"/>
        </w:rPr>
        <w:t xml:space="preserve">Because the NALT is a rough tissue, to ensure complete tissue dissociation, more time under homogenization was employed. Immune cells tend to be fragile, as does RNA, so there is possibility that the homogenization method used was too rough and destroyed the desired immune cells. RNA expression changes can be triggered by sample manipulation, i.e., too much time under homogenization run may have contributed to the differential RNA expression levels </w:t>
      </w:r>
      <w:sdt>
        <w:sdtPr>
          <w:rPr>
            <w:rFonts w:ascii="Times New Roman" w:hAnsi="Times New Roman" w:cs="Times New Roman"/>
            <w:lang w:eastAsia="en-US"/>
          </w:rPr>
          <w:id w:val="1859843413"/>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CITATION For13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(Fordyce, 2013)</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Additionally, because the NALT is a low-yield tissue already, care must be taken to a certain extent to ensure that a workable level of nucleic acid concentration is maintained </w:t>
      </w:r>
      <w:sdt>
        <w:sdtPr>
          <w:rPr>
            <w:rFonts w:ascii="Times New Roman" w:hAnsi="Times New Roman" w:cs="Times New Roman"/>
            <w:lang w:eastAsia="en-US"/>
          </w:rPr>
          <w:id w:val="1088821230"/>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Cis12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(Cisney, 2012)</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w:t>
      </w:r>
    </w:p>
    <w:p w14:paraId="72460D79" w14:textId="29E2E438" w:rsidR="0003572A" w:rsidRPr="006038F2" w:rsidRDefault="0003572A" w:rsidP="009A2ADC">
      <w:pPr>
        <w:spacing w:line="480" w:lineRule="auto"/>
        <w:ind w:firstLine="720"/>
        <w:rPr>
          <w:rFonts w:ascii="Times New Roman" w:hAnsi="Times New Roman" w:cs="Times New Roman"/>
          <w:lang w:eastAsia="en-US"/>
        </w:rPr>
      </w:pPr>
      <w:r w:rsidRPr="006038F2">
        <w:rPr>
          <w:rFonts w:ascii="Times New Roman" w:hAnsi="Times New Roman" w:cs="Times New Roman"/>
          <w:lang w:eastAsia="en-US"/>
        </w:rPr>
        <w:t xml:space="preserve">NALT is a front-line of defense for intranasal pathogens, thus making it a popular study point for reactions to pathogens and intranasal vaccines </w:t>
      </w:r>
      <w:sdt>
        <w:sdtPr>
          <w:rPr>
            <w:rFonts w:ascii="Times New Roman" w:hAnsi="Times New Roman" w:cs="Times New Roman"/>
            <w:lang w:eastAsia="en-US"/>
          </w:rPr>
          <w:id w:val="-1438819498"/>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Shi20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(Shim, 2020)</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This location should have therefore been appropriate to show the immediate response. As it is typically characterized by heightened immune activity, the complete lack of organized immune activity shown in differential gene expression analysis may again likely be attributed to the homogenization method. </w:t>
      </w:r>
    </w:p>
    <w:p w14:paraId="047FC44F" w14:textId="77777777" w:rsidR="0003572A" w:rsidRPr="006038F2" w:rsidRDefault="0003572A" w:rsidP="009A2ADC">
      <w:pPr>
        <w:spacing w:line="480" w:lineRule="auto"/>
        <w:ind w:firstLine="720"/>
        <w:rPr>
          <w:rFonts w:ascii="Times New Roman" w:hAnsi="Times New Roman" w:cs="Times New Roman"/>
          <w:lang w:eastAsia="en-US"/>
        </w:rPr>
      </w:pPr>
      <w:r w:rsidRPr="006038F2">
        <w:rPr>
          <w:rFonts w:ascii="Times New Roman" w:hAnsi="Times New Roman" w:cs="Times New Roman"/>
          <w:lang w:eastAsia="en-US"/>
        </w:rPr>
        <w:t xml:space="preserve">The used method of homogenization was chosen as per the recommendation of the Zymo kit. The bead-beating tube method, as per the manual, is “recommended for complete and efficient homogenization of tough-to-lyse samples”, which should be fit for the NALT tissue. Because the NALT is tough and fibrous as well, many typical homogenization methods may not be fit for complete dissociation and lysis. The need here is a method that is strong enough to </w:t>
      </w:r>
      <w:r w:rsidRPr="006038F2">
        <w:rPr>
          <w:rFonts w:ascii="Times New Roman" w:hAnsi="Times New Roman" w:cs="Times New Roman"/>
          <w:lang w:eastAsia="en-US"/>
        </w:rPr>
        <w:lastRenderedPageBreak/>
        <w:t xml:space="preserve">dissociate the tissue but gentle enough to maintain the integrity of the RNA and immune cells. What may be required is simply optimization with the bead-beating method to find this balance. However, one con of the bead-beating machine used is that the process was done with the lysis buffer. Because it is a basic buffer, the mechanical agitation caused foam formation, making it difficult to see whether the contents of the tube included any large tissue pieces; the machine may have therefore been run for more rounds than was necessary. For this reason, another method such as a hand-held tissue homogenizer may be more appropriate so that real time visualization and assessment of dissociation status may be assessed. </w:t>
      </w:r>
    </w:p>
    <w:p w14:paraId="349ACD03" w14:textId="3380ECBC" w:rsidR="0003572A" w:rsidRPr="006038F2" w:rsidRDefault="0003572A" w:rsidP="009A2ADC">
      <w:pPr>
        <w:spacing w:line="480" w:lineRule="auto"/>
        <w:ind w:firstLine="720"/>
        <w:rPr>
          <w:rFonts w:ascii="Times New Roman" w:hAnsi="Times New Roman" w:cs="Times New Roman"/>
          <w:lang w:eastAsia="en-US"/>
        </w:rPr>
      </w:pPr>
      <w:r w:rsidRPr="006038F2">
        <w:rPr>
          <w:rFonts w:ascii="Times New Roman" w:hAnsi="Times New Roman" w:cs="Times New Roman"/>
          <w:lang w:eastAsia="en-US"/>
        </w:rPr>
        <w:t xml:space="preserve">Previous studies found in literature mostly utilized a more intense inoculation, so there is a much larger immune response to be capitalized upon. For example, in </w:t>
      </w:r>
      <w:sdt>
        <w:sdtPr>
          <w:rPr>
            <w:rFonts w:ascii="Times New Roman" w:hAnsi="Times New Roman" w:cs="Times New Roman"/>
            <w:lang w:eastAsia="en-US"/>
          </w:rPr>
          <w:id w:val="855390213"/>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Sti19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(Stifter, 2019)</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influenza was administered to produce a notable response for imaging. In </w:t>
      </w:r>
      <w:sdt>
        <w:sdtPr>
          <w:rPr>
            <w:rFonts w:ascii="Times New Roman" w:hAnsi="Times New Roman" w:cs="Times New Roman"/>
            <w:lang w:eastAsia="en-US"/>
          </w:rPr>
          <w:id w:val="-1682736597"/>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Shi20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(Shim, 2020)</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chitosan nanoparticles (chitosan being the immunoadjuvant parent of GC) were loaded with </w:t>
      </w:r>
      <w:r w:rsidRPr="006038F2">
        <w:rPr>
          <w:rFonts w:ascii="Times New Roman" w:hAnsi="Times New Roman" w:cs="Times New Roman"/>
          <w:i/>
          <w:iCs/>
          <w:lang w:eastAsia="en-US"/>
        </w:rPr>
        <w:t xml:space="preserve">B. abortus </w:t>
      </w:r>
      <w:r w:rsidRPr="006038F2">
        <w:rPr>
          <w:rFonts w:ascii="Times New Roman" w:hAnsi="Times New Roman" w:cs="Times New Roman"/>
          <w:lang w:eastAsia="en-US"/>
        </w:rPr>
        <w:t xml:space="preserve">MdH. Both of these studies allow the initiation of larger-scale immune response than an immunoadjuvant alone. Furthermore, in this lab, cellular imaging studies have been done after treatment with GC + COVID recombinant proteins, in which significant differences in immunohistology were shown. Furthermore, as a more specific relation to this study, in a recent study, interferon genes showed upregulation in NALT cells after COVID-19 infection </w:t>
      </w:r>
      <w:sdt>
        <w:sdtPr>
          <w:rPr>
            <w:rFonts w:ascii="Times New Roman" w:hAnsi="Times New Roman" w:cs="Times New Roman"/>
            <w:lang w:eastAsia="en-US"/>
          </w:rPr>
          <w:id w:val="-1742021753"/>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Coa23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(Coates, 2023)</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In the prior study referenced in </w:t>
      </w:r>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REF _Ref170812035 \h  \* MERGEFORMAT </w:instrText>
      </w:r>
      <w:r w:rsidRPr="006038F2">
        <w:rPr>
          <w:rFonts w:ascii="Times New Roman" w:hAnsi="Times New Roman" w:cs="Times New Roman"/>
          <w:lang w:eastAsia="en-US"/>
        </w:rPr>
      </w:r>
      <w:r w:rsidRPr="006038F2">
        <w:rPr>
          <w:rFonts w:ascii="Times New Roman" w:hAnsi="Times New Roman" w:cs="Times New Roman"/>
          <w:lang w:eastAsia="en-US"/>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5</w:t>
      </w:r>
      <w:r w:rsidRPr="006038F2">
        <w:rPr>
          <w:rFonts w:ascii="Times New Roman" w:hAnsi="Times New Roman" w:cs="Times New Roman"/>
          <w:lang w:eastAsia="en-US"/>
        </w:rPr>
        <w:fldChar w:fldCharType="end"/>
      </w:r>
      <w:r w:rsidRPr="006038F2">
        <w:rPr>
          <w:rFonts w:ascii="Times New Roman" w:hAnsi="Times New Roman" w:cs="Times New Roman"/>
          <w:lang w:eastAsia="en-US"/>
        </w:rPr>
        <w:t xml:space="preserve">, only GC was used, but this stimulation was done </w:t>
      </w:r>
      <w:r w:rsidRPr="006038F2">
        <w:rPr>
          <w:rFonts w:ascii="Times New Roman" w:hAnsi="Times New Roman" w:cs="Times New Roman"/>
          <w:i/>
          <w:iCs/>
          <w:lang w:eastAsia="en-US"/>
        </w:rPr>
        <w:t>in vitro</w:t>
      </w:r>
      <w:r w:rsidRPr="006038F2">
        <w:rPr>
          <w:rFonts w:ascii="Times New Roman" w:hAnsi="Times New Roman" w:cs="Times New Roman"/>
          <w:lang w:eastAsia="en-US"/>
        </w:rPr>
        <w:t xml:space="preserve"> rather than </w:t>
      </w:r>
      <w:r w:rsidRPr="006038F2">
        <w:rPr>
          <w:rFonts w:ascii="Times New Roman" w:hAnsi="Times New Roman" w:cs="Times New Roman"/>
          <w:i/>
          <w:iCs/>
          <w:lang w:eastAsia="en-US"/>
        </w:rPr>
        <w:t>in vivo</w:t>
      </w:r>
      <w:r w:rsidRPr="006038F2">
        <w:rPr>
          <w:rFonts w:ascii="Times New Roman" w:hAnsi="Times New Roman" w:cs="Times New Roman"/>
          <w:lang w:eastAsia="en-US"/>
        </w:rPr>
        <w:t xml:space="preserve">, as this current study was, so this may affect the possible scope of reaction. Cellular responses in vitro (in a well plate) are much more controlled than are </w:t>
      </w:r>
      <w:r w:rsidRPr="006038F2">
        <w:rPr>
          <w:rFonts w:ascii="Times New Roman" w:hAnsi="Times New Roman" w:cs="Times New Roman"/>
          <w:i/>
          <w:iCs/>
          <w:lang w:eastAsia="en-US"/>
        </w:rPr>
        <w:t>in vivo</w:t>
      </w:r>
      <w:r w:rsidRPr="006038F2">
        <w:rPr>
          <w:rFonts w:ascii="Times New Roman" w:hAnsi="Times New Roman" w:cs="Times New Roman"/>
          <w:lang w:eastAsia="en-US"/>
        </w:rPr>
        <w:t xml:space="preserve"> studies, so the sole immunoadjuvant application has the ability to make more of an impact.</w:t>
      </w:r>
    </w:p>
    <w:p w14:paraId="31B7BC6A" w14:textId="77777777"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rPr>
        <w:br w:type="page"/>
      </w:r>
    </w:p>
    <w:p w14:paraId="265892D4" w14:textId="77777777" w:rsidR="00F00752" w:rsidRPr="006038F2" w:rsidRDefault="0003572A" w:rsidP="00F00752">
      <w:pPr>
        <w:pStyle w:val="Heading1"/>
        <w:spacing w:line="480" w:lineRule="auto"/>
        <w:jc w:val="center"/>
        <w:rPr>
          <w:rFonts w:ascii="Times New Roman" w:hAnsi="Times New Roman" w:cs="Times New Roman"/>
        </w:rPr>
      </w:pPr>
      <w:bookmarkStart w:id="92" w:name="_Toc172659178"/>
      <w:r w:rsidRPr="006038F2">
        <w:rPr>
          <w:rFonts w:ascii="Times New Roman" w:hAnsi="Times New Roman" w:cs="Times New Roman"/>
        </w:rPr>
        <w:lastRenderedPageBreak/>
        <w:t>Chapter 4</w:t>
      </w:r>
      <w:bookmarkEnd w:id="92"/>
    </w:p>
    <w:p w14:paraId="70C3FD8E" w14:textId="14C00A51" w:rsidR="0003572A" w:rsidRPr="006038F2" w:rsidRDefault="0003572A" w:rsidP="00F00752">
      <w:pPr>
        <w:pStyle w:val="Heading1"/>
        <w:spacing w:line="480" w:lineRule="auto"/>
        <w:jc w:val="center"/>
        <w:rPr>
          <w:rFonts w:ascii="Times New Roman" w:hAnsi="Times New Roman" w:cs="Times New Roman"/>
        </w:rPr>
      </w:pPr>
      <w:bookmarkStart w:id="93" w:name="_Toc172659179"/>
      <w:r w:rsidRPr="006038F2">
        <w:rPr>
          <w:rFonts w:ascii="Times New Roman" w:hAnsi="Times New Roman" w:cs="Times New Roman"/>
        </w:rPr>
        <w:t>Conclusions and Future Directions</w:t>
      </w:r>
      <w:bookmarkEnd w:id="93"/>
    </w:p>
    <w:p w14:paraId="0512236B" w14:textId="77777777" w:rsidR="00F00752" w:rsidRPr="006038F2" w:rsidRDefault="00F00752" w:rsidP="00F00752">
      <w:pPr>
        <w:spacing w:line="480" w:lineRule="auto"/>
        <w:rPr>
          <w:rFonts w:ascii="Times New Roman" w:hAnsi="Times New Roman" w:cs="Times New Roman"/>
        </w:rPr>
      </w:pPr>
    </w:p>
    <w:p w14:paraId="34F709F6" w14:textId="77777777" w:rsidR="00F00752" w:rsidRPr="006038F2" w:rsidRDefault="00F00752" w:rsidP="00F00752">
      <w:pPr>
        <w:spacing w:line="480" w:lineRule="auto"/>
        <w:rPr>
          <w:rFonts w:ascii="Times New Roman" w:hAnsi="Times New Roman" w:cs="Times New Roman"/>
        </w:rPr>
      </w:pPr>
    </w:p>
    <w:p w14:paraId="29E322A1" w14:textId="77777777" w:rsidR="0003572A" w:rsidRPr="006038F2" w:rsidRDefault="0003572A" w:rsidP="00F00752">
      <w:pPr>
        <w:pStyle w:val="Heading2"/>
        <w:spacing w:line="480" w:lineRule="auto"/>
        <w:rPr>
          <w:rFonts w:ascii="Times New Roman" w:hAnsi="Times New Roman" w:cs="Times New Roman"/>
        </w:rPr>
      </w:pPr>
      <w:bookmarkStart w:id="94" w:name="_Toc172659180"/>
      <w:r w:rsidRPr="006038F2">
        <w:rPr>
          <w:rFonts w:ascii="Times New Roman" w:hAnsi="Times New Roman" w:cs="Times New Roman"/>
        </w:rPr>
        <w:t>4.1 Conclusion</w:t>
      </w:r>
      <w:bookmarkEnd w:id="94"/>
    </w:p>
    <w:p w14:paraId="09B43F80"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rPr>
        <w:tab/>
        <w:t xml:space="preserve">The current work showed significant results in the intranasal and subcutaneous localized upregulation of interferon response induced by GC administration, as measured by IVIS Spectrum CT imaging. There were significant differences in total radiant efficiency readings at each time point for the test group compared to the control (intranasally,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_Ref170812146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w:t>
      </w:r>
      <w:r w:rsidRPr="006038F2">
        <w:rPr>
          <w:rFonts w:ascii="Times New Roman" w:hAnsi="Times New Roman" w:cs="Times New Roman"/>
        </w:rPr>
        <w:fldChar w:fldCharType="end"/>
      </w:r>
      <w:r w:rsidRPr="006038F2">
        <w:rPr>
          <w:rFonts w:ascii="Times New Roman" w:hAnsi="Times New Roman" w:cs="Times New Roman"/>
        </w:rPr>
        <w:t xml:space="preserve">, and subcutaneously,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3</w:t>
      </w:r>
      <w:r w:rsidRPr="006038F2">
        <w:rPr>
          <w:rFonts w:ascii="Times New Roman" w:hAnsi="Times New Roman" w:cs="Times New Roman"/>
        </w:rPr>
        <w:fldChar w:fldCharType="end"/>
      </w:r>
      <w:r w:rsidRPr="006038F2">
        <w:rPr>
          <w:rFonts w:ascii="Times New Roman" w:hAnsi="Times New Roman" w:cs="Times New Roman"/>
        </w:rPr>
        <w:t xml:space="preserve">). There were also significant differences seen for the main test group compared to its background signal (intranasally,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_Ref170812153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2</w:t>
      </w:r>
      <w:r w:rsidRPr="006038F2">
        <w:rPr>
          <w:rFonts w:ascii="Times New Roman" w:hAnsi="Times New Roman" w:cs="Times New Roman"/>
        </w:rPr>
        <w:fldChar w:fldCharType="end"/>
      </w:r>
      <w:r w:rsidRPr="006038F2">
        <w:rPr>
          <w:rFonts w:ascii="Times New Roman" w:hAnsi="Times New Roman" w:cs="Times New Roman"/>
        </w:rPr>
        <w:t xml:space="preserve">, and subcutaneously, </w:t>
      </w:r>
      <w:r w:rsidRPr="006038F2">
        <w:rPr>
          <w:rFonts w:ascii="Times New Roman" w:hAnsi="Times New Roman" w:cs="Times New Roman"/>
        </w:rPr>
        <w:fldChar w:fldCharType="begin"/>
      </w:r>
      <w:r w:rsidRPr="006038F2">
        <w:rPr>
          <w:rFonts w:ascii="Times New Roman" w:hAnsi="Times New Roman" w:cs="Times New Roman"/>
        </w:rPr>
        <w:instrText xml:space="preserve"> REF _Ref170812158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4</w:t>
      </w:r>
      <w:r w:rsidRPr="006038F2">
        <w:rPr>
          <w:rFonts w:ascii="Times New Roman" w:hAnsi="Times New Roman" w:cs="Times New Roman"/>
        </w:rPr>
        <w:fldChar w:fldCharType="end"/>
      </w:r>
      <w:r w:rsidRPr="006038F2">
        <w:rPr>
          <w:rFonts w:ascii="Times New Roman" w:hAnsi="Times New Roman" w:cs="Times New Roman"/>
        </w:rPr>
        <w:t>). This activity has been hypothesized and preliminarily proven in certain models previously in the lab. This current work provides proof of and quantification of the activity in the intranasal and subcutaneous areas and lays the groundwork for further studies to determine mechanism. (This study also explored both a strain of mice and a method of imaging new to this lab, which breaks ground and holds promise for future experiments in the lab as well</w:t>
      </w:r>
      <w:proofErr w:type="gramStart"/>
      <w:r w:rsidRPr="006038F2">
        <w:rPr>
          <w:rFonts w:ascii="Times New Roman" w:hAnsi="Times New Roman" w:cs="Times New Roman"/>
        </w:rPr>
        <w:t>. )</w:t>
      </w:r>
      <w:proofErr w:type="gramEnd"/>
    </w:p>
    <w:p w14:paraId="62F4D023" w14:textId="57ED7F58"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color w:val="000000" w:themeColor="text1"/>
        </w:rPr>
        <w:t xml:space="preserve">The previous study, via bulk-RNA sequencing, showed that there is a difference in expression of immune-associated genes following GC administration in BMDCs, as seen in </w:t>
      </w:r>
      <w:r w:rsidRPr="006038F2">
        <w:rPr>
          <w:rFonts w:ascii="Times New Roman" w:hAnsi="Times New Roman" w:cs="Times New Roman"/>
          <w:color w:val="000000" w:themeColor="text1"/>
        </w:rPr>
        <w:fldChar w:fldCharType="begin"/>
      </w:r>
      <w:r w:rsidRPr="006038F2">
        <w:rPr>
          <w:rFonts w:ascii="Times New Roman" w:hAnsi="Times New Roman" w:cs="Times New Roman"/>
          <w:color w:val="000000" w:themeColor="text1"/>
        </w:rPr>
        <w:instrText xml:space="preserve"> REF _Ref170812035 \h  \* MERGEFORMAT </w:instrText>
      </w:r>
      <w:r w:rsidRPr="006038F2">
        <w:rPr>
          <w:rFonts w:ascii="Times New Roman" w:hAnsi="Times New Roman" w:cs="Times New Roman"/>
          <w:color w:val="000000" w:themeColor="text1"/>
        </w:rPr>
      </w:r>
      <w:r w:rsidRPr="006038F2">
        <w:rPr>
          <w:rFonts w:ascii="Times New Roman" w:hAnsi="Times New Roman" w:cs="Times New Roman"/>
          <w:color w:val="000000" w:themeColor="text1"/>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5</w:t>
      </w:r>
      <w:r w:rsidRPr="006038F2">
        <w:rPr>
          <w:rFonts w:ascii="Times New Roman" w:hAnsi="Times New Roman" w:cs="Times New Roman"/>
          <w:color w:val="000000" w:themeColor="text1"/>
        </w:rPr>
        <w:fldChar w:fldCharType="end"/>
      </w:r>
      <w:r w:rsidRPr="006038F2">
        <w:rPr>
          <w:rFonts w:ascii="Times New Roman" w:hAnsi="Times New Roman" w:cs="Times New Roman"/>
          <w:color w:val="000000" w:themeColor="text1"/>
        </w:rPr>
        <w:t>. The current study aimed to find similar up-/downregulation in the nasal cavity to provide basis for the use of GC in intranasal vaccine applications.</w:t>
      </w:r>
      <w:r w:rsidRPr="006038F2">
        <w:rPr>
          <w:rFonts w:ascii="Times New Roman" w:hAnsi="Times New Roman" w:cs="Times New Roman"/>
        </w:rPr>
        <w:t xml:space="preserve"> Follow-up gene expression profiling in this study hoped to provide insight into the intranasal mechanism by performing </w:t>
      </w:r>
      <w:r w:rsidRPr="006038F2">
        <w:rPr>
          <w:rFonts w:ascii="Times New Roman" w:hAnsi="Times New Roman" w:cs="Times New Roman"/>
        </w:rPr>
        <w:lastRenderedPageBreak/>
        <w:t xml:space="preserve">bulk-RNA analysis on GC-treated nasal lymphoid tissue. There was a lack of organized results in the experiment (as seen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_Ref170827279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7</w:t>
      </w:r>
      <w:r w:rsidRPr="006038F2">
        <w:rPr>
          <w:rFonts w:ascii="Times New Roman" w:hAnsi="Times New Roman" w:cs="Times New Roman"/>
        </w:rPr>
        <w:fldChar w:fldCharType="end"/>
      </w:r>
      <w:r w:rsidRPr="006038F2">
        <w:rPr>
          <w:rFonts w:ascii="Times New Roman" w:hAnsi="Times New Roman" w:cs="Times New Roman"/>
        </w:rPr>
        <w:t xml:space="preserve"> and </w:t>
      </w:r>
      <w:r w:rsidRPr="006038F2">
        <w:rPr>
          <w:rFonts w:ascii="Times New Roman" w:hAnsi="Times New Roman" w:cs="Times New Roman"/>
        </w:rPr>
        <w:fldChar w:fldCharType="begin"/>
      </w:r>
      <w:r w:rsidRPr="006038F2">
        <w:rPr>
          <w:rFonts w:ascii="Times New Roman" w:hAnsi="Times New Roman" w:cs="Times New Roman"/>
        </w:rPr>
        <w:instrText xml:space="preserve"> REF _Ref170827286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9</w:t>
      </w:r>
      <w:r w:rsidRPr="006038F2">
        <w:rPr>
          <w:rFonts w:ascii="Times New Roman" w:hAnsi="Times New Roman" w:cs="Times New Roman"/>
        </w:rPr>
        <w:fldChar w:fldCharType="end"/>
      </w:r>
      <w:r w:rsidRPr="006038F2">
        <w:rPr>
          <w:rFonts w:ascii="Times New Roman" w:hAnsi="Times New Roman" w:cs="Times New Roman"/>
        </w:rPr>
        <w:t xml:space="preserve">), but this does not rule out the approach. Rather, it makes room for future optimization, particularly in the methods of homogenization. </w:t>
      </w:r>
    </w:p>
    <w:p w14:paraId="44F168DF" w14:textId="36DEC572" w:rsidR="0003572A" w:rsidRPr="006038F2" w:rsidRDefault="0003572A" w:rsidP="007856A5">
      <w:pPr>
        <w:spacing w:line="480" w:lineRule="auto"/>
        <w:ind w:firstLine="720"/>
        <w:rPr>
          <w:rFonts w:ascii="Times New Roman" w:hAnsi="Times New Roman" w:cs="Times New Roman"/>
        </w:rPr>
      </w:pPr>
      <w:r w:rsidRPr="006038F2">
        <w:rPr>
          <w:rFonts w:ascii="Times New Roman" w:hAnsi="Times New Roman" w:cs="Times New Roman"/>
        </w:rPr>
        <w:t xml:space="preserve">Overall, this study provided valuable, significant evidence of the GC-induced type I interferon response and began optimization on methods for determining the mechanism by which this response occurred. </w:t>
      </w:r>
    </w:p>
    <w:p w14:paraId="7C5112B1" w14:textId="77777777" w:rsidR="0003572A" w:rsidRPr="006038F2" w:rsidRDefault="0003572A" w:rsidP="009A2ADC">
      <w:pPr>
        <w:pStyle w:val="Heading2"/>
        <w:spacing w:line="480" w:lineRule="auto"/>
        <w:rPr>
          <w:rFonts w:ascii="Times New Roman" w:hAnsi="Times New Roman" w:cs="Times New Roman"/>
        </w:rPr>
      </w:pPr>
      <w:bookmarkStart w:id="95" w:name="_Toc172659181"/>
      <w:r w:rsidRPr="006038F2">
        <w:rPr>
          <w:rFonts w:ascii="Times New Roman" w:hAnsi="Times New Roman" w:cs="Times New Roman"/>
        </w:rPr>
        <w:t>4.2 Future Directions</w:t>
      </w:r>
      <w:bookmarkEnd w:id="95"/>
    </w:p>
    <w:p w14:paraId="4D470EC7" w14:textId="77777777" w:rsidR="0003572A" w:rsidRPr="006038F2" w:rsidRDefault="0003572A" w:rsidP="009A2ADC">
      <w:pPr>
        <w:pStyle w:val="Heading3"/>
        <w:spacing w:line="480" w:lineRule="auto"/>
        <w:rPr>
          <w:rFonts w:ascii="Times New Roman" w:hAnsi="Times New Roman" w:cs="Times New Roman"/>
          <w:lang w:eastAsia="en-US"/>
        </w:rPr>
      </w:pPr>
      <w:bookmarkStart w:id="96" w:name="_Toc172659182"/>
      <w:r w:rsidRPr="006038F2">
        <w:rPr>
          <w:rFonts w:ascii="Times New Roman" w:hAnsi="Times New Roman" w:cs="Times New Roman"/>
          <w:lang w:eastAsia="en-US"/>
        </w:rPr>
        <w:t>4.2.1 IVIS study</w:t>
      </w:r>
      <w:bookmarkEnd w:id="96"/>
    </w:p>
    <w:p w14:paraId="66BB3BAC" w14:textId="1B497DA2" w:rsidR="0003572A" w:rsidRPr="006038F2" w:rsidRDefault="0003572A" w:rsidP="007856A5">
      <w:pPr>
        <w:spacing w:line="480" w:lineRule="auto"/>
        <w:ind w:firstLine="720"/>
        <w:rPr>
          <w:rFonts w:ascii="Times New Roman" w:hAnsi="Times New Roman" w:cs="Times New Roman"/>
        </w:rPr>
      </w:pPr>
      <w:r w:rsidRPr="006038F2">
        <w:rPr>
          <w:rFonts w:ascii="Times New Roman" w:hAnsi="Times New Roman" w:cs="Times New Roman"/>
        </w:rPr>
        <w:t xml:space="preserve">The immediate direction to take in building upon this study is performing the protocol with larger groups, as mentioned. Increasing group size with the improved injection protocol will provide greater statistical significance to the trend shown in this study. Additionally, further exploration of the adverse reaction observed, and subsequent optimization of the subcutaneous injection volume is necessary to eliminate variance and ensure reproducibility. </w:t>
      </w:r>
    </w:p>
    <w:p w14:paraId="37ED2175" w14:textId="77777777" w:rsidR="0003572A" w:rsidRPr="006038F2" w:rsidRDefault="0003572A" w:rsidP="009A2ADC">
      <w:pPr>
        <w:pStyle w:val="Heading3"/>
        <w:spacing w:line="480" w:lineRule="auto"/>
        <w:rPr>
          <w:rFonts w:ascii="Times New Roman" w:hAnsi="Times New Roman" w:cs="Times New Roman"/>
          <w:lang w:eastAsia="en-US"/>
        </w:rPr>
      </w:pPr>
      <w:bookmarkStart w:id="97" w:name="_Toc172659183"/>
      <w:r w:rsidRPr="006038F2">
        <w:rPr>
          <w:rFonts w:ascii="Times New Roman" w:hAnsi="Times New Roman" w:cs="Times New Roman"/>
          <w:lang w:eastAsia="en-US"/>
        </w:rPr>
        <w:t>4.2.2 Homogenization method</w:t>
      </w:r>
      <w:bookmarkEnd w:id="97"/>
    </w:p>
    <w:p w14:paraId="0FC2F596" w14:textId="516FE48F" w:rsidR="0003572A" w:rsidRPr="006038F2" w:rsidRDefault="0003572A" w:rsidP="009A2ADC">
      <w:pPr>
        <w:spacing w:line="480" w:lineRule="auto"/>
        <w:rPr>
          <w:rFonts w:ascii="Times New Roman" w:hAnsi="Times New Roman" w:cs="Times New Roman"/>
          <w:lang w:eastAsia="en-US"/>
        </w:rPr>
      </w:pPr>
      <w:r w:rsidRPr="006038F2">
        <w:rPr>
          <w:rFonts w:ascii="Times New Roman" w:hAnsi="Times New Roman" w:cs="Times New Roman"/>
          <w:lang w:eastAsia="en-US"/>
        </w:rPr>
        <w:tab/>
        <w:t xml:space="preserve">As previously discussed, the main hypothesis for the variable results of this experiment is centered on the tissue homogenization method, so future studies will aim to optimize this for the production of significant immune results. This may entail optimization of the bead-beating method or another method entirely, as discussed above. Once the homogenization is shown to produce viable and representative nucleic acid content, other experiments may build upon the results that should be produced. First, single cell sequencing in addition to bulk sequencing may provide even more specific insight into immune interactions </w:t>
      </w:r>
      <w:sdt>
        <w:sdtPr>
          <w:rPr>
            <w:rFonts w:ascii="Times New Roman" w:hAnsi="Times New Roman" w:cs="Times New Roman"/>
            <w:lang w:eastAsia="en-US"/>
          </w:rPr>
          <w:id w:val="1419440185"/>
          <w:citation/>
        </w:sdtPr>
        <w:sdtContent>
          <w:r w:rsidRPr="006038F2">
            <w:rPr>
              <w:rFonts w:ascii="Times New Roman" w:hAnsi="Times New Roman" w:cs="Times New Roman"/>
              <w:lang w:eastAsia="en-US"/>
            </w:rPr>
            <w:fldChar w:fldCharType="begin"/>
          </w:r>
          <w:r w:rsidRPr="006038F2">
            <w:rPr>
              <w:rFonts w:ascii="Times New Roman" w:hAnsi="Times New Roman" w:cs="Times New Roman"/>
              <w:lang w:eastAsia="en-US"/>
            </w:rPr>
            <w:instrText xml:space="preserve"> CITATION Lia21 \l 1033 </w:instrText>
          </w:r>
          <w:r w:rsidRPr="006038F2">
            <w:rPr>
              <w:rFonts w:ascii="Times New Roman" w:hAnsi="Times New Roman" w:cs="Times New Roman"/>
              <w:lang w:eastAsia="en-US"/>
            </w:rPr>
            <w:fldChar w:fldCharType="separate"/>
          </w:r>
          <w:r w:rsidR="00B56B5A" w:rsidRPr="006038F2">
            <w:rPr>
              <w:rFonts w:ascii="Times New Roman" w:hAnsi="Times New Roman" w:cs="Times New Roman"/>
              <w:noProof/>
              <w:lang w:eastAsia="en-US"/>
            </w:rPr>
            <w:t>(Want, 2021)</w:t>
          </w:r>
          <w:r w:rsidRPr="006038F2">
            <w:rPr>
              <w:rFonts w:ascii="Times New Roman" w:hAnsi="Times New Roman" w:cs="Times New Roman"/>
              <w:lang w:eastAsia="en-US"/>
            </w:rPr>
            <w:fldChar w:fldCharType="end"/>
          </w:r>
        </w:sdtContent>
      </w:sdt>
      <w:r w:rsidRPr="006038F2">
        <w:rPr>
          <w:rFonts w:ascii="Times New Roman" w:hAnsi="Times New Roman" w:cs="Times New Roman"/>
          <w:lang w:eastAsia="en-US"/>
        </w:rPr>
        <w:t xml:space="preserve">. Future studies may survey a different tissue in the downstream of the reaction, for example lung tissue. Furthermore, </w:t>
      </w:r>
      <w:r w:rsidRPr="006038F2">
        <w:rPr>
          <w:rFonts w:ascii="Times New Roman" w:hAnsi="Times New Roman" w:cs="Times New Roman"/>
          <w:lang w:eastAsia="en-US"/>
        </w:rPr>
        <w:lastRenderedPageBreak/>
        <w:t xml:space="preserve">rather than bulk tissue assessment, cell-specific lysis could provide pinpointed interaction details. The bulk sequencing could first provide insight into which cells to isolate. Lastly, once GC sole effects are uncovered, future studies could perform this analysis after GC administered with another inoculation, as mentioned in the discussion. To specifically relate this back to the overall work of the lab, the additional inoculation could be with cancer cells prior to and after LIT treatment. </w:t>
      </w:r>
    </w:p>
    <w:p w14:paraId="4554314A" w14:textId="746114A7" w:rsidR="0003572A" w:rsidRPr="006038F2" w:rsidRDefault="0003572A" w:rsidP="009A2ADC">
      <w:pPr>
        <w:pStyle w:val="Heading3"/>
        <w:spacing w:line="480" w:lineRule="auto"/>
        <w:rPr>
          <w:rFonts w:ascii="Times New Roman" w:hAnsi="Times New Roman" w:cs="Times New Roman"/>
          <w:lang w:eastAsia="en-US"/>
        </w:rPr>
      </w:pPr>
      <w:bookmarkStart w:id="98" w:name="_Toc172659184"/>
      <w:r w:rsidRPr="006038F2">
        <w:rPr>
          <w:rFonts w:ascii="Times New Roman" w:hAnsi="Times New Roman" w:cs="Times New Roman"/>
          <w:lang w:eastAsia="en-US"/>
        </w:rPr>
        <w:t xml:space="preserve">4.2.3 </w:t>
      </w:r>
      <w:r w:rsidR="008601F4" w:rsidRPr="006038F2">
        <w:rPr>
          <w:rFonts w:ascii="Times New Roman" w:hAnsi="Times New Roman" w:cs="Times New Roman"/>
          <w:lang w:eastAsia="en-US"/>
        </w:rPr>
        <w:t>Studies for future applications of GC</w:t>
      </w:r>
      <w:bookmarkEnd w:id="98"/>
    </w:p>
    <w:p w14:paraId="49F3CDC2" w14:textId="00AEAC18" w:rsidR="0003572A" w:rsidRPr="006038F2" w:rsidRDefault="0003572A" w:rsidP="009A2ADC">
      <w:pPr>
        <w:spacing w:line="480" w:lineRule="auto"/>
        <w:ind w:firstLine="720"/>
        <w:rPr>
          <w:rFonts w:ascii="Times New Roman" w:hAnsi="Times New Roman" w:cs="Times New Roman"/>
          <w:color w:val="000000" w:themeColor="text1"/>
        </w:rPr>
      </w:pPr>
      <w:r w:rsidRPr="006038F2">
        <w:rPr>
          <w:rFonts w:ascii="Times New Roman" w:hAnsi="Times New Roman" w:cs="Times New Roman"/>
        </w:rPr>
        <w:t xml:space="preserve">Future studies utilizing the IVIS imaging modality hold promise in the monitoring of tumor progression as well </w:t>
      </w:r>
      <w:sdt>
        <w:sdtPr>
          <w:rPr>
            <w:rFonts w:ascii="Times New Roman" w:hAnsi="Times New Roman" w:cs="Times New Roman"/>
          </w:rPr>
          <w:id w:val="-2141950829"/>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Alb24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(Albert Einstein College of Medicine, 2024)</w:t>
          </w:r>
          <w:r w:rsidRPr="006038F2">
            <w:rPr>
              <w:rFonts w:ascii="Times New Roman" w:hAnsi="Times New Roman" w:cs="Times New Roman"/>
            </w:rPr>
            <w:fldChar w:fldCharType="end"/>
          </w:r>
        </w:sdtContent>
      </w:sdt>
      <w:r w:rsidRPr="006038F2">
        <w:rPr>
          <w:rFonts w:ascii="Times New Roman" w:hAnsi="Times New Roman" w:cs="Times New Roman"/>
        </w:rPr>
        <w:t xml:space="preserve">. Learned protocols and imaging optimizations will benefit the future of the lab in endeavors such as these. Imaging of mammary tumor progression using the IVIS has already been done preliminarily </w:t>
      </w:r>
      <w:sdt>
        <w:sdtPr>
          <w:rPr>
            <w:rFonts w:ascii="Times New Roman" w:hAnsi="Times New Roman" w:cs="Times New Roman"/>
          </w:rPr>
          <w:id w:val="-492490927"/>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Lim09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(Lim, 2009)</w:t>
          </w:r>
          <w:r w:rsidRPr="006038F2">
            <w:rPr>
              <w:rFonts w:ascii="Times New Roman" w:hAnsi="Times New Roman" w:cs="Times New Roman"/>
            </w:rPr>
            <w:fldChar w:fldCharType="end"/>
          </w:r>
        </w:sdtContent>
      </w:sdt>
      <w:r w:rsidRPr="006038F2">
        <w:rPr>
          <w:rFonts w:ascii="Times New Roman" w:hAnsi="Times New Roman" w:cs="Times New Roman"/>
        </w:rPr>
        <w:t xml:space="preserve">. That study tagged tumor cells to express luciferase fluorescence. Combined with the reporter mouse model, both interferon </w:t>
      </w:r>
      <w:proofErr w:type="spellStart"/>
      <w:r w:rsidRPr="006038F2">
        <w:rPr>
          <w:rFonts w:ascii="Times New Roman" w:hAnsi="Times New Roman" w:cs="Times New Roman"/>
        </w:rPr>
        <w:t>DsRed</w:t>
      </w:r>
      <w:proofErr w:type="spellEnd"/>
      <w:r w:rsidRPr="006038F2">
        <w:rPr>
          <w:rFonts w:ascii="Times New Roman" w:hAnsi="Times New Roman" w:cs="Times New Roman"/>
        </w:rPr>
        <w:t xml:space="preserve"> signal and </w:t>
      </w:r>
      <w:r w:rsidR="009707BB" w:rsidRPr="006038F2">
        <w:rPr>
          <w:rFonts w:ascii="Times New Roman" w:hAnsi="Times New Roman" w:cs="Times New Roman"/>
        </w:rPr>
        <w:t>tumor</w:t>
      </w:r>
      <w:r w:rsidRPr="006038F2">
        <w:rPr>
          <w:rFonts w:ascii="Times New Roman" w:hAnsi="Times New Roman" w:cs="Times New Roman"/>
        </w:rPr>
        <w:t xml:space="preserve"> luciferase signal could be measured, as the IVIS machine can measure multiple wavelengths </w:t>
      </w:r>
      <w:sdt>
        <w:sdtPr>
          <w:rPr>
            <w:rFonts w:ascii="Times New Roman" w:hAnsi="Times New Roman" w:cs="Times New Roman"/>
          </w:rPr>
          <w:id w:val="-1017153640"/>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Cal24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(Caliper Life Sciences, 2024)</w:t>
          </w:r>
          <w:r w:rsidRPr="006038F2">
            <w:rPr>
              <w:rFonts w:ascii="Times New Roman" w:hAnsi="Times New Roman" w:cs="Times New Roman"/>
            </w:rPr>
            <w:fldChar w:fldCharType="end"/>
          </w:r>
        </w:sdtContent>
      </w:sdt>
      <w:r w:rsidRPr="006038F2">
        <w:rPr>
          <w:rFonts w:ascii="Times New Roman" w:hAnsi="Times New Roman" w:cs="Times New Roman"/>
        </w:rPr>
        <w:t>. This would allow comparison of the progression of the tumor size with progression of the immune response upon GC treatment. Furthermore, a better understanding of the optimizations of the RNA sequencing protocol can lead into the improvement of LIT as well. Using single-cell sequencing for tumor environment analysis during the tumor growth progression and treatment application could provide a whole new understanding of the immune and cell-to-cell interactions</w:t>
      </w:r>
      <w:sdt>
        <w:sdtPr>
          <w:rPr>
            <w:rFonts w:ascii="Times New Roman" w:hAnsi="Times New Roman" w:cs="Times New Roman"/>
          </w:rPr>
          <w:id w:val="-736319736"/>
          <w:citation/>
        </w:sdtPr>
        <w:sdtContent>
          <w:r w:rsidRPr="006038F2">
            <w:rPr>
              <w:rFonts w:ascii="Times New Roman" w:hAnsi="Times New Roman" w:cs="Times New Roman"/>
            </w:rPr>
            <w:fldChar w:fldCharType="begin"/>
          </w:r>
          <w:r w:rsidRPr="006038F2">
            <w:rPr>
              <w:rFonts w:ascii="Times New Roman" w:hAnsi="Times New Roman" w:cs="Times New Roman"/>
              <w:color w:val="000000" w:themeColor="text1"/>
            </w:rPr>
            <w:instrText xml:space="preserve"> CITATION Yue21 \l 1033 </w:instrText>
          </w:r>
          <w:r w:rsidRPr="006038F2">
            <w:rPr>
              <w:rFonts w:ascii="Times New Roman" w:hAnsi="Times New Roman" w:cs="Times New Roman"/>
            </w:rPr>
            <w:fldChar w:fldCharType="separate"/>
          </w:r>
          <w:r w:rsidR="00B56B5A" w:rsidRPr="006038F2">
            <w:rPr>
              <w:rFonts w:ascii="Times New Roman" w:hAnsi="Times New Roman" w:cs="Times New Roman"/>
              <w:noProof/>
              <w:color w:val="000000" w:themeColor="text1"/>
            </w:rPr>
            <w:t xml:space="preserve"> (Yu e. a., 2021)</w:t>
          </w:r>
          <w:r w:rsidRPr="006038F2">
            <w:rPr>
              <w:rFonts w:ascii="Times New Roman" w:hAnsi="Times New Roman" w:cs="Times New Roman"/>
            </w:rPr>
            <w:fldChar w:fldCharType="end"/>
          </w:r>
        </w:sdtContent>
      </w:sdt>
      <w:r w:rsidRPr="006038F2">
        <w:rPr>
          <w:rFonts w:ascii="Times New Roman" w:hAnsi="Times New Roman" w:cs="Times New Roman"/>
          <w:color w:val="000000" w:themeColor="text1"/>
        </w:rPr>
        <w:t>. This deeper level of understanding only stands to benefit the lab by allowing improvements to the established use in cancer therapy.</w:t>
      </w:r>
    </w:p>
    <w:p w14:paraId="29295834" w14:textId="77777777" w:rsidR="0003572A" w:rsidRPr="006038F2" w:rsidRDefault="0003572A" w:rsidP="009A2ADC">
      <w:pPr>
        <w:spacing w:line="480" w:lineRule="auto"/>
        <w:ind w:firstLine="720"/>
        <w:rPr>
          <w:rFonts w:ascii="Times New Roman" w:hAnsi="Times New Roman" w:cs="Times New Roman"/>
        </w:rPr>
      </w:pPr>
      <w:r w:rsidRPr="006038F2">
        <w:rPr>
          <w:rFonts w:ascii="Times New Roman" w:hAnsi="Times New Roman" w:cs="Times New Roman"/>
          <w:color w:val="000000" w:themeColor="text1"/>
        </w:rPr>
        <w:t xml:space="preserve">Additionally, future studies will aim to prove the drug functionality for expansion to the use in other disease treatment types. As referenced and as shown in </w:t>
      </w:r>
      <w:r w:rsidRPr="006038F2">
        <w:rPr>
          <w:rFonts w:ascii="Times New Roman" w:hAnsi="Times New Roman" w:cs="Times New Roman"/>
          <w:color w:val="000000" w:themeColor="text1"/>
        </w:rPr>
        <w:fldChar w:fldCharType="begin"/>
      </w:r>
      <w:r w:rsidRPr="006038F2">
        <w:rPr>
          <w:rFonts w:ascii="Times New Roman" w:hAnsi="Times New Roman" w:cs="Times New Roman"/>
          <w:color w:val="000000" w:themeColor="text1"/>
        </w:rPr>
        <w:instrText xml:space="preserve"> REF _Ref171027483 \h  \* MERGEFORMAT </w:instrText>
      </w:r>
      <w:r w:rsidRPr="006038F2">
        <w:rPr>
          <w:rFonts w:ascii="Times New Roman" w:hAnsi="Times New Roman" w:cs="Times New Roman"/>
          <w:color w:val="000000" w:themeColor="text1"/>
        </w:rPr>
      </w:r>
      <w:r w:rsidRPr="006038F2">
        <w:rPr>
          <w:rFonts w:ascii="Times New Roman" w:hAnsi="Times New Roman" w:cs="Times New Roman"/>
          <w:color w:val="000000" w:themeColor="text1"/>
        </w:rPr>
        <w:fldChar w:fldCharType="separate"/>
      </w:r>
      <w:r w:rsidRPr="006038F2">
        <w:rPr>
          <w:rFonts w:ascii="Times New Roman" w:hAnsi="Times New Roman" w:cs="Times New Roman"/>
        </w:rPr>
        <w:t xml:space="preserve">Appendix D: Previous </w:t>
      </w:r>
      <w:r w:rsidRPr="006038F2">
        <w:rPr>
          <w:rFonts w:ascii="Times New Roman" w:hAnsi="Times New Roman" w:cs="Times New Roman"/>
        </w:rPr>
        <w:lastRenderedPageBreak/>
        <w:t>COVID survival study with GC</w:t>
      </w:r>
      <w:r w:rsidRPr="006038F2">
        <w:rPr>
          <w:rFonts w:ascii="Times New Roman" w:hAnsi="Times New Roman" w:cs="Times New Roman"/>
          <w:color w:val="000000" w:themeColor="text1"/>
        </w:rPr>
        <w:fldChar w:fldCharType="end"/>
      </w:r>
      <w:r w:rsidRPr="006038F2">
        <w:rPr>
          <w:rFonts w:ascii="Times New Roman" w:hAnsi="Times New Roman" w:cs="Times New Roman"/>
          <w:color w:val="000000" w:themeColor="text1"/>
        </w:rPr>
        <w:t>, GC has reduced mortality in COVID studies. Thus, by understanding GC’s mechanism in the intranasal cavity, future studies will also be able to find ways to expand GC’s use into applications such as a COVID vaccine.</w:t>
      </w:r>
    </w:p>
    <w:p w14:paraId="32299CBB" w14:textId="77777777" w:rsidR="0003572A" w:rsidRPr="006038F2" w:rsidRDefault="0003572A" w:rsidP="009A2ADC">
      <w:pPr>
        <w:pStyle w:val="ListParagraph"/>
        <w:numPr>
          <w:ilvl w:val="0"/>
          <w:numId w:val="8"/>
        </w:numPr>
        <w:spacing w:line="480" w:lineRule="auto"/>
        <w:rPr>
          <w:rFonts w:ascii="Times New Roman" w:hAnsi="Times New Roman" w:cs="Times New Roman"/>
          <w:lang w:eastAsia="en-US"/>
        </w:rPr>
      </w:pPr>
      <w:r w:rsidRPr="006038F2">
        <w:rPr>
          <w:rFonts w:ascii="Times New Roman" w:hAnsi="Times New Roman" w:cs="Times New Roman"/>
          <w:lang w:eastAsia="en-US"/>
        </w:rPr>
        <w:br w:type="page"/>
      </w:r>
    </w:p>
    <w:bookmarkStart w:id="99" w:name="_Toc172659185" w:displacedByCustomXml="next"/>
    <w:sdt>
      <w:sdtPr>
        <w:rPr>
          <w:rFonts w:ascii="Times New Roman" w:eastAsiaTheme="minorEastAsia" w:hAnsi="Times New Roman" w:cs="Times New Roman"/>
          <w:color w:val="auto"/>
          <w:sz w:val="24"/>
          <w:szCs w:val="24"/>
        </w:rPr>
        <w:id w:val="-558637962"/>
        <w:docPartObj>
          <w:docPartGallery w:val="Bibliographies"/>
          <w:docPartUnique/>
        </w:docPartObj>
      </w:sdtPr>
      <w:sdtEndPr>
        <w:rPr>
          <w:b/>
          <w:bCs/>
        </w:rPr>
      </w:sdtEndPr>
      <w:sdtContent>
        <w:p w14:paraId="016E839C" w14:textId="77777777" w:rsidR="0003572A" w:rsidRPr="006038F2" w:rsidRDefault="0003572A" w:rsidP="0003572A">
          <w:pPr>
            <w:pStyle w:val="Heading1"/>
            <w:rPr>
              <w:rFonts w:ascii="Times New Roman" w:hAnsi="Times New Roman" w:cs="Times New Roman"/>
            </w:rPr>
          </w:pPr>
          <w:r w:rsidRPr="006038F2">
            <w:rPr>
              <w:rFonts w:ascii="Times New Roman" w:hAnsi="Times New Roman" w:cs="Times New Roman"/>
            </w:rPr>
            <w:t>Bibliography</w:t>
          </w:r>
          <w:bookmarkEnd w:id="99"/>
        </w:p>
        <w:p w14:paraId="5A7FE5F9" w14:textId="77777777" w:rsidR="00B56B5A" w:rsidRPr="006038F2" w:rsidRDefault="0003572A" w:rsidP="00B56B5A">
          <w:pPr>
            <w:pStyle w:val="Bibliography"/>
            <w:ind w:left="720" w:hanging="720"/>
            <w:rPr>
              <w:rFonts w:ascii="Times New Roman" w:hAnsi="Times New Roman" w:cs="Times New Roman"/>
              <w:noProof/>
            </w:rPr>
          </w:pPr>
          <w:r w:rsidRPr="006038F2">
            <w:rPr>
              <w:rFonts w:ascii="Times New Roman" w:hAnsi="Times New Roman" w:cs="Times New Roman"/>
            </w:rPr>
            <w:fldChar w:fldCharType="begin"/>
          </w:r>
          <w:r w:rsidRPr="006038F2">
            <w:rPr>
              <w:rFonts w:ascii="Times New Roman" w:hAnsi="Times New Roman" w:cs="Times New Roman"/>
            </w:rPr>
            <w:instrText xml:space="preserve"> BIBLIOGRAPHY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A Nacer, D. C. (2014). Imaging murine NALT following intranasal immunization with flagellin-modified circumsporozoite protein malaria vaccines. </w:t>
          </w:r>
          <w:r w:rsidR="00B56B5A" w:rsidRPr="006038F2">
            <w:rPr>
              <w:rFonts w:ascii="Times New Roman" w:hAnsi="Times New Roman" w:cs="Times New Roman"/>
              <w:i/>
              <w:iCs/>
              <w:noProof/>
            </w:rPr>
            <w:t>Mucosal Immunology</w:t>
          </w:r>
          <w:r w:rsidR="00B56B5A" w:rsidRPr="006038F2">
            <w:rPr>
              <w:rFonts w:ascii="Times New Roman" w:hAnsi="Times New Roman" w:cs="Times New Roman"/>
              <w:noProof/>
            </w:rPr>
            <w:t>, 304-314.</w:t>
          </w:r>
        </w:p>
        <w:p w14:paraId="77A67405"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Agostino, e. a. (2022). Protocol for isolation and characterization of lung tissue resident memory T cells and airway trained innate immunity after intranasal vaccination in mice. </w:t>
          </w:r>
          <w:r w:rsidRPr="006038F2">
            <w:rPr>
              <w:rFonts w:ascii="Times New Roman" w:hAnsi="Times New Roman" w:cs="Times New Roman"/>
              <w:i/>
              <w:iCs/>
              <w:noProof/>
            </w:rPr>
            <w:t>STAR Protocols</w:t>
          </w:r>
          <w:r w:rsidRPr="006038F2">
            <w:rPr>
              <w:rFonts w:ascii="Times New Roman" w:hAnsi="Times New Roman" w:cs="Times New Roman"/>
              <w:noProof/>
            </w:rPr>
            <w:t>.</w:t>
          </w:r>
        </w:p>
        <w:p w14:paraId="47BDD99B"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Albert Einstein College of Medicine. (2024). </w:t>
          </w:r>
          <w:r w:rsidRPr="006038F2">
            <w:rPr>
              <w:rFonts w:ascii="Times New Roman" w:hAnsi="Times New Roman" w:cs="Times New Roman"/>
              <w:i/>
              <w:iCs/>
              <w:noProof/>
            </w:rPr>
            <w:t>In Vivo Imaging System (IVIS)</w:t>
          </w:r>
          <w:r w:rsidRPr="006038F2">
            <w:rPr>
              <w:rFonts w:ascii="Times New Roman" w:hAnsi="Times New Roman" w:cs="Times New Roman"/>
              <w:noProof/>
            </w:rPr>
            <w:t>. Retrieved from Shared Facilities &amp; Cores: https://einsteinmed.edu/research/shared-facilities/cores/77/in-vivo-imaging-system-ivis/#:~:text=The%20IVIS%20facility%20provides%20access,or%20far%2Dred%20fluorescent%20probes.</w:t>
          </w:r>
        </w:p>
        <w:p w14:paraId="5951D777"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Bittner-Eddy, P. D. (2017). Discriminating between Interstitital and Circulating Leukocytes in Tissues of the Murine Oral Mucosa Avoiding Nasal-Associated Lymphoid Tissue Contamination. </w:t>
          </w:r>
          <w:r w:rsidRPr="006038F2">
            <w:rPr>
              <w:rFonts w:ascii="Times New Roman" w:hAnsi="Times New Roman" w:cs="Times New Roman"/>
              <w:i/>
              <w:iCs/>
              <w:noProof/>
            </w:rPr>
            <w:t>Frontiers in Immunology</w:t>
          </w:r>
          <w:r w:rsidRPr="006038F2">
            <w:rPr>
              <w:rFonts w:ascii="Times New Roman" w:hAnsi="Times New Roman" w:cs="Times New Roman"/>
              <w:noProof/>
            </w:rPr>
            <w:t>, 1398.</w:t>
          </w:r>
        </w:p>
        <w:p w14:paraId="33C3C700"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Caliper Life Sciences. (2024). </w:t>
          </w:r>
          <w:r w:rsidRPr="006038F2">
            <w:rPr>
              <w:rFonts w:ascii="Times New Roman" w:hAnsi="Times New Roman" w:cs="Times New Roman"/>
              <w:i/>
              <w:iCs/>
              <w:noProof/>
            </w:rPr>
            <w:t>IVIS Spectrum: Advanced Small Animal Imaging of Fluorescent and Bioluminescent Probe.</w:t>
          </w:r>
          <w:r w:rsidRPr="006038F2">
            <w:rPr>
              <w:rFonts w:ascii="Times New Roman" w:hAnsi="Times New Roman" w:cs="Times New Roman"/>
              <w:noProof/>
            </w:rPr>
            <w:t xml:space="preserve"> Retrieved from iLab Solutions: https://content.ilabsolutions.com/wp-content/uploads/2014/11/IVIS-Spectrum-Advanced-Training-Presentation.pdf</w:t>
          </w:r>
        </w:p>
        <w:p w14:paraId="78B60B8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Carroll, e. a. (2016). Th Vaccine Adjuvant Chitosan Promotes Cellular Immunity vis DNA Sensor cGAS-STING-Dependent Induction of Type I Interferons. </w:t>
          </w:r>
          <w:r w:rsidRPr="006038F2">
            <w:rPr>
              <w:rFonts w:ascii="Times New Roman" w:hAnsi="Times New Roman" w:cs="Times New Roman"/>
              <w:i/>
              <w:iCs/>
              <w:noProof/>
            </w:rPr>
            <w:t>Immunity</w:t>
          </w:r>
          <w:r w:rsidRPr="006038F2">
            <w:rPr>
              <w:rFonts w:ascii="Times New Roman" w:hAnsi="Times New Roman" w:cs="Times New Roman"/>
              <w:noProof/>
            </w:rPr>
            <w:t>, 597-608.</w:t>
          </w:r>
        </w:p>
        <w:p w14:paraId="7AE4897C"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CD Genomics. (2024). </w:t>
          </w:r>
          <w:r w:rsidRPr="006038F2">
            <w:rPr>
              <w:rFonts w:ascii="Times New Roman" w:hAnsi="Times New Roman" w:cs="Times New Roman"/>
              <w:i/>
              <w:iCs/>
              <w:noProof/>
            </w:rPr>
            <w:t>Bulk RNA Sequencing vs. Single Cell RNA Sequencing</w:t>
          </w:r>
          <w:r w:rsidRPr="006038F2">
            <w:rPr>
              <w:rFonts w:ascii="Times New Roman" w:hAnsi="Times New Roman" w:cs="Times New Roman"/>
              <w:noProof/>
            </w:rPr>
            <w:t>. Retrieved from CD Genomics - RNA solutions: https://rna.cd-genomics.com/resource/bulk-rna-vs-single-cell-rna-seq.html</w:t>
          </w:r>
        </w:p>
        <w:p w14:paraId="2C7B65A4"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CDC. (2022, Sep 27). </w:t>
          </w:r>
          <w:r w:rsidRPr="006038F2">
            <w:rPr>
              <w:rFonts w:ascii="Times New Roman" w:hAnsi="Times New Roman" w:cs="Times New Roman"/>
              <w:i/>
              <w:iCs/>
              <w:noProof/>
            </w:rPr>
            <w:t>Adjuvants and Vaccines</w:t>
          </w:r>
          <w:r w:rsidRPr="006038F2">
            <w:rPr>
              <w:rFonts w:ascii="Times New Roman" w:hAnsi="Times New Roman" w:cs="Times New Roman"/>
              <w:noProof/>
            </w:rPr>
            <w:t>. Retrieved from CDC: https://www.cdc.gov/vaccinesafety/concerns/adjuvants.html</w:t>
          </w:r>
        </w:p>
        <w:p w14:paraId="14F70758"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Cho, K. a. (2022). The Evasion Mechanisms of Cancer Immunity and Drug Intervention in the Tumor Microenvironment. </w:t>
          </w:r>
          <w:r w:rsidRPr="006038F2">
            <w:rPr>
              <w:rFonts w:ascii="Times New Roman" w:hAnsi="Times New Roman" w:cs="Times New Roman"/>
              <w:i/>
              <w:iCs/>
              <w:noProof/>
            </w:rPr>
            <w:t>Frontiers in pharmacology</w:t>
          </w:r>
          <w:r w:rsidRPr="006038F2">
            <w:rPr>
              <w:rFonts w:ascii="Times New Roman" w:hAnsi="Times New Roman" w:cs="Times New Roman"/>
              <w:noProof/>
            </w:rPr>
            <w:t>.</w:t>
          </w:r>
        </w:p>
        <w:p w14:paraId="63E16860"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Cisney, F. H. (2012). Examining the role of nasopharymgeal-associated lymphoreticular tissue (NALT) in mouse responses to vaccines. </w:t>
          </w:r>
          <w:r w:rsidRPr="006038F2">
            <w:rPr>
              <w:rFonts w:ascii="Times New Roman" w:hAnsi="Times New Roman" w:cs="Times New Roman"/>
              <w:i/>
              <w:iCs/>
              <w:noProof/>
            </w:rPr>
            <w:t>JoVE</w:t>
          </w:r>
          <w:r w:rsidRPr="006038F2">
            <w:rPr>
              <w:rFonts w:ascii="Times New Roman" w:hAnsi="Times New Roman" w:cs="Times New Roman"/>
              <w:noProof/>
            </w:rPr>
            <w:t>, 3960.</w:t>
          </w:r>
        </w:p>
        <w:p w14:paraId="596E078F"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Coates, e. a. (2023). Temporal profiling of human lymphoid tissues reveals coordinated defence to viral challenge. </w:t>
          </w:r>
          <w:r w:rsidRPr="006038F2">
            <w:rPr>
              <w:rFonts w:ascii="Times New Roman" w:hAnsi="Times New Roman" w:cs="Times New Roman"/>
              <w:i/>
              <w:iCs/>
              <w:noProof/>
            </w:rPr>
            <w:t>BioRxiv</w:t>
          </w:r>
          <w:r w:rsidRPr="006038F2">
            <w:rPr>
              <w:rFonts w:ascii="Times New Roman" w:hAnsi="Times New Roman" w:cs="Times New Roman"/>
              <w:noProof/>
            </w:rPr>
            <w:t>.</w:t>
          </w:r>
        </w:p>
        <w:p w14:paraId="6D24ED3C"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Cool, e. a. (2013). Comparison of In Vivo Optical Systems for Bioluminescence and Fluorescence Imaging. </w:t>
          </w:r>
          <w:r w:rsidRPr="006038F2">
            <w:rPr>
              <w:rFonts w:ascii="Times New Roman" w:hAnsi="Times New Roman" w:cs="Times New Roman"/>
              <w:i/>
              <w:iCs/>
              <w:noProof/>
            </w:rPr>
            <w:t>Journal of Fluorescence</w:t>
          </w:r>
          <w:r w:rsidRPr="006038F2">
            <w:rPr>
              <w:rFonts w:ascii="Times New Roman" w:hAnsi="Times New Roman" w:cs="Times New Roman"/>
              <w:noProof/>
            </w:rPr>
            <w:t>, 909-920.</w:t>
          </w:r>
        </w:p>
        <w:p w14:paraId="3CAE1367"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Debertin, e. a. (2003). Nasal-associated lymphoid tissue (NALT): frequency and localization in young children. </w:t>
          </w:r>
          <w:r w:rsidRPr="006038F2">
            <w:rPr>
              <w:rFonts w:ascii="Times New Roman" w:hAnsi="Times New Roman" w:cs="Times New Roman"/>
              <w:i/>
              <w:iCs/>
              <w:noProof/>
            </w:rPr>
            <w:t>Clinical and experimental immunology</w:t>
          </w:r>
          <w:r w:rsidRPr="006038F2">
            <w:rPr>
              <w:rFonts w:ascii="Times New Roman" w:hAnsi="Times New Roman" w:cs="Times New Roman"/>
              <w:noProof/>
            </w:rPr>
            <w:t>, 503-507.</w:t>
          </w:r>
        </w:p>
        <w:p w14:paraId="7D2B32F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Dillekas, e. a. (2019). Are 90% of deaths from cancer caused by metastases? </w:t>
          </w:r>
          <w:r w:rsidRPr="006038F2">
            <w:rPr>
              <w:rFonts w:ascii="Times New Roman" w:hAnsi="Times New Roman" w:cs="Times New Roman"/>
              <w:i/>
              <w:iCs/>
              <w:noProof/>
            </w:rPr>
            <w:t>Cancer medicine</w:t>
          </w:r>
          <w:r w:rsidRPr="006038F2">
            <w:rPr>
              <w:rFonts w:ascii="Times New Roman" w:hAnsi="Times New Roman" w:cs="Times New Roman"/>
              <w:noProof/>
            </w:rPr>
            <w:t>, 5574-5576. Retrieved from https://www.ncbi.nlm.nih.gov/pmc/articles/PMC6745820/</w:t>
          </w:r>
        </w:p>
        <w:p w14:paraId="7D4EA0FD"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Esha Bala, S. S. (2019). Ch 25. In </w:t>
          </w:r>
          <w:r w:rsidRPr="006038F2">
            <w:rPr>
              <w:rFonts w:ascii="Times New Roman" w:hAnsi="Times New Roman" w:cs="Times New Roman"/>
              <w:i/>
              <w:iCs/>
              <w:noProof/>
            </w:rPr>
            <w:t>Natural Polysaccharides in Drug Delivery and Biomedical Applications</w:t>
          </w:r>
          <w:r w:rsidRPr="006038F2">
            <w:rPr>
              <w:rFonts w:ascii="Times New Roman" w:hAnsi="Times New Roman" w:cs="Times New Roman"/>
              <w:noProof/>
            </w:rPr>
            <w:t xml:space="preserve"> (pp. 567-588). Academic Press.</w:t>
          </w:r>
        </w:p>
        <w:p w14:paraId="4C830EC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Fordyce, K. D. (2013). Long-term RNA persistence in postmortem contexts. </w:t>
          </w:r>
          <w:r w:rsidRPr="006038F2">
            <w:rPr>
              <w:rFonts w:ascii="Times New Roman" w:hAnsi="Times New Roman" w:cs="Times New Roman"/>
              <w:i/>
              <w:iCs/>
              <w:noProof/>
            </w:rPr>
            <w:t>Investigative Genetics</w:t>
          </w:r>
          <w:r w:rsidRPr="006038F2">
            <w:rPr>
              <w:rFonts w:ascii="Times New Roman" w:hAnsi="Times New Roman" w:cs="Times New Roman"/>
              <w:noProof/>
            </w:rPr>
            <w:t>, 7.</w:t>
          </w:r>
        </w:p>
        <w:p w14:paraId="5ADA044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Hegenbarth, e. a. (2022). Perspectives on Bulk-Tissue RNA Sequencing and Single-Cell RNA Sequencing for Cardiac Transcriptomics. </w:t>
          </w:r>
          <w:r w:rsidRPr="006038F2">
            <w:rPr>
              <w:rFonts w:ascii="Times New Roman" w:hAnsi="Times New Roman" w:cs="Times New Roman"/>
              <w:i/>
              <w:iCs/>
              <w:noProof/>
            </w:rPr>
            <w:t>Molecuar Medicine for Cardiology</w:t>
          </w:r>
          <w:r w:rsidRPr="006038F2">
            <w:rPr>
              <w:rFonts w:ascii="Times New Roman" w:hAnsi="Times New Roman" w:cs="Times New Roman"/>
              <w:noProof/>
            </w:rPr>
            <w:t>.</w:t>
          </w:r>
        </w:p>
        <w:p w14:paraId="78E26BBB"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Hoover, e. a. (2022). A novel biopolymer synergizes type I IFN and IL-1β production through STING. </w:t>
          </w:r>
          <w:r w:rsidRPr="006038F2">
            <w:rPr>
              <w:rFonts w:ascii="Times New Roman" w:hAnsi="Times New Roman" w:cs="Times New Roman"/>
              <w:i/>
              <w:iCs/>
              <w:noProof/>
            </w:rPr>
            <w:t>bioRxiv</w:t>
          </w:r>
          <w:r w:rsidRPr="006038F2">
            <w:rPr>
              <w:rFonts w:ascii="Times New Roman" w:hAnsi="Times New Roman" w:cs="Times New Roman"/>
              <w:noProof/>
            </w:rPr>
            <w:t>.</w:t>
          </w:r>
        </w:p>
        <w:p w14:paraId="214BECA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lastRenderedPageBreak/>
            <w:t xml:space="preserve">Hylander, R. a. (2022). Using Mice to Model Human Disease: Understanding the Roles of Baseline Housing-Induced and Experimentally Imposed Stresses in Animal Welfare and Experimental Reproducibility. </w:t>
          </w:r>
          <w:r w:rsidRPr="006038F2">
            <w:rPr>
              <w:rFonts w:ascii="Times New Roman" w:hAnsi="Times New Roman" w:cs="Times New Roman"/>
              <w:i/>
              <w:iCs/>
              <w:noProof/>
            </w:rPr>
            <w:t>Animals: an open access journal from MDPI</w:t>
          </w:r>
          <w:r w:rsidRPr="006038F2">
            <w:rPr>
              <w:rFonts w:ascii="Times New Roman" w:hAnsi="Times New Roman" w:cs="Times New Roman"/>
              <w:noProof/>
            </w:rPr>
            <w:t>, 371.</w:t>
          </w:r>
        </w:p>
        <w:p w14:paraId="78C1B487"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Illumina. (2024). </w:t>
          </w:r>
          <w:r w:rsidRPr="006038F2">
            <w:rPr>
              <w:rFonts w:ascii="Times New Roman" w:hAnsi="Times New Roman" w:cs="Times New Roman"/>
              <w:i/>
              <w:iCs/>
              <w:noProof/>
            </w:rPr>
            <w:t>Study gene expression using RNA sequencing</w:t>
          </w:r>
          <w:r w:rsidRPr="006038F2">
            <w:rPr>
              <w:rFonts w:ascii="Times New Roman" w:hAnsi="Times New Roman" w:cs="Times New Roman"/>
              <w:noProof/>
            </w:rPr>
            <w:t>. Retrieved from Illumina.com: https://www.illumina.com/techniques/sequencing/rna-sequencing.html</w:t>
          </w:r>
        </w:p>
        <w:p w14:paraId="3A37894B"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Jackson Laboratory. (2024). </w:t>
          </w:r>
          <w:r w:rsidRPr="006038F2">
            <w:rPr>
              <w:rFonts w:ascii="Times New Roman" w:hAnsi="Times New Roman" w:cs="Times New Roman"/>
              <w:i/>
              <w:iCs/>
              <w:noProof/>
            </w:rPr>
            <w:t>069613 - M1Red Strain Details</w:t>
          </w:r>
          <w:r w:rsidRPr="006038F2">
            <w:rPr>
              <w:rFonts w:ascii="Times New Roman" w:hAnsi="Times New Roman" w:cs="Times New Roman"/>
              <w:noProof/>
            </w:rPr>
            <w:t>. Retrieved from The Jackson Laboratory: https://www.jax.org/strain/037280</w:t>
          </w:r>
        </w:p>
        <w:p w14:paraId="7F9ACB7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Jackson Laboratory. (n.d.). </w:t>
          </w:r>
          <w:r w:rsidRPr="006038F2">
            <w:rPr>
              <w:rFonts w:ascii="Times New Roman" w:hAnsi="Times New Roman" w:cs="Times New Roman"/>
              <w:i/>
              <w:iCs/>
              <w:noProof/>
            </w:rPr>
            <w:t>C57BL/6-Tg(Irgm1-DsRed2)1Nci/Mmjax</w:t>
          </w:r>
          <w:r w:rsidRPr="006038F2">
            <w:rPr>
              <w:rFonts w:ascii="Times New Roman" w:hAnsi="Times New Roman" w:cs="Times New Roman"/>
              <w:noProof/>
            </w:rPr>
            <w:t>. Retrieved from The Jackson Laboratory: https://www.jax.org/strain/037280</w:t>
          </w:r>
        </w:p>
        <w:p w14:paraId="707BE65F"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JoVE Journal. (2012). </w:t>
          </w:r>
          <w:r w:rsidRPr="006038F2">
            <w:rPr>
              <w:rFonts w:ascii="Times New Roman" w:hAnsi="Times New Roman" w:cs="Times New Roman"/>
              <w:i/>
              <w:iCs/>
              <w:noProof/>
            </w:rPr>
            <w:t>Examining the role of NALT in mouse reponses to vaccines</w:t>
          </w:r>
          <w:r w:rsidRPr="006038F2">
            <w:rPr>
              <w:rFonts w:ascii="Times New Roman" w:hAnsi="Times New Roman" w:cs="Times New Roman"/>
              <w:noProof/>
            </w:rPr>
            <w:t>. Retrieved from JoVE Journal: Immunology and Infection: https://app.jove.com/v/3960/examining-the-role-of-nasopharyngeal-associated-lymphoreticular-tissue-nalt-in-mouse-responses-to-vaccines</w:t>
          </w:r>
        </w:p>
        <w:p w14:paraId="5C41C46B"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Kang, e. a. (2013). Characteristics of nasal-associated lymphoid tissue (NALT) and nasal absorption capacity in chicken. </w:t>
          </w:r>
          <w:r w:rsidRPr="006038F2">
            <w:rPr>
              <w:rFonts w:ascii="Times New Roman" w:hAnsi="Times New Roman" w:cs="Times New Roman"/>
              <w:i/>
              <w:iCs/>
              <w:noProof/>
            </w:rPr>
            <w:t>PloS one</w:t>
          </w:r>
          <w:r w:rsidRPr="006038F2">
            <w:rPr>
              <w:rFonts w:ascii="Times New Roman" w:hAnsi="Times New Roman" w:cs="Times New Roman"/>
              <w:noProof/>
            </w:rPr>
            <w:t>.</w:t>
          </w:r>
        </w:p>
        <w:p w14:paraId="62192B17"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Lei, e. a. (2020). Activation and evasion of type I interferon responses by SARS-CoV-2. </w:t>
          </w:r>
          <w:r w:rsidRPr="006038F2">
            <w:rPr>
              <w:rFonts w:ascii="Times New Roman" w:hAnsi="Times New Roman" w:cs="Times New Roman"/>
              <w:i/>
              <w:iCs/>
              <w:noProof/>
            </w:rPr>
            <w:t>Nature communications</w:t>
          </w:r>
          <w:r w:rsidRPr="006038F2">
            <w:rPr>
              <w:rFonts w:ascii="Times New Roman" w:hAnsi="Times New Roman" w:cs="Times New Roman"/>
              <w:noProof/>
            </w:rPr>
            <w:t>.</w:t>
          </w:r>
        </w:p>
        <w:p w14:paraId="7A96F29C"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Li, e. a. (2011). Preliminary safety and efficacy results of laser immunotherapy for the treatment of metastatic breast cancer patients. </w:t>
          </w:r>
          <w:r w:rsidRPr="006038F2">
            <w:rPr>
              <w:rFonts w:ascii="Times New Roman" w:hAnsi="Times New Roman" w:cs="Times New Roman"/>
              <w:i/>
              <w:iCs/>
              <w:noProof/>
            </w:rPr>
            <w:t>Photochemical * photobiological sciences: Official journal of the European Photochemistry Association and the European Society for Photobiology</w:t>
          </w:r>
          <w:r w:rsidRPr="006038F2">
            <w:rPr>
              <w:rFonts w:ascii="Times New Roman" w:hAnsi="Times New Roman" w:cs="Times New Roman"/>
              <w:noProof/>
            </w:rPr>
            <w:t>, 817-821.</w:t>
          </w:r>
        </w:p>
        <w:p w14:paraId="0BE64209"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Lim, e. a. (2009). In vivo Bioluminescent Imaging of Mammary Tumors Using IVIS Spectrum. </w:t>
          </w:r>
          <w:r w:rsidRPr="006038F2">
            <w:rPr>
              <w:rFonts w:ascii="Times New Roman" w:hAnsi="Times New Roman" w:cs="Times New Roman"/>
              <w:i/>
              <w:iCs/>
              <w:noProof/>
            </w:rPr>
            <w:t>JoVE Journal of Biology</w:t>
          </w:r>
          <w:r w:rsidRPr="006038F2">
            <w:rPr>
              <w:rFonts w:ascii="Times New Roman" w:hAnsi="Times New Roman" w:cs="Times New Roman"/>
              <w:noProof/>
            </w:rPr>
            <w:t>.</w:t>
          </w:r>
        </w:p>
        <w:p w14:paraId="1B80146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Liu, e. a. (2022). Antigen presentation and interferon signatures in B cells driven by localized ablative cancer immunotherapy correlate with extended survival. </w:t>
          </w:r>
          <w:r w:rsidRPr="006038F2">
            <w:rPr>
              <w:rFonts w:ascii="Times New Roman" w:hAnsi="Times New Roman" w:cs="Times New Roman"/>
              <w:i/>
              <w:iCs/>
              <w:noProof/>
            </w:rPr>
            <w:t>Theranostics</w:t>
          </w:r>
          <w:r w:rsidRPr="006038F2">
            <w:rPr>
              <w:rFonts w:ascii="Times New Roman" w:hAnsi="Times New Roman" w:cs="Times New Roman"/>
              <w:noProof/>
            </w:rPr>
            <w:t>, 639-656.</w:t>
          </w:r>
        </w:p>
        <w:p w14:paraId="1B9AC786"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Love, A. K. (2015). RNA-seq workflow: gene-level exploratory analysis and differential expression. </w:t>
          </w:r>
          <w:r w:rsidRPr="006038F2">
            <w:rPr>
              <w:rFonts w:ascii="Times New Roman" w:hAnsi="Times New Roman" w:cs="Times New Roman"/>
              <w:i/>
              <w:iCs/>
              <w:noProof/>
            </w:rPr>
            <w:t>F1000Research</w:t>
          </w:r>
          <w:r w:rsidRPr="006038F2">
            <w:rPr>
              <w:rFonts w:ascii="Times New Roman" w:hAnsi="Times New Roman" w:cs="Times New Roman"/>
              <w:noProof/>
            </w:rPr>
            <w:t>, 1070.</w:t>
          </w:r>
        </w:p>
        <w:p w14:paraId="1BE523F1"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McNab, e. a. (2015). Type I interferons in infectious disease. </w:t>
          </w:r>
          <w:r w:rsidRPr="006038F2">
            <w:rPr>
              <w:rFonts w:ascii="Times New Roman" w:hAnsi="Times New Roman" w:cs="Times New Roman"/>
              <w:i/>
              <w:iCs/>
              <w:noProof/>
            </w:rPr>
            <w:t>Nature Reviews Immunology</w:t>
          </w:r>
          <w:r w:rsidRPr="006038F2">
            <w:rPr>
              <w:rFonts w:ascii="Times New Roman" w:hAnsi="Times New Roman" w:cs="Times New Roman"/>
              <w:noProof/>
            </w:rPr>
            <w:t>, 87-103.</w:t>
          </w:r>
        </w:p>
        <w:p w14:paraId="40A09A3C"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Mushegian, G. &amp;. (2010). Measuring gene expression divergence: the distance to keep. </w:t>
          </w:r>
          <w:r w:rsidRPr="006038F2">
            <w:rPr>
              <w:rFonts w:ascii="Times New Roman" w:hAnsi="Times New Roman" w:cs="Times New Roman"/>
              <w:i/>
              <w:iCs/>
              <w:noProof/>
            </w:rPr>
            <w:t>Biology direct</w:t>
          </w:r>
          <w:r w:rsidRPr="006038F2">
            <w:rPr>
              <w:rFonts w:ascii="Times New Roman" w:hAnsi="Times New Roman" w:cs="Times New Roman"/>
              <w:noProof/>
            </w:rPr>
            <w:t>, 51.</w:t>
          </w:r>
        </w:p>
        <w:p w14:paraId="6C49C6C9"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Naylor, e. a. (2006). In situ photoimmunotherapy: a tumor-directed treatment for melanoma. </w:t>
          </w:r>
          <w:r w:rsidRPr="006038F2">
            <w:rPr>
              <w:rFonts w:ascii="Times New Roman" w:hAnsi="Times New Roman" w:cs="Times New Roman"/>
              <w:i/>
              <w:iCs/>
              <w:noProof/>
            </w:rPr>
            <w:t>British Journal of Dermatology</w:t>
          </w:r>
          <w:r w:rsidRPr="006038F2">
            <w:rPr>
              <w:rFonts w:ascii="Times New Roman" w:hAnsi="Times New Roman" w:cs="Times New Roman"/>
              <w:noProof/>
            </w:rPr>
            <w:t>, 1287-1292.</w:t>
          </w:r>
        </w:p>
        <w:p w14:paraId="655C08CD"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Nelson, S. A. (2021). Potentiating Lung Mucosal Immunity Through Intranasal Vaccination. </w:t>
          </w:r>
          <w:r w:rsidRPr="006038F2">
            <w:rPr>
              <w:rFonts w:ascii="Times New Roman" w:hAnsi="Times New Roman" w:cs="Times New Roman"/>
              <w:i/>
              <w:iCs/>
              <w:noProof/>
            </w:rPr>
            <w:t>Frontieres in Immunology</w:t>
          </w:r>
          <w:r w:rsidRPr="006038F2">
            <w:rPr>
              <w:rFonts w:ascii="Times New Roman" w:hAnsi="Times New Roman" w:cs="Times New Roman"/>
              <w:noProof/>
            </w:rPr>
            <w:t>, 808527.</w:t>
          </w:r>
        </w:p>
        <w:p w14:paraId="16CA7D0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NIH. (2021, October 11). </w:t>
          </w:r>
          <w:r w:rsidRPr="006038F2">
            <w:rPr>
              <w:rFonts w:ascii="Times New Roman" w:hAnsi="Times New Roman" w:cs="Times New Roman"/>
              <w:i/>
              <w:iCs/>
              <w:noProof/>
            </w:rPr>
            <w:t>What is Cancer?</w:t>
          </w:r>
          <w:r w:rsidRPr="006038F2">
            <w:rPr>
              <w:rFonts w:ascii="Times New Roman" w:hAnsi="Times New Roman" w:cs="Times New Roman"/>
              <w:noProof/>
            </w:rPr>
            <w:t xml:space="preserve"> Retrieved from National Cancer Institute: https://www.cancer.gov/about-cancer/understanding/what-is-cancer</w:t>
          </w:r>
        </w:p>
        <w:p w14:paraId="712A9C1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PennState: Huck Institutes of the Life Sciences. (2024). </w:t>
          </w:r>
          <w:r w:rsidRPr="006038F2">
            <w:rPr>
              <w:rFonts w:ascii="Times New Roman" w:hAnsi="Times New Roman" w:cs="Times New Roman"/>
              <w:i/>
              <w:iCs/>
              <w:noProof/>
            </w:rPr>
            <w:t>RNA-seq Sample Guidelines</w:t>
          </w:r>
          <w:r w:rsidRPr="006038F2">
            <w:rPr>
              <w:rFonts w:ascii="Times New Roman" w:hAnsi="Times New Roman" w:cs="Times New Roman"/>
              <w:noProof/>
            </w:rPr>
            <w:t>. Retrieved from Penn State University: https://www.huck.psu.edu/core-facilities/genomics-core-facility/sample-recommendations/rna-seq-sample-guidelines#:~:text=We%20not%20only%20like%20to,of%20a%20group%20of%20samples.</w:t>
          </w:r>
        </w:p>
        <w:p w14:paraId="0AB289C1"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Romero, e. a. (2014). RNA-seq: impact of RNA degradation on transcript quantification. </w:t>
          </w:r>
          <w:r w:rsidRPr="006038F2">
            <w:rPr>
              <w:rFonts w:ascii="Times New Roman" w:hAnsi="Times New Roman" w:cs="Times New Roman"/>
              <w:i/>
              <w:iCs/>
              <w:noProof/>
            </w:rPr>
            <w:t>BMC Biology</w:t>
          </w:r>
          <w:r w:rsidRPr="006038F2">
            <w:rPr>
              <w:rFonts w:ascii="Times New Roman" w:hAnsi="Times New Roman" w:cs="Times New Roman"/>
              <w:noProof/>
            </w:rPr>
            <w:t>.</w:t>
          </w:r>
        </w:p>
        <w:p w14:paraId="7E5B6689"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lastRenderedPageBreak/>
            <w:t xml:space="preserve">Shemesh, e. a. (2021). SARS-CoV-2 suppresses IFNβ production mediated by NSP1, 5, 6, 15, ORF6 and ORF7b but does not suppress the effects of added interferon. </w:t>
          </w:r>
          <w:r w:rsidRPr="006038F2">
            <w:rPr>
              <w:rFonts w:ascii="Times New Roman" w:hAnsi="Times New Roman" w:cs="Times New Roman"/>
              <w:i/>
              <w:iCs/>
              <w:noProof/>
            </w:rPr>
            <w:t>PLOS Pathogens</w:t>
          </w:r>
          <w:r w:rsidRPr="006038F2">
            <w:rPr>
              <w:rFonts w:ascii="Times New Roman" w:hAnsi="Times New Roman" w:cs="Times New Roman"/>
              <w:noProof/>
            </w:rPr>
            <w:t>.</w:t>
          </w:r>
        </w:p>
        <w:p w14:paraId="1379832B"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Shim, e. a. (2020). Induction of systemic immunity through nasal-associated lymphoid tissue (NALT) of mice intranasally immunized with Brucella abortus malate dehydrogenase-loaded chitosan nanoparticles. </w:t>
          </w:r>
          <w:r w:rsidRPr="006038F2">
            <w:rPr>
              <w:rFonts w:ascii="Times New Roman" w:hAnsi="Times New Roman" w:cs="Times New Roman"/>
              <w:i/>
              <w:iCs/>
              <w:noProof/>
            </w:rPr>
            <w:t>PloS one</w:t>
          </w:r>
          <w:r w:rsidRPr="006038F2">
            <w:rPr>
              <w:rFonts w:ascii="Times New Roman" w:hAnsi="Times New Roman" w:cs="Times New Roman"/>
              <w:noProof/>
            </w:rPr>
            <w:t>.</w:t>
          </w:r>
        </w:p>
        <w:p w14:paraId="37A9C397"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Song, e. a. (2009). Glycated chitosan as a new non-toxic immunological stimulant. </w:t>
          </w:r>
          <w:r w:rsidRPr="006038F2">
            <w:rPr>
              <w:rFonts w:ascii="Times New Roman" w:hAnsi="Times New Roman" w:cs="Times New Roman"/>
              <w:i/>
              <w:iCs/>
              <w:noProof/>
            </w:rPr>
            <w:t>Immunopharmacology and immunotoxicology</w:t>
          </w:r>
          <w:r w:rsidRPr="006038F2">
            <w:rPr>
              <w:rFonts w:ascii="Times New Roman" w:hAnsi="Times New Roman" w:cs="Times New Roman"/>
              <w:noProof/>
            </w:rPr>
            <w:t>, 202-208.</w:t>
          </w:r>
        </w:p>
        <w:p w14:paraId="06C14FD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Stetson, e. a. (2006). Type I interferons in host defense. </w:t>
          </w:r>
          <w:r w:rsidRPr="006038F2">
            <w:rPr>
              <w:rFonts w:ascii="Times New Roman" w:hAnsi="Times New Roman" w:cs="Times New Roman"/>
              <w:i/>
              <w:iCs/>
              <w:noProof/>
            </w:rPr>
            <w:t>Immunity</w:t>
          </w:r>
          <w:r w:rsidRPr="006038F2">
            <w:rPr>
              <w:rFonts w:ascii="Times New Roman" w:hAnsi="Times New Roman" w:cs="Times New Roman"/>
              <w:noProof/>
            </w:rPr>
            <w:t>, 373-381.</w:t>
          </w:r>
        </w:p>
        <w:p w14:paraId="41200E9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Stifter, e. a. (2019). Visualizing the Selectivity and Dynamics of Interferno Signaling In Vivo. </w:t>
          </w:r>
          <w:r w:rsidRPr="006038F2">
            <w:rPr>
              <w:rFonts w:ascii="Times New Roman" w:hAnsi="Times New Roman" w:cs="Times New Roman"/>
              <w:i/>
              <w:iCs/>
              <w:noProof/>
            </w:rPr>
            <w:t>Cell reports</w:t>
          </w:r>
          <w:r w:rsidRPr="006038F2">
            <w:rPr>
              <w:rFonts w:ascii="Times New Roman" w:hAnsi="Times New Roman" w:cs="Times New Roman"/>
              <w:noProof/>
            </w:rPr>
            <w:t>, 3539-3550.</w:t>
          </w:r>
        </w:p>
        <w:p w14:paraId="05DBC45E"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Taylor, B. (n.d.). </w:t>
          </w:r>
          <w:r w:rsidRPr="006038F2">
            <w:rPr>
              <w:rFonts w:ascii="Times New Roman" w:hAnsi="Times New Roman" w:cs="Times New Roman"/>
              <w:i/>
              <w:iCs/>
              <w:noProof/>
            </w:rPr>
            <w:t>In Vivo Imaging: IVIS Spectrum.</w:t>
          </w:r>
          <w:r w:rsidRPr="006038F2">
            <w:rPr>
              <w:rFonts w:ascii="Times New Roman" w:hAnsi="Times New Roman" w:cs="Times New Roman"/>
              <w:noProof/>
            </w:rPr>
            <w:t xml:space="preserve"> Retrieved from iLab Solutions: https://content.ilabsolutions.com/wp-content/uploads/2014/11/IVIS-Spectrum-Basic-Training-Presentation.pdf</w:t>
          </w:r>
        </w:p>
        <w:p w14:paraId="5B090F0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Truett, e. a. (2000). NaOH extrction (quick dirty DNA preparation). </w:t>
          </w:r>
          <w:r w:rsidRPr="006038F2">
            <w:rPr>
              <w:rFonts w:ascii="Times New Roman" w:hAnsi="Times New Roman" w:cs="Times New Roman"/>
              <w:i/>
              <w:iCs/>
              <w:noProof/>
            </w:rPr>
            <w:t>Biotechniques</w:t>
          </w:r>
          <w:r w:rsidRPr="006038F2">
            <w:rPr>
              <w:rFonts w:ascii="Times New Roman" w:hAnsi="Times New Roman" w:cs="Times New Roman"/>
              <w:noProof/>
            </w:rPr>
            <w:t>, 52-54.</w:t>
          </w:r>
        </w:p>
        <w:p w14:paraId="059196CC"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UT Southwestern Medical Center. (2022). </w:t>
          </w:r>
          <w:r w:rsidRPr="006038F2">
            <w:rPr>
              <w:rFonts w:ascii="Times New Roman" w:hAnsi="Times New Roman" w:cs="Times New Roman"/>
              <w:i/>
              <w:iCs/>
              <w:noProof/>
            </w:rPr>
            <w:t>IVIS Spectrum (Bioluminescence and Fluorescence)</w:t>
          </w:r>
          <w:r w:rsidRPr="006038F2">
            <w:rPr>
              <w:rFonts w:ascii="Times New Roman" w:hAnsi="Times New Roman" w:cs="Times New Roman"/>
              <w:noProof/>
            </w:rPr>
            <w:t>. Retrieved from Small Animal Imaging Resource: https://www.utsouthwestern.edu/research/core-facilities/sair/equipment/ivis-spectrum.html#:~:text=IVIS%20Spectrum%20(Bioluminescence%20and%20Fluorescence,expression%20patterns%20in%20living%20animals.</w:t>
          </w:r>
        </w:p>
        <w:p w14:paraId="3D52C62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Vatner, e. a. (2019). STING, DCs, and the link between innate and adaptive tumor immunity. </w:t>
          </w:r>
          <w:r w:rsidRPr="006038F2">
            <w:rPr>
              <w:rFonts w:ascii="Times New Roman" w:hAnsi="Times New Roman" w:cs="Times New Roman"/>
              <w:i/>
              <w:iCs/>
              <w:noProof/>
            </w:rPr>
            <w:t>Molecular Immunology</w:t>
          </w:r>
          <w:r w:rsidRPr="006038F2">
            <w:rPr>
              <w:rFonts w:ascii="Times New Roman" w:hAnsi="Times New Roman" w:cs="Times New Roman"/>
              <w:noProof/>
            </w:rPr>
            <w:t>, 13-23.</w:t>
          </w:r>
        </w:p>
        <w:p w14:paraId="2B87DEC5"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Wang, e. a. (2009). RNA-Seq: a revolutionary tool for transcriptomics. </w:t>
          </w:r>
          <w:r w:rsidRPr="006038F2">
            <w:rPr>
              <w:rFonts w:ascii="Times New Roman" w:hAnsi="Times New Roman" w:cs="Times New Roman"/>
              <w:i/>
              <w:iCs/>
              <w:noProof/>
            </w:rPr>
            <w:t>Nature reviews: Genetics</w:t>
          </w:r>
          <w:r w:rsidRPr="006038F2">
            <w:rPr>
              <w:rFonts w:ascii="Times New Roman" w:hAnsi="Times New Roman" w:cs="Times New Roman"/>
              <w:noProof/>
            </w:rPr>
            <w:t>, 57-63.</w:t>
          </w:r>
        </w:p>
        <w:p w14:paraId="1679EBEF"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Want, L. a. (2021). From bulk, single-cell to spatial RNA sequencing. </w:t>
          </w:r>
          <w:r w:rsidRPr="006038F2">
            <w:rPr>
              <w:rFonts w:ascii="Times New Roman" w:hAnsi="Times New Roman" w:cs="Times New Roman"/>
              <w:i/>
              <w:iCs/>
              <w:noProof/>
            </w:rPr>
            <w:t>International Journal of Oral Science</w:t>
          </w:r>
          <w:r w:rsidRPr="006038F2">
            <w:rPr>
              <w:rFonts w:ascii="Times New Roman" w:hAnsi="Times New Roman" w:cs="Times New Roman"/>
              <w:noProof/>
            </w:rPr>
            <w:t>.</w:t>
          </w:r>
        </w:p>
        <w:p w14:paraId="5E5CE46C"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Xitvogel, e. a. (2015). Type I interferons in anticancer immunity. </w:t>
          </w:r>
          <w:r w:rsidRPr="006038F2">
            <w:rPr>
              <w:rFonts w:ascii="Times New Roman" w:hAnsi="Times New Roman" w:cs="Times New Roman"/>
              <w:i/>
              <w:iCs/>
              <w:noProof/>
            </w:rPr>
            <w:t>Nature eviews Immunology</w:t>
          </w:r>
          <w:r w:rsidRPr="006038F2">
            <w:rPr>
              <w:rFonts w:ascii="Times New Roman" w:hAnsi="Times New Roman" w:cs="Times New Roman"/>
              <w:noProof/>
            </w:rPr>
            <w:t>, 405-414.</w:t>
          </w:r>
        </w:p>
        <w:p w14:paraId="2CB3F0B5"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Yu, e. a. (2021). Statistical and Bioinformatics Analysis of Data from Bulk and Single-Cell RNA Sequencing Experiments. </w:t>
          </w:r>
          <w:r w:rsidRPr="006038F2">
            <w:rPr>
              <w:rFonts w:ascii="Times New Roman" w:hAnsi="Times New Roman" w:cs="Times New Roman"/>
              <w:i/>
              <w:iCs/>
              <w:noProof/>
            </w:rPr>
            <w:t>Methods in Molecular Biology</w:t>
          </w:r>
          <w:r w:rsidRPr="006038F2">
            <w:rPr>
              <w:rFonts w:ascii="Times New Roman" w:hAnsi="Times New Roman" w:cs="Times New Roman"/>
              <w:noProof/>
            </w:rPr>
            <w:t>, 143-175.</w:t>
          </w:r>
        </w:p>
        <w:p w14:paraId="0E2611B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Yu, R. e. (2022). Type I interferon-mediated tumor immunity and its role in immunotherapy. </w:t>
          </w:r>
          <w:r w:rsidRPr="006038F2">
            <w:rPr>
              <w:rFonts w:ascii="Times New Roman" w:hAnsi="Times New Roman" w:cs="Times New Roman"/>
              <w:i/>
              <w:iCs/>
              <w:noProof/>
            </w:rPr>
            <w:t>Cellular and Molecular Life Sciences</w:t>
          </w:r>
          <w:r w:rsidRPr="006038F2">
            <w:rPr>
              <w:rFonts w:ascii="Times New Roman" w:hAnsi="Times New Roman" w:cs="Times New Roman"/>
              <w:noProof/>
            </w:rPr>
            <w:t>, 191.</w:t>
          </w:r>
        </w:p>
        <w:p w14:paraId="65818725"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Yu, X. e. (2021). Statistical and Bioinformatics Analysis of Data from Bulk and Single-Cell RNA Sequencing Experiments. </w:t>
          </w:r>
          <w:r w:rsidRPr="006038F2">
            <w:rPr>
              <w:rFonts w:ascii="Times New Roman" w:hAnsi="Times New Roman" w:cs="Times New Roman"/>
              <w:i/>
              <w:iCs/>
              <w:noProof/>
            </w:rPr>
            <w:t>Methods in molecular biology</w:t>
          </w:r>
          <w:r w:rsidRPr="006038F2">
            <w:rPr>
              <w:rFonts w:ascii="Times New Roman" w:hAnsi="Times New Roman" w:cs="Times New Roman"/>
              <w:noProof/>
            </w:rPr>
            <w:t>, 143-175.</w:t>
          </w:r>
        </w:p>
        <w:p w14:paraId="352A7A19"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Zaman, e. a. (2012). Strategies for intranasal delivery of vaccines. </w:t>
          </w:r>
          <w:r w:rsidRPr="006038F2">
            <w:rPr>
              <w:rFonts w:ascii="Times New Roman" w:hAnsi="Times New Roman" w:cs="Times New Roman"/>
              <w:i/>
              <w:iCs/>
              <w:noProof/>
            </w:rPr>
            <w:t>Drug Delivery Translational Research</w:t>
          </w:r>
          <w:r w:rsidRPr="006038F2">
            <w:rPr>
              <w:rFonts w:ascii="Times New Roman" w:hAnsi="Times New Roman" w:cs="Times New Roman"/>
              <w:noProof/>
            </w:rPr>
            <w:t>, 100-109.</w:t>
          </w:r>
        </w:p>
        <w:p w14:paraId="399ADAE3"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Zhao, e. a. (2018). Biomedical Applications of Chitosan and its Derivative Nanoparticles. </w:t>
          </w:r>
          <w:r w:rsidRPr="006038F2">
            <w:rPr>
              <w:rFonts w:ascii="Times New Roman" w:hAnsi="Times New Roman" w:cs="Times New Roman"/>
              <w:i/>
              <w:iCs/>
              <w:noProof/>
            </w:rPr>
            <w:t>Polymers</w:t>
          </w:r>
          <w:r w:rsidRPr="006038F2">
            <w:rPr>
              <w:rFonts w:ascii="Times New Roman" w:hAnsi="Times New Roman" w:cs="Times New Roman"/>
              <w:noProof/>
            </w:rPr>
            <w:t>, 462.</w:t>
          </w:r>
        </w:p>
        <w:p w14:paraId="04CC0D16"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Zhou. (2018). Local Phototherapy Synergizes with Immunoadjuvant for Treatment of Pancreatic Cancer through Induced Immunogenic Tumor Vaccine. </w:t>
          </w:r>
          <w:r w:rsidRPr="006038F2">
            <w:rPr>
              <w:rFonts w:ascii="Times New Roman" w:hAnsi="Times New Roman" w:cs="Times New Roman"/>
              <w:i/>
              <w:iCs/>
              <w:noProof/>
            </w:rPr>
            <w:t>Clinical Cancer Research</w:t>
          </w:r>
          <w:r w:rsidRPr="006038F2">
            <w:rPr>
              <w:rFonts w:ascii="Times New Roman" w:hAnsi="Times New Roman" w:cs="Times New Roman"/>
              <w:noProof/>
            </w:rPr>
            <w:t>, 5335-5346.</w:t>
          </w:r>
        </w:p>
        <w:p w14:paraId="231EB792" w14:textId="77777777" w:rsidR="00B56B5A" w:rsidRPr="006038F2" w:rsidRDefault="00B56B5A" w:rsidP="00B56B5A">
          <w:pPr>
            <w:pStyle w:val="Bibliography"/>
            <w:ind w:left="720" w:hanging="720"/>
            <w:rPr>
              <w:rFonts w:ascii="Times New Roman" w:hAnsi="Times New Roman" w:cs="Times New Roman"/>
              <w:noProof/>
            </w:rPr>
          </w:pPr>
          <w:r w:rsidRPr="006038F2">
            <w:rPr>
              <w:rFonts w:ascii="Times New Roman" w:hAnsi="Times New Roman" w:cs="Times New Roman"/>
              <w:noProof/>
            </w:rPr>
            <w:t xml:space="preserve">Zhou, e. a. (2015). InCVAX – A novel strategy for treatment of late-stage, metastatic cancers through photoimmunotherapy induced tumor-specific immunity. </w:t>
          </w:r>
          <w:r w:rsidRPr="006038F2">
            <w:rPr>
              <w:rFonts w:ascii="Times New Roman" w:hAnsi="Times New Roman" w:cs="Times New Roman"/>
              <w:i/>
              <w:iCs/>
              <w:noProof/>
            </w:rPr>
            <w:t>Cancer Letters</w:t>
          </w:r>
          <w:r w:rsidRPr="006038F2">
            <w:rPr>
              <w:rFonts w:ascii="Times New Roman" w:hAnsi="Times New Roman" w:cs="Times New Roman"/>
              <w:noProof/>
            </w:rPr>
            <w:t>, 169-177.</w:t>
          </w:r>
        </w:p>
        <w:p w14:paraId="27D4294D" w14:textId="77777777" w:rsidR="0003572A" w:rsidRPr="006038F2" w:rsidRDefault="0003572A" w:rsidP="00B56B5A">
          <w:pPr>
            <w:spacing w:line="276" w:lineRule="auto"/>
            <w:rPr>
              <w:rFonts w:ascii="Times New Roman" w:hAnsi="Times New Roman" w:cs="Times New Roman"/>
            </w:rPr>
          </w:pPr>
          <w:r w:rsidRPr="006038F2">
            <w:rPr>
              <w:rFonts w:ascii="Times New Roman" w:hAnsi="Times New Roman" w:cs="Times New Roman"/>
              <w:b/>
              <w:bCs/>
            </w:rPr>
            <w:fldChar w:fldCharType="end"/>
          </w:r>
        </w:p>
      </w:sdtContent>
    </w:sdt>
    <w:p w14:paraId="1141273F" w14:textId="77777777" w:rsidR="0003572A" w:rsidRPr="006038F2" w:rsidRDefault="0003572A" w:rsidP="0003572A">
      <w:pPr>
        <w:rPr>
          <w:rFonts w:ascii="Times New Roman" w:hAnsi="Times New Roman" w:cs="Times New Roman"/>
          <w:lang w:eastAsia="en-US"/>
        </w:rPr>
      </w:pPr>
      <w:r w:rsidRPr="006038F2">
        <w:rPr>
          <w:rFonts w:ascii="Times New Roman" w:hAnsi="Times New Roman" w:cs="Times New Roman"/>
          <w:lang w:eastAsia="en-US"/>
        </w:rPr>
        <w:br w:type="page"/>
      </w:r>
    </w:p>
    <w:p w14:paraId="0B8B5F2D" w14:textId="77777777" w:rsidR="0003572A" w:rsidRPr="006038F2" w:rsidRDefault="0003572A" w:rsidP="00B731B9">
      <w:pPr>
        <w:pStyle w:val="Heading1"/>
        <w:spacing w:line="480" w:lineRule="auto"/>
        <w:jc w:val="center"/>
        <w:rPr>
          <w:rFonts w:ascii="Times New Roman" w:hAnsi="Times New Roman" w:cs="Times New Roman"/>
        </w:rPr>
      </w:pPr>
      <w:bookmarkStart w:id="100" w:name="_Toc172659186"/>
      <w:r w:rsidRPr="006038F2">
        <w:rPr>
          <w:rFonts w:ascii="Times New Roman" w:hAnsi="Times New Roman" w:cs="Times New Roman"/>
        </w:rPr>
        <w:lastRenderedPageBreak/>
        <w:t>Supplemental Materials</w:t>
      </w:r>
      <w:bookmarkEnd w:id="100"/>
    </w:p>
    <w:p w14:paraId="53658BE8" w14:textId="77777777" w:rsidR="00B731B9" w:rsidRPr="006038F2" w:rsidRDefault="00B731B9" w:rsidP="00B731B9">
      <w:pPr>
        <w:rPr>
          <w:rFonts w:ascii="Times New Roman" w:hAnsi="Times New Roman" w:cs="Times New Roman"/>
        </w:rPr>
      </w:pPr>
    </w:p>
    <w:p w14:paraId="356171F8" w14:textId="77777777" w:rsidR="00B731B9" w:rsidRPr="006038F2" w:rsidRDefault="00B731B9" w:rsidP="00B731B9">
      <w:pPr>
        <w:rPr>
          <w:rFonts w:ascii="Times New Roman" w:hAnsi="Times New Roman" w:cs="Times New Roman"/>
        </w:rPr>
      </w:pPr>
    </w:p>
    <w:p w14:paraId="7CCEF92A" w14:textId="77777777" w:rsidR="0003572A" w:rsidRPr="006038F2" w:rsidRDefault="0003572A" w:rsidP="007956F3">
      <w:pPr>
        <w:pStyle w:val="Heading2"/>
        <w:spacing w:line="480" w:lineRule="auto"/>
        <w:rPr>
          <w:rFonts w:ascii="Times New Roman" w:hAnsi="Times New Roman" w:cs="Times New Roman"/>
        </w:rPr>
      </w:pPr>
      <w:bookmarkStart w:id="101" w:name="_Ref170902140"/>
      <w:bookmarkStart w:id="102" w:name="_Toc172659187"/>
      <w:r w:rsidRPr="006038F2">
        <w:rPr>
          <w:rFonts w:ascii="Times New Roman" w:hAnsi="Times New Roman" w:cs="Times New Roman"/>
        </w:rPr>
        <w:t>Appendix A: IVIS Adverse Reactions</w:t>
      </w:r>
      <w:bookmarkEnd w:id="101"/>
      <w:bookmarkEnd w:id="102"/>
    </w:p>
    <w:p w14:paraId="03254887" w14:textId="7CBA7B9F" w:rsidR="005520EB" w:rsidRPr="006038F2" w:rsidRDefault="005520EB" w:rsidP="005520EB">
      <w:pPr>
        <w:spacing w:line="480" w:lineRule="auto"/>
        <w:rPr>
          <w:rFonts w:ascii="Times New Roman" w:hAnsi="Times New Roman" w:cs="Times New Roman"/>
          <w:lang w:eastAsia="en-US"/>
        </w:rPr>
      </w:pPr>
      <w:r w:rsidRPr="006038F2">
        <w:rPr>
          <w:rFonts w:ascii="Times New Roman" w:hAnsi="Times New Roman" w:cs="Times New Roman"/>
          <w:b/>
          <w:bCs/>
          <w:noProof/>
          <w14:ligatures w14:val="standardContextual"/>
        </w:rPr>
        <w:drawing>
          <wp:inline distT="0" distB="0" distL="0" distR="0" wp14:anchorId="296483FC" wp14:editId="752976B2">
            <wp:extent cx="5943600" cy="2270760"/>
            <wp:effectExtent l="0" t="0" r="0" b="2540"/>
            <wp:docPr id="346540809" name="Picture 1" descr="A close up of a monkey's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540809" name="Picture 1" descr="A close up of a monkey's fac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2270760"/>
                    </a:xfrm>
                    <a:prstGeom prst="rect">
                      <a:avLst/>
                    </a:prstGeom>
                  </pic:spPr>
                </pic:pic>
              </a:graphicData>
            </a:graphic>
          </wp:inline>
        </w:drawing>
      </w:r>
    </w:p>
    <w:p w14:paraId="62B0077B" w14:textId="3CEC4B3D" w:rsidR="0003572A" w:rsidRPr="006038F2" w:rsidRDefault="0003572A" w:rsidP="005520EB">
      <w:pPr>
        <w:pStyle w:val="Caption"/>
        <w:spacing w:line="480" w:lineRule="auto"/>
        <w:rPr>
          <w:rFonts w:ascii="Times New Roman" w:hAnsi="Times New Roman" w:cs="Times New Roman"/>
        </w:rPr>
      </w:pPr>
      <w:bookmarkStart w:id="103" w:name="_Toc172659219"/>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22</w:t>
      </w:r>
      <w:r w:rsidRPr="006038F2">
        <w:rPr>
          <w:rFonts w:ascii="Times New Roman" w:hAnsi="Times New Roman" w:cs="Times New Roman"/>
          <w:b/>
          <w:bCs/>
        </w:rPr>
        <w:fldChar w:fldCharType="end"/>
      </w:r>
      <w:r w:rsidRPr="006038F2">
        <w:rPr>
          <w:rFonts w:ascii="Times New Roman" w:hAnsi="Times New Roman" w:cs="Times New Roman"/>
          <w:b/>
          <w:bCs/>
        </w:rPr>
        <w:t>: GC study adverse effects</w:t>
      </w:r>
      <w:r w:rsidRPr="006038F2">
        <w:rPr>
          <w:rFonts w:ascii="Times New Roman" w:hAnsi="Times New Roman" w:cs="Times New Roman"/>
        </w:rPr>
        <w:t>. Adverse effects involving necrosis around the injection site for subcutaneous GC vaccinations in the IVIS study discussed in Chapter 2. Pictures taken 10 days post-drug-administration.</w:t>
      </w:r>
      <w:bookmarkEnd w:id="103"/>
    </w:p>
    <w:p w14:paraId="161BDF5D" w14:textId="77777777" w:rsidR="0003572A" w:rsidRPr="006038F2" w:rsidRDefault="0003572A" w:rsidP="007956F3">
      <w:pPr>
        <w:pStyle w:val="Heading2"/>
        <w:spacing w:line="480" w:lineRule="auto"/>
        <w:rPr>
          <w:rFonts w:ascii="Times New Roman" w:hAnsi="Times New Roman" w:cs="Times New Roman"/>
        </w:rPr>
      </w:pPr>
      <w:bookmarkStart w:id="104" w:name="_Ref171100777"/>
      <w:bookmarkStart w:id="105" w:name="_Toc172659188"/>
      <w:r w:rsidRPr="006038F2">
        <w:rPr>
          <w:rFonts w:ascii="Times New Roman" w:hAnsi="Times New Roman" w:cs="Times New Roman"/>
        </w:rPr>
        <w:t>Appendix B: Previous RNA Sequencing</w:t>
      </w:r>
      <w:bookmarkEnd w:id="104"/>
      <w:bookmarkEnd w:id="105"/>
    </w:p>
    <w:p w14:paraId="4654B8EB" w14:textId="77777777" w:rsidR="0003572A" w:rsidRPr="006038F2" w:rsidRDefault="0003572A" w:rsidP="007956F3">
      <w:pPr>
        <w:spacing w:line="480" w:lineRule="auto"/>
        <w:rPr>
          <w:rFonts w:ascii="Times New Roman" w:eastAsia="Times New Roman" w:hAnsi="Times New Roman" w:cs="Times New Roman"/>
          <w:b/>
          <w:bCs/>
          <w:lang w:eastAsia="en-US"/>
        </w:rPr>
      </w:pPr>
      <w:r w:rsidRPr="006038F2">
        <w:rPr>
          <w:rFonts w:ascii="Times New Roman" w:eastAsia="Times New Roman" w:hAnsi="Times New Roman" w:cs="Times New Roman"/>
          <w:lang w:eastAsia="en-US"/>
        </w:rPr>
        <w:t>“</w:t>
      </w:r>
      <w:r w:rsidRPr="006038F2">
        <w:rPr>
          <w:rFonts w:ascii="Times New Roman" w:eastAsia="Times New Roman" w:hAnsi="Times New Roman" w:cs="Times New Roman"/>
          <w:b/>
          <w:bCs/>
          <w:lang w:eastAsia="en-US"/>
        </w:rPr>
        <w:t>Bone Marrow-Derived Dendritic Cell Cultures</w:t>
      </w:r>
    </w:p>
    <w:p w14:paraId="4F0AF8BD" w14:textId="77777777" w:rsidR="0073599A" w:rsidRPr="006038F2" w:rsidRDefault="0003572A" w:rsidP="0073599A">
      <w:pPr>
        <w:spacing w:line="480" w:lineRule="auto"/>
        <w:textAlignment w:val="baseline"/>
        <w:rPr>
          <w:rFonts w:ascii="Times New Roman" w:eastAsia="Times New Roman" w:hAnsi="Times New Roman" w:cs="Times New Roman"/>
          <w:color w:val="191919"/>
          <w:lang w:eastAsia="en-US"/>
        </w:rPr>
      </w:pPr>
      <w:r w:rsidRPr="006038F2">
        <w:rPr>
          <w:rFonts w:ascii="Times New Roman" w:eastAsia="Times New Roman" w:hAnsi="Times New Roman" w:cs="Times New Roman"/>
          <w:color w:val="191919"/>
          <w:lang w:eastAsia="en-US"/>
        </w:rPr>
        <w:t xml:space="preserve">Bone marrow was isolated from 8 to 12-week-old male or female </w:t>
      </w:r>
      <w:r w:rsidR="007956F3" w:rsidRPr="006038F2">
        <w:rPr>
          <w:rFonts w:ascii="Times New Roman" w:eastAsia="Times New Roman" w:hAnsi="Times New Roman" w:cs="Times New Roman"/>
          <w:color w:val="191919"/>
          <w:lang w:eastAsia="en-US"/>
        </w:rPr>
        <w:t>[</w:t>
      </w:r>
      <w:r w:rsidR="000077D0" w:rsidRPr="006038F2">
        <w:rPr>
          <w:rFonts w:ascii="Times New Roman" w:eastAsia="Times New Roman" w:hAnsi="Times New Roman" w:cs="Times New Roman"/>
          <w:color w:val="191919"/>
          <w:lang w:eastAsia="en-US"/>
        </w:rPr>
        <w:t xml:space="preserve">WT </w:t>
      </w:r>
      <w:r w:rsidRPr="006038F2">
        <w:rPr>
          <w:rFonts w:ascii="Times New Roman" w:eastAsia="Times New Roman" w:hAnsi="Times New Roman" w:cs="Times New Roman"/>
          <w:color w:val="191919"/>
          <w:lang w:eastAsia="en-US"/>
        </w:rPr>
        <w:t>mice</w:t>
      </w:r>
      <w:r w:rsidR="007956F3" w:rsidRPr="006038F2">
        <w:rPr>
          <w:rFonts w:ascii="Times New Roman" w:eastAsia="Times New Roman" w:hAnsi="Times New Roman" w:cs="Times New Roman"/>
          <w:color w:val="191919"/>
          <w:lang w:eastAsia="en-US"/>
        </w:rPr>
        <w:t>]</w:t>
      </w:r>
      <w:r w:rsidRPr="006038F2">
        <w:rPr>
          <w:rFonts w:ascii="Times New Roman" w:eastAsia="Times New Roman" w:hAnsi="Times New Roman" w:cs="Times New Roman"/>
          <w:color w:val="191919"/>
          <w:lang w:eastAsia="en-US"/>
        </w:rPr>
        <w:t>. Briefly, the animals were euthanized according IACUC approved protocols. The hind legs were removed and separated from the muscles and sinew. The heads of the bones were removed and 1x PBS was pushed through the bones using a 25-gauge needle and a 1ml syringe. The red blood cells were lysed, and cell were resuspended in RPMI containing 20% heat inactivated fetal calf serum, pen/strep, and β-</w:t>
      </w:r>
      <w:proofErr w:type="spellStart"/>
      <w:r w:rsidRPr="006038F2">
        <w:rPr>
          <w:rFonts w:ascii="Times New Roman" w:eastAsia="Times New Roman" w:hAnsi="Times New Roman" w:cs="Times New Roman"/>
          <w:color w:val="191919"/>
          <w:lang w:eastAsia="en-US"/>
        </w:rPr>
        <w:t>mercaptoethanol</w:t>
      </w:r>
      <w:proofErr w:type="spellEnd"/>
      <w:r w:rsidRPr="006038F2">
        <w:rPr>
          <w:rFonts w:ascii="Times New Roman" w:eastAsia="Times New Roman" w:hAnsi="Times New Roman" w:cs="Times New Roman"/>
          <w:color w:val="191919"/>
          <w:lang w:eastAsia="en-US"/>
        </w:rPr>
        <w:t>. About 5×10</w:t>
      </w:r>
      <w:r w:rsidRPr="006038F2">
        <w:rPr>
          <w:rFonts w:ascii="Times New Roman" w:eastAsia="Times New Roman" w:hAnsi="Times New Roman" w:cs="Times New Roman"/>
          <w:color w:val="191919"/>
          <w:bdr w:val="none" w:sz="0" w:space="0" w:color="auto" w:frame="1"/>
          <w:vertAlign w:val="superscript"/>
          <w:lang w:eastAsia="en-US"/>
        </w:rPr>
        <w:t>6</w:t>
      </w:r>
      <w:r w:rsidRPr="006038F2">
        <w:rPr>
          <w:rFonts w:ascii="Times New Roman" w:eastAsia="Times New Roman" w:hAnsi="Times New Roman" w:cs="Times New Roman"/>
          <w:color w:val="191919"/>
          <w:lang w:eastAsia="en-US"/>
        </w:rPr>
        <w:t> bone marrow cells were plated into 100mm non-tissue culture treated plates containing 20ng/ml GMCSF (</w:t>
      </w:r>
      <w:proofErr w:type="spellStart"/>
      <w:r w:rsidRPr="006038F2">
        <w:rPr>
          <w:rFonts w:ascii="Times New Roman" w:eastAsia="Times New Roman" w:hAnsi="Times New Roman" w:cs="Times New Roman"/>
          <w:color w:val="191919"/>
          <w:lang w:eastAsia="en-US"/>
        </w:rPr>
        <w:t>Biolegend</w:t>
      </w:r>
      <w:proofErr w:type="spellEnd"/>
      <w:r w:rsidRPr="006038F2">
        <w:rPr>
          <w:rFonts w:ascii="Times New Roman" w:eastAsia="Times New Roman" w:hAnsi="Times New Roman" w:cs="Times New Roman"/>
          <w:color w:val="191919"/>
          <w:lang w:eastAsia="en-US"/>
        </w:rPr>
        <w:t>, Cat# 640920). On day 3 5ml of fresh media containing 20ng/ml of GMCSF was added to the cultures. On day 6 non-</w:t>
      </w:r>
      <w:r w:rsidRPr="006038F2">
        <w:rPr>
          <w:rFonts w:ascii="Times New Roman" w:eastAsia="Times New Roman" w:hAnsi="Times New Roman" w:cs="Times New Roman"/>
          <w:color w:val="191919"/>
          <w:lang w:eastAsia="en-US"/>
        </w:rPr>
        <w:lastRenderedPageBreak/>
        <w:t xml:space="preserve">adherent cells were </w:t>
      </w:r>
      <w:proofErr w:type="gramStart"/>
      <w:r w:rsidRPr="006038F2">
        <w:rPr>
          <w:rFonts w:ascii="Times New Roman" w:eastAsia="Times New Roman" w:hAnsi="Times New Roman" w:cs="Times New Roman"/>
          <w:color w:val="191919"/>
          <w:lang w:eastAsia="en-US"/>
        </w:rPr>
        <w:t>collected</w:t>
      </w:r>
      <w:proofErr w:type="gramEnd"/>
      <w:r w:rsidRPr="006038F2">
        <w:rPr>
          <w:rFonts w:ascii="Times New Roman" w:eastAsia="Times New Roman" w:hAnsi="Times New Roman" w:cs="Times New Roman"/>
          <w:color w:val="191919"/>
          <w:lang w:eastAsia="en-US"/>
        </w:rPr>
        <w:t xml:space="preserve"> and medium was removed and replaced with fresh RPMI containing 20ng/ml GMCSF and placed back into the 100mm plate. On day 7 the nonadherent BMDCs were collected for stimulation.</w:t>
      </w:r>
    </w:p>
    <w:p w14:paraId="3A2BD566" w14:textId="3B4E89D8" w:rsidR="0003572A" w:rsidRPr="006038F2" w:rsidRDefault="0003572A" w:rsidP="0073599A">
      <w:pPr>
        <w:spacing w:line="480" w:lineRule="auto"/>
        <w:textAlignment w:val="baseline"/>
        <w:rPr>
          <w:rFonts w:ascii="Times New Roman" w:eastAsia="Times New Roman" w:hAnsi="Times New Roman" w:cs="Times New Roman"/>
          <w:color w:val="191919"/>
          <w:lang w:eastAsia="en-US"/>
        </w:rPr>
      </w:pPr>
      <w:r w:rsidRPr="006038F2">
        <w:rPr>
          <w:rFonts w:ascii="Times New Roman" w:eastAsia="Times New Roman" w:hAnsi="Times New Roman" w:cs="Times New Roman"/>
          <w:b/>
          <w:bCs/>
          <w:lang w:eastAsia="en-US"/>
        </w:rPr>
        <w:t>BMDC Activation</w:t>
      </w:r>
    </w:p>
    <w:p w14:paraId="3EA67B47" w14:textId="77777777" w:rsidR="0003572A" w:rsidRPr="006038F2" w:rsidRDefault="0003572A" w:rsidP="007956F3">
      <w:pPr>
        <w:spacing w:line="480" w:lineRule="auto"/>
        <w:textAlignment w:val="baseline"/>
        <w:rPr>
          <w:rFonts w:ascii="Times New Roman" w:eastAsia="Times New Roman" w:hAnsi="Times New Roman" w:cs="Times New Roman"/>
          <w:color w:val="191919"/>
          <w:lang w:eastAsia="en-US"/>
        </w:rPr>
      </w:pPr>
      <w:r w:rsidRPr="006038F2">
        <w:rPr>
          <w:rFonts w:ascii="Times New Roman" w:eastAsia="Times New Roman" w:hAnsi="Times New Roman" w:cs="Times New Roman"/>
          <w:color w:val="191919"/>
          <w:lang w:eastAsia="en-US"/>
        </w:rPr>
        <w:t>BMDCs were stimulated with GC or 2’3-cGAMP (</w:t>
      </w:r>
      <w:proofErr w:type="spellStart"/>
      <w:r w:rsidRPr="006038F2">
        <w:rPr>
          <w:rFonts w:ascii="Times New Roman" w:eastAsia="Times New Roman" w:hAnsi="Times New Roman" w:cs="Times New Roman"/>
          <w:color w:val="191919"/>
          <w:lang w:eastAsia="en-US"/>
        </w:rPr>
        <w:t>InvivoGen</w:t>
      </w:r>
      <w:proofErr w:type="spellEnd"/>
      <w:r w:rsidRPr="006038F2">
        <w:rPr>
          <w:rFonts w:ascii="Times New Roman" w:eastAsia="Times New Roman" w:hAnsi="Times New Roman" w:cs="Times New Roman"/>
          <w:color w:val="191919"/>
          <w:lang w:eastAsia="en-US"/>
        </w:rPr>
        <w:t>, Cat# tlrl-nacga23-1) for 0-24 hours prior to ELISA or flow cytometry. About 10</w:t>
      </w:r>
      <w:r w:rsidRPr="006038F2">
        <w:rPr>
          <w:rFonts w:ascii="Times New Roman" w:eastAsia="Times New Roman" w:hAnsi="Times New Roman" w:cs="Times New Roman"/>
          <w:color w:val="191919"/>
          <w:bdr w:val="none" w:sz="0" w:space="0" w:color="auto" w:frame="1"/>
          <w:vertAlign w:val="superscript"/>
          <w:lang w:eastAsia="en-US"/>
        </w:rPr>
        <w:t>6</w:t>
      </w:r>
      <w:r w:rsidRPr="006038F2">
        <w:rPr>
          <w:rFonts w:ascii="Times New Roman" w:eastAsia="Times New Roman" w:hAnsi="Times New Roman" w:cs="Times New Roman"/>
          <w:color w:val="191919"/>
          <w:lang w:eastAsia="en-US"/>
        </w:rPr>
        <w:t xml:space="preserve"> cells/ml BMDCs were plated into a non-tissue culture treated 96 well round bottom plate and then stimulated with 0.08-16μg/ml GC. For 2’3-cGAMP stimulation, 200ng of 2’3-cGAMP was first encapsulated into </w:t>
      </w:r>
      <w:proofErr w:type="spellStart"/>
      <w:r w:rsidRPr="006038F2">
        <w:rPr>
          <w:rFonts w:ascii="Times New Roman" w:eastAsia="Times New Roman" w:hAnsi="Times New Roman" w:cs="Times New Roman"/>
          <w:color w:val="191919"/>
          <w:lang w:eastAsia="en-US"/>
        </w:rPr>
        <w:t>viromer</w:t>
      </w:r>
      <w:proofErr w:type="spellEnd"/>
      <w:r w:rsidRPr="006038F2">
        <w:rPr>
          <w:rFonts w:ascii="Times New Roman" w:eastAsia="Times New Roman" w:hAnsi="Times New Roman" w:cs="Times New Roman"/>
          <w:color w:val="191919"/>
          <w:lang w:eastAsia="en-US"/>
        </w:rPr>
        <w:t xml:space="preserve"> green transfection reagent (</w:t>
      </w:r>
      <w:proofErr w:type="spellStart"/>
      <w:r w:rsidRPr="006038F2">
        <w:rPr>
          <w:rFonts w:ascii="Times New Roman" w:eastAsia="Times New Roman" w:hAnsi="Times New Roman" w:cs="Times New Roman"/>
          <w:color w:val="191919"/>
          <w:lang w:eastAsia="en-US"/>
        </w:rPr>
        <w:t>Origene</w:t>
      </w:r>
      <w:proofErr w:type="spellEnd"/>
      <w:r w:rsidRPr="006038F2">
        <w:rPr>
          <w:rFonts w:ascii="Times New Roman" w:eastAsia="Times New Roman" w:hAnsi="Times New Roman" w:cs="Times New Roman"/>
          <w:color w:val="191919"/>
          <w:lang w:eastAsia="en-US"/>
        </w:rPr>
        <w:t>, Cat# TT100301) according to the manufacturer’s instructions prior to incubation with BMDCs.</w:t>
      </w:r>
    </w:p>
    <w:p w14:paraId="13D428BD" w14:textId="77777777" w:rsidR="0003572A" w:rsidRPr="006038F2" w:rsidRDefault="0003572A" w:rsidP="007956F3">
      <w:pPr>
        <w:spacing w:after="225" w:line="480" w:lineRule="auto"/>
        <w:textAlignment w:val="baseline"/>
        <w:rPr>
          <w:rFonts w:ascii="Times New Roman" w:eastAsia="Times New Roman" w:hAnsi="Times New Roman" w:cs="Times New Roman"/>
          <w:color w:val="191919"/>
          <w:lang w:eastAsia="en-US"/>
        </w:rPr>
      </w:pPr>
      <w:r w:rsidRPr="006038F2">
        <w:rPr>
          <w:rFonts w:ascii="Times New Roman" w:eastAsia="Times New Roman" w:hAnsi="Times New Roman" w:cs="Times New Roman"/>
          <w:color w:val="191919"/>
          <w:lang w:eastAsia="en-US"/>
        </w:rPr>
        <w:t xml:space="preserve">VX765 was purchased from </w:t>
      </w:r>
      <w:proofErr w:type="spellStart"/>
      <w:r w:rsidRPr="006038F2">
        <w:rPr>
          <w:rFonts w:ascii="Times New Roman" w:eastAsia="Times New Roman" w:hAnsi="Times New Roman" w:cs="Times New Roman"/>
          <w:color w:val="191919"/>
          <w:lang w:eastAsia="en-US"/>
        </w:rPr>
        <w:t>InvivoGen</w:t>
      </w:r>
      <w:proofErr w:type="spellEnd"/>
      <w:r w:rsidRPr="006038F2">
        <w:rPr>
          <w:rFonts w:ascii="Times New Roman" w:eastAsia="Times New Roman" w:hAnsi="Times New Roman" w:cs="Times New Roman"/>
          <w:color w:val="191919"/>
          <w:lang w:eastAsia="en-US"/>
        </w:rPr>
        <w:t xml:space="preserve"> (Cat# inh-vx765i-1) and used at a concentration of 10μM. BMDCs were pre-incubated for 30 minutes with VX765 prior to the addition of GC. Bafilomycin A was purchased from </w:t>
      </w:r>
      <w:proofErr w:type="spellStart"/>
      <w:r w:rsidRPr="006038F2">
        <w:rPr>
          <w:rFonts w:ascii="Times New Roman" w:eastAsia="Times New Roman" w:hAnsi="Times New Roman" w:cs="Times New Roman"/>
          <w:color w:val="191919"/>
          <w:lang w:eastAsia="en-US"/>
        </w:rPr>
        <w:t>InvivoGen</w:t>
      </w:r>
      <w:proofErr w:type="spellEnd"/>
      <w:r w:rsidRPr="006038F2">
        <w:rPr>
          <w:rFonts w:ascii="Times New Roman" w:eastAsia="Times New Roman" w:hAnsi="Times New Roman" w:cs="Times New Roman"/>
          <w:color w:val="191919"/>
          <w:lang w:eastAsia="en-US"/>
        </w:rPr>
        <w:t xml:space="preserve"> (Cat# tlrl-baf1) and used at a concentration of 100nM. BMDCs were pre-incubated for 30 minutes with bafilomycin A prior to the addition of GC. GSK’872 was purchased from Millipore Sigma (Cat# 530389) and used at a concentration of 3μM. BMDCs were pre-incubated for 45 minutes with GSK’872 prior to the addition of GC.</w:t>
      </w:r>
    </w:p>
    <w:p w14:paraId="4D2B9B3F" w14:textId="77777777" w:rsidR="0003572A" w:rsidRPr="006038F2" w:rsidRDefault="0003572A" w:rsidP="007956F3">
      <w:pPr>
        <w:spacing w:line="480" w:lineRule="auto"/>
        <w:rPr>
          <w:rFonts w:ascii="Times New Roman" w:eastAsia="Times New Roman" w:hAnsi="Times New Roman" w:cs="Times New Roman"/>
          <w:b/>
          <w:bCs/>
          <w:color w:val="212121"/>
          <w:lang w:eastAsia="en-US"/>
        </w:rPr>
      </w:pPr>
      <w:r w:rsidRPr="006038F2">
        <w:rPr>
          <w:rFonts w:ascii="Times New Roman" w:hAnsi="Times New Roman" w:cs="Times New Roman"/>
          <w:b/>
          <w:bCs/>
        </w:rPr>
        <w:t>RNA-Sequencing</w:t>
      </w:r>
    </w:p>
    <w:p w14:paraId="1CEFAFC2" w14:textId="77777777" w:rsidR="0003572A" w:rsidRPr="006038F2" w:rsidRDefault="0003572A" w:rsidP="007956F3">
      <w:pPr>
        <w:pStyle w:val="xmsonormal"/>
        <w:shd w:val="clear" w:color="auto" w:fill="FFFFFF"/>
        <w:spacing w:before="0" w:beforeAutospacing="0" w:after="225" w:afterAutospacing="0" w:line="480" w:lineRule="auto"/>
        <w:textAlignment w:val="baseline"/>
        <w:rPr>
          <w:color w:val="212121"/>
        </w:rPr>
      </w:pPr>
      <w:r w:rsidRPr="006038F2">
        <w:rPr>
          <w:color w:val="191919"/>
        </w:rPr>
        <w:t xml:space="preserve">BMDCs were cultured for 24 hours, then harvested and stained with ghost dye BV510 for viability and CD11b APC-Cy7 and CD11c FITC. Live CD11b+CD11c+ BMDCs were sorted on the BD FACS ARIA. RNA was isolated from the sorted BMDCs using the Quick-RNA </w:t>
      </w:r>
      <w:proofErr w:type="spellStart"/>
      <w:r w:rsidRPr="006038F2">
        <w:rPr>
          <w:color w:val="191919"/>
        </w:rPr>
        <w:t>microprep</w:t>
      </w:r>
      <w:proofErr w:type="spellEnd"/>
      <w:r w:rsidRPr="006038F2">
        <w:rPr>
          <w:color w:val="191919"/>
        </w:rPr>
        <w:t xml:space="preserve"> kit purchased from Zymo Research (Cat# R1050). RNA was isolated according to the manufacturer’s protocol. For sequencing the 20M reads mRNA prep and sequencing service was performed for preparation of the RNA for </w:t>
      </w:r>
      <w:proofErr w:type="spellStart"/>
      <w:r w:rsidRPr="006038F2">
        <w:rPr>
          <w:color w:val="191919"/>
        </w:rPr>
        <w:t>NovaSeq</w:t>
      </w:r>
      <w:proofErr w:type="spellEnd"/>
      <w:r w:rsidRPr="006038F2">
        <w:rPr>
          <w:color w:val="191919"/>
        </w:rPr>
        <w:t xml:space="preserve"> PE150 reads on the NovaSeq6000.</w:t>
      </w:r>
    </w:p>
    <w:p w14:paraId="32366039" w14:textId="77777777" w:rsidR="0003572A" w:rsidRPr="006038F2" w:rsidRDefault="0003572A" w:rsidP="007956F3">
      <w:pPr>
        <w:spacing w:line="480" w:lineRule="auto"/>
        <w:rPr>
          <w:rFonts w:ascii="Times New Roman" w:hAnsi="Times New Roman" w:cs="Times New Roman"/>
          <w:b/>
          <w:bCs/>
          <w:color w:val="212121"/>
        </w:rPr>
      </w:pPr>
      <w:r w:rsidRPr="006038F2">
        <w:rPr>
          <w:rFonts w:ascii="Times New Roman" w:hAnsi="Times New Roman" w:cs="Times New Roman"/>
          <w:b/>
          <w:bCs/>
        </w:rPr>
        <w:lastRenderedPageBreak/>
        <w:t>Bioinformatics analysis (Quality control, read trimming, mapping to genome, and identification of DEGs)</w:t>
      </w:r>
    </w:p>
    <w:p w14:paraId="4CE6A7D9" w14:textId="032E05B2" w:rsidR="0003572A" w:rsidRPr="006038F2" w:rsidRDefault="0003572A" w:rsidP="00BE1EEE">
      <w:pPr>
        <w:pStyle w:val="xmsonormal"/>
        <w:shd w:val="clear" w:color="auto" w:fill="FFFFFF"/>
        <w:spacing w:before="0" w:beforeAutospacing="0" w:after="0" w:afterAutospacing="0" w:line="480" w:lineRule="auto"/>
        <w:textAlignment w:val="baseline"/>
        <w:rPr>
          <w:color w:val="212121"/>
        </w:rPr>
      </w:pPr>
      <w:r w:rsidRPr="006038F2">
        <w:rPr>
          <w:color w:val="191919"/>
        </w:rPr>
        <w:t>A quality check for the raw sequencing data was conducted using </w:t>
      </w:r>
      <w:proofErr w:type="spellStart"/>
      <w:r w:rsidRPr="006038F2">
        <w:rPr>
          <w:i/>
          <w:iCs/>
          <w:color w:val="191919"/>
          <w:bdr w:val="none" w:sz="0" w:space="0" w:color="auto" w:frame="1"/>
        </w:rPr>
        <w:t>FastQC</w:t>
      </w:r>
      <w:proofErr w:type="spellEnd"/>
      <w:r w:rsidRPr="006038F2">
        <w:rPr>
          <w:color w:val="191919"/>
        </w:rPr>
        <w:t> (v0.11.9) to detect common issues in RNA-Seq data. The reads were then trimmed with </w:t>
      </w:r>
      <w:proofErr w:type="spellStart"/>
      <w:r w:rsidRPr="006038F2">
        <w:rPr>
          <w:i/>
          <w:iCs/>
          <w:color w:val="191919"/>
          <w:bdr w:val="none" w:sz="0" w:space="0" w:color="auto" w:frame="1"/>
        </w:rPr>
        <w:t>Trimmomatic</w:t>
      </w:r>
      <w:proofErr w:type="spellEnd"/>
      <w:r w:rsidRPr="006038F2">
        <w:rPr>
          <w:color w:val="191919"/>
        </w:rPr>
        <w:t> (v0.39) to remove low quality bases(</w:t>
      </w:r>
      <w:hyperlink r:id="rId32" w:anchor="ref-51" w:tooltip="https://www.biorxiv.org/content/10.1101/2022.07.22.501157v1.full#ref-51" w:history="1">
        <w:r w:rsidRPr="006038F2">
          <w:rPr>
            <w:rStyle w:val="Hyperlink"/>
            <w:rFonts w:eastAsiaTheme="majorEastAsia"/>
            <w:b/>
            <w:bCs/>
            <w:i/>
            <w:iCs/>
            <w:color w:val="808080"/>
            <w:bdr w:val="none" w:sz="0" w:space="0" w:color="auto" w:frame="1"/>
          </w:rPr>
          <w:t>51</w:t>
        </w:r>
      </w:hyperlink>
      <w:r w:rsidRPr="006038F2">
        <w:rPr>
          <w:color w:val="191919"/>
        </w:rPr>
        <w:t>). The quality of the reads was re-evaluated with </w:t>
      </w:r>
      <w:proofErr w:type="spellStart"/>
      <w:r w:rsidRPr="006038F2">
        <w:rPr>
          <w:i/>
          <w:iCs/>
          <w:color w:val="191919"/>
          <w:bdr w:val="none" w:sz="0" w:space="0" w:color="auto" w:frame="1"/>
        </w:rPr>
        <w:t>FastQC</w:t>
      </w:r>
      <w:proofErr w:type="spellEnd"/>
      <w:r w:rsidRPr="006038F2">
        <w:rPr>
          <w:color w:val="191919"/>
        </w:rPr>
        <w:t> after this step to validate the quality improvements. The RNA-seq reads from each sample were mapped to the mouse mm10 genome assembly using the </w:t>
      </w:r>
      <w:r w:rsidRPr="006038F2">
        <w:rPr>
          <w:i/>
          <w:iCs/>
          <w:color w:val="191919"/>
          <w:bdr w:val="none" w:sz="0" w:space="0" w:color="auto" w:frame="1"/>
        </w:rPr>
        <w:t xml:space="preserve">HISAT2. </w:t>
      </w:r>
      <w:proofErr w:type="spellStart"/>
      <w:r w:rsidRPr="006038F2">
        <w:rPr>
          <w:i/>
          <w:iCs/>
          <w:color w:val="191919"/>
          <w:bdr w:val="none" w:sz="0" w:space="0" w:color="auto" w:frame="1"/>
        </w:rPr>
        <w:t>Samtools</w:t>
      </w:r>
      <w:proofErr w:type="spellEnd"/>
      <w:r w:rsidRPr="006038F2">
        <w:rPr>
          <w:color w:val="191919"/>
        </w:rPr>
        <w:t> was used to manipulate the </w:t>
      </w:r>
      <w:r w:rsidRPr="006038F2">
        <w:rPr>
          <w:i/>
          <w:iCs/>
          <w:color w:val="191919"/>
          <w:bdr w:val="none" w:sz="0" w:space="0" w:color="auto" w:frame="1"/>
        </w:rPr>
        <w:t>HISAT2</w:t>
      </w:r>
      <w:r w:rsidRPr="006038F2">
        <w:rPr>
          <w:color w:val="191919"/>
        </w:rPr>
        <w:t> generated SAM files into BAM files(</w:t>
      </w:r>
      <w:hyperlink r:id="rId33" w:anchor="ref-52" w:tooltip="https://www.biorxiv.org/content/10.1101/2022.07.22.501157v1.full#ref-52" w:history="1">
        <w:r w:rsidRPr="006038F2">
          <w:rPr>
            <w:rStyle w:val="Hyperlink"/>
            <w:rFonts w:eastAsiaTheme="majorEastAsia"/>
            <w:b/>
            <w:bCs/>
            <w:i/>
            <w:iCs/>
            <w:color w:val="808080"/>
            <w:bdr w:val="none" w:sz="0" w:space="0" w:color="auto" w:frame="1"/>
          </w:rPr>
          <w:t>52</w:t>
        </w:r>
      </w:hyperlink>
      <w:r w:rsidRPr="006038F2">
        <w:rPr>
          <w:color w:val="191919"/>
        </w:rPr>
        <w:t>). </w:t>
      </w:r>
      <w:proofErr w:type="spellStart"/>
      <w:r w:rsidRPr="006038F2">
        <w:rPr>
          <w:i/>
          <w:iCs/>
          <w:color w:val="191919"/>
          <w:bdr w:val="none" w:sz="0" w:space="0" w:color="auto" w:frame="1"/>
        </w:rPr>
        <w:t>FeatureCounts</w:t>
      </w:r>
      <w:proofErr w:type="spellEnd"/>
      <w:r w:rsidRPr="006038F2">
        <w:rPr>
          <w:color w:val="191919"/>
        </w:rPr>
        <w:t> program from </w:t>
      </w:r>
      <w:r w:rsidRPr="006038F2">
        <w:rPr>
          <w:i/>
          <w:iCs/>
          <w:color w:val="191919"/>
          <w:bdr w:val="none" w:sz="0" w:space="0" w:color="auto" w:frame="1"/>
        </w:rPr>
        <w:t>Subread</w:t>
      </w:r>
      <w:r w:rsidRPr="006038F2">
        <w:rPr>
          <w:color w:val="191919"/>
        </w:rPr>
        <w:t xml:space="preserve"> package was used to count mapped </w:t>
      </w:r>
      <w:proofErr w:type="spellStart"/>
      <w:r w:rsidRPr="006038F2">
        <w:rPr>
          <w:color w:val="191919"/>
        </w:rPr>
        <w:t>RNAseq</w:t>
      </w:r>
      <w:proofErr w:type="spellEnd"/>
      <w:r w:rsidRPr="006038F2">
        <w:rPr>
          <w:color w:val="191919"/>
        </w:rPr>
        <w:t xml:space="preserve"> reads for genomic features(</w:t>
      </w:r>
      <w:hyperlink r:id="rId34" w:anchor="ref-53" w:tooltip="https://www.biorxiv.org/content/10.1101/2022.07.22.501157v1.full#ref-53" w:history="1">
        <w:r w:rsidRPr="006038F2">
          <w:rPr>
            <w:rStyle w:val="Hyperlink"/>
            <w:rFonts w:eastAsiaTheme="majorEastAsia"/>
            <w:b/>
            <w:bCs/>
            <w:i/>
            <w:iCs/>
            <w:color w:val="808080"/>
            <w:bdr w:val="none" w:sz="0" w:space="0" w:color="auto" w:frame="1"/>
          </w:rPr>
          <w:t>53</w:t>
        </w:r>
      </w:hyperlink>
      <w:r w:rsidRPr="006038F2">
        <w:rPr>
          <w:color w:val="191919"/>
        </w:rPr>
        <w:t>). </w:t>
      </w:r>
      <w:r w:rsidRPr="006038F2">
        <w:rPr>
          <w:i/>
          <w:iCs/>
          <w:color w:val="191919"/>
          <w:bdr w:val="none" w:sz="0" w:space="0" w:color="auto" w:frame="1"/>
        </w:rPr>
        <w:t>DESeq2</w:t>
      </w:r>
      <w:r w:rsidRPr="006038F2">
        <w:rPr>
          <w:color w:val="191919"/>
        </w:rPr>
        <w:t xml:space="preserve"> was used for differential expressed genes (DEG) analysis based on the negative binomial distribution. The resulting P-values were adjusted using the </w:t>
      </w:r>
      <w:proofErr w:type="spellStart"/>
      <w:r w:rsidRPr="006038F2">
        <w:rPr>
          <w:color w:val="191919"/>
        </w:rPr>
        <w:t>Benjamini</w:t>
      </w:r>
      <w:proofErr w:type="spellEnd"/>
      <w:r w:rsidRPr="006038F2">
        <w:rPr>
          <w:color w:val="191919"/>
        </w:rPr>
        <w:t xml:space="preserve"> and Hochberg’s approach for controlling the false discovery rate. Genes with an adjusted P-value (P adj) &lt; 0.05 as determined by </w:t>
      </w:r>
      <w:r w:rsidRPr="006038F2">
        <w:rPr>
          <w:i/>
          <w:iCs/>
          <w:color w:val="191919"/>
          <w:bdr w:val="none" w:sz="0" w:space="0" w:color="auto" w:frame="1"/>
        </w:rPr>
        <w:t>DESeq2</w:t>
      </w:r>
      <w:r w:rsidRPr="006038F2">
        <w:rPr>
          <w:color w:val="191919"/>
        </w:rPr>
        <w:t> were assigned as differentially expressed. Gene ontology (GO) analysis of DEG was performed using </w:t>
      </w:r>
      <w:proofErr w:type="spellStart"/>
      <w:r w:rsidRPr="006038F2">
        <w:rPr>
          <w:i/>
          <w:iCs/>
          <w:color w:val="191919"/>
          <w:bdr w:val="none" w:sz="0" w:space="0" w:color="auto" w:frame="1"/>
        </w:rPr>
        <w:t>clusterProfiler</w:t>
      </w:r>
      <w:proofErr w:type="spellEnd"/>
      <w:r w:rsidRPr="006038F2">
        <w:rPr>
          <w:color w:val="191919"/>
        </w:rPr>
        <w:t>(</w:t>
      </w:r>
      <w:hyperlink r:id="rId35" w:anchor="ref-54" w:tooltip="https://www.biorxiv.org/content/10.1101/2022.07.22.501157v1.full#ref-54" w:history="1">
        <w:r w:rsidRPr="006038F2">
          <w:rPr>
            <w:rStyle w:val="Hyperlink"/>
            <w:rFonts w:eastAsiaTheme="majorEastAsia"/>
            <w:b/>
            <w:bCs/>
            <w:i/>
            <w:iCs/>
            <w:color w:val="808080"/>
            <w:bdr w:val="none" w:sz="0" w:space="0" w:color="auto" w:frame="1"/>
          </w:rPr>
          <w:t>54</w:t>
        </w:r>
      </w:hyperlink>
      <w:r w:rsidRPr="006038F2">
        <w:rPr>
          <w:color w:val="191919"/>
        </w:rPr>
        <w:t xml:space="preserve">).” </w:t>
      </w:r>
      <w:sdt>
        <w:sdtPr>
          <w:rPr>
            <w:color w:val="191919"/>
          </w:rPr>
          <w:id w:val="-751659699"/>
          <w:citation/>
        </w:sdtPr>
        <w:sdtContent>
          <w:r w:rsidRPr="006038F2">
            <w:rPr>
              <w:color w:val="191919"/>
            </w:rPr>
            <w:fldChar w:fldCharType="begin"/>
          </w:r>
          <w:r w:rsidRPr="006038F2">
            <w:rPr>
              <w:color w:val="191919"/>
            </w:rPr>
            <w:instrText xml:space="preserve"> CITATION Hoo22 \l 1033 </w:instrText>
          </w:r>
          <w:r w:rsidRPr="006038F2">
            <w:rPr>
              <w:color w:val="191919"/>
            </w:rPr>
            <w:fldChar w:fldCharType="separate"/>
          </w:r>
          <w:r w:rsidR="00B56B5A" w:rsidRPr="006038F2">
            <w:rPr>
              <w:noProof/>
              <w:color w:val="191919"/>
            </w:rPr>
            <w:t>(Hoover, 2022)</w:t>
          </w:r>
          <w:r w:rsidRPr="006038F2">
            <w:rPr>
              <w:color w:val="191919"/>
            </w:rPr>
            <w:fldChar w:fldCharType="end"/>
          </w:r>
        </w:sdtContent>
      </w:sdt>
    </w:p>
    <w:p w14:paraId="47C1FC09" w14:textId="77777777" w:rsidR="0003572A" w:rsidRPr="006038F2" w:rsidRDefault="0003572A" w:rsidP="007956F3">
      <w:pPr>
        <w:pStyle w:val="Heading2"/>
        <w:spacing w:line="480" w:lineRule="auto"/>
        <w:rPr>
          <w:rFonts w:ascii="Times New Roman" w:hAnsi="Times New Roman" w:cs="Times New Roman"/>
          <w:lang w:eastAsia="en-US"/>
        </w:rPr>
      </w:pPr>
      <w:bookmarkStart w:id="106" w:name="_Ref170821526"/>
      <w:bookmarkStart w:id="107" w:name="_Ref170823013"/>
      <w:bookmarkStart w:id="108" w:name="_Toc172659189"/>
      <w:r w:rsidRPr="006038F2">
        <w:rPr>
          <w:rFonts w:ascii="Times New Roman" w:hAnsi="Times New Roman" w:cs="Times New Roman"/>
          <w:lang w:eastAsia="en-US"/>
        </w:rPr>
        <w:lastRenderedPageBreak/>
        <w:t>Appendix C: IVIS Optimization</w:t>
      </w:r>
      <w:bookmarkEnd w:id="106"/>
      <w:bookmarkEnd w:id="107"/>
      <w:bookmarkEnd w:id="108"/>
    </w:p>
    <w:p w14:paraId="77EEB4B1" w14:textId="77777777" w:rsidR="0003572A" w:rsidRPr="006038F2" w:rsidRDefault="0003572A" w:rsidP="007956F3">
      <w:pPr>
        <w:pStyle w:val="Heading3"/>
        <w:spacing w:line="480" w:lineRule="auto"/>
        <w:rPr>
          <w:rFonts w:ascii="Times New Roman" w:hAnsi="Times New Roman" w:cs="Times New Roman"/>
          <w:lang w:eastAsia="en-US"/>
        </w:rPr>
      </w:pPr>
      <w:bookmarkStart w:id="109" w:name="_Ref170821521"/>
      <w:bookmarkStart w:id="110" w:name="_Toc172659190"/>
      <w:r w:rsidRPr="006038F2">
        <w:rPr>
          <w:rFonts w:ascii="Times New Roman" w:hAnsi="Times New Roman" w:cs="Times New Roman"/>
          <w:lang w:eastAsia="en-US"/>
        </w:rPr>
        <w:t>C1: Chlorophyll Free Diet</w:t>
      </w:r>
      <w:bookmarkEnd w:id="109"/>
      <w:bookmarkEnd w:id="110"/>
    </w:p>
    <w:p w14:paraId="1B96D8D3" w14:textId="77777777" w:rsidR="0003572A" w:rsidRPr="006038F2" w:rsidRDefault="0003572A" w:rsidP="007956F3">
      <w:pPr>
        <w:spacing w:line="480" w:lineRule="auto"/>
        <w:rPr>
          <w:rFonts w:ascii="Times New Roman" w:hAnsi="Times New Roman" w:cs="Times New Roman"/>
          <w:lang w:eastAsia="en-US"/>
        </w:rPr>
      </w:pPr>
      <w:r w:rsidRPr="006038F2">
        <w:rPr>
          <w:rFonts w:ascii="Times New Roman" w:hAnsi="Times New Roman" w:cs="Times New Roman"/>
          <w:noProof/>
        </w:rPr>
        <w:drawing>
          <wp:inline distT="0" distB="0" distL="0" distR="0" wp14:anchorId="40C53BBF" wp14:editId="711F576A">
            <wp:extent cx="5776582" cy="3041964"/>
            <wp:effectExtent l="0" t="0" r="2540" b="0"/>
            <wp:docPr id="625064769" name="Picture 1" descr="A comparison of food and energ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64769" name="Picture 1" descr="A comparison of food and energy&#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70738" cy="3091547"/>
                    </a:xfrm>
                    <a:prstGeom prst="rect">
                      <a:avLst/>
                    </a:prstGeom>
                  </pic:spPr>
                </pic:pic>
              </a:graphicData>
            </a:graphic>
          </wp:inline>
        </w:drawing>
      </w:r>
    </w:p>
    <w:p w14:paraId="0508C723" w14:textId="4ED94BFE" w:rsidR="0003572A" w:rsidRPr="006038F2" w:rsidRDefault="0003572A" w:rsidP="007956F3">
      <w:pPr>
        <w:pStyle w:val="Caption"/>
        <w:spacing w:line="480" w:lineRule="auto"/>
        <w:rPr>
          <w:rFonts w:ascii="Times New Roman" w:hAnsi="Times New Roman" w:cs="Times New Roman"/>
        </w:rPr>
      </w:pPr>
      <w:bookmarkStart w:id="111" w:name="_Toc172659220"/>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23</w:t>
      </w:r>
      <w:r w:rsidRPr="006038F2">
        <w:rPr>
          <w:rFonts w:ascii="Times New Roman" w:hAnsi="Times New Roman" w:cs="Times New Roman"/>
          <w:b/>
          <w:bCs/>
        </w:rPr>
        <w:fldChar w:fldCharType="end"/>
      </w:r>
      <w:r w:rsidRPr="006038F2">
        <w:rPr>
          <w:rFonts w:ascii="Times New Roman" w:hAnsi="Times New Roman" w:cs="Times New Roman"/>
          <w:b/>
          <w:bCs/>
        </w:rPr>
        <w:t xml:space="preserve">: Difference in baseline fluorescence readings made by diet change. </w:t>
      </w:r>
      <w:r w:rsidRPr="006038F2">
        <w:rPr>
          <w:rFonts w:ascii="Times New Roman" w:hAnsi="Times New Roman" w:cs="Times New Roman"/>
        </w:rPr>
        <w:t>This figure shows two images with the same fluorescence scale to show the difference on fluorescence signal made by alfalfa in the mouse’s diet. The special diet reduces background noise</w:t>
      </w:r>
      <w:sdt>
        <w:sdtPr>
          <w:rPr>
            <w:rFonts w:ascii="Times New Roman" w:hAnsi="Times New Roman" w:cs="Times New Roman"/>
          </w:rPr>
          <w:id w:val="-62947823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Bra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 xml:space="preserve"> (Taylor)</w:t>
          </w:r>
          <w:r w:rsidRPr="006038F2">
            <w:rPr>
              <w:rFonts w:ascii="Times New Roman" w:hAnsi="Times New Roman" w:cs="Times New Roman"/>
            </w:rPr>
            <w:fldChar w:fldCharType="end"/>
          </w:r>
        </w:sdtContent>
      </w:sdt>
      <w:r w:rsidRPr="006038F2">
        <w:rPr>
          <w:rFonts w:ascii="Times New Roman" w:hAnsi="Times New Roman" w:cs="Times New Roman"/>
        </w:rPr>
        <w:t>.</w:t>
      </w:r>
      <w:bookmarkEnd w:id="111"/>
      <w:r w:rsidRPr="006038F2">
        <w:rPr>
          <w:rFonts w:ascii="Times New Roman" w:hAnsi="Times New Roman" w:cs="Times New Roman"/>
        </w:rPr>
        <w:t xml:space="preserve"> </w:t>
      </w:r>
    </w:p>
    <w:p w14:paraId="3CCC2AD5" w14:textId="77777777" w:rsidR="0003572A" w:rsidRPr="006038F2" w:rsidRDefault="0003572A" w:rsidP="007956F3">
      <w:pPr>
        <w:pStyle w:val="Heading3"/>
        <w:spacing w:line="480" w:lineRule="auto"/>
        <w:rPr>
          <w:rFonts w:ascii="Times New Roman" w:hAnsi="Times New Roman" w:cs="Times New Roman"/>
          <w:lang w:eastAsia="en-US"/>
        </w:rPr>
      </w:pPr>
      <w:bookmarkStart w:id="112" w:name="_Toc172659191"/>
      <w:r w:rsidRPr="006038F2">
        <w:rPr>
          <w:rFonts w:ascii="Times New Roman" w:hAnsi="Times New Roman" w:cs="Times New Roman"/>
          <w:lang w:eastAsia="en-US"/>
        </w:rPr>
        <w:lastRenderedPageBreak/>
        <w:t>C2: IVIS Field of Views</w:t>
      </w:r>
      <w:bookmarkEnd w:id="112"/>
    </w:p>
    <w:p w14:paraId="7F941227" w14:textId="77777777" w:rsidR="0003572A" w:rsidRPr="006038F2" w:rsidRDefault="0003572A" w:rsidP="007956F3">
      <w:pPr>
        <w:spacing w:line="480" w:lineRule="auto"/>
        <w:rPr>
          <w:rFonts w:ascii="Times New Roman" w:hAnsi="Times New Roman" w:cs="Times New Roman"/>
          <w:lang w:eastAsia="en-US"/>
        </w:rPr>
      </w:pPr>
      <w:r w:rsidRPr="006038F2">
        <w:rPr>
          <w:rFonts w:ascii="Times New Roman" w:hAnsi="Times New Roman" w:cs="Times New Roman"/>
          <w:noProof/>
        </w:rPr>
        <w:drawing>
          <wp:inline distT="0" distB="0" distL="0" distR="0" wp14:anchorId="1A732E2E" wp14:editId="5A696E80">
            <wp:extent cx="5884752" cy="4701516"/>
            <wp:effectExtent l="0" t="0" r="0" b="0"/>
            <wp:docPr id="809979559" name="Picture 2" descr="A group of mice with different sizes and siz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9559" name="Picture 2" descr="A group of mice with different sizes and sizes&#10;&#10;Description automatically generated with medium confidenc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014833" cy="4805442"/>
                    </a:xfrm>
                    <a:prstGeom prst="rect">
                      <a:avLst/>
                    </a:prstGeom>
                  </pic:spPr>
                </pic:pic>
              </a:graphicData>
            </a:graphic>
          </wp:inline>
        </w:drawing>
      </w:r>
    </w:p>
    <w:p w14:paraId="6E896E22" w14:textId="697A64F0" w:rsidR="0003572A" w:rsidRPr="006038F2" w:rsidRDefault="0003572A" w:rsidP="007956F3">
      <w:pPr>
        <w:pStyle w:val="Caption"/>
        <w:spacing w:line="480" w:lineRule="auto"/>
        <w:rPr>
          <w:rFonts w:ascii="Times New Roman" w:hAnsi="Times New Roman" w:cs="Times New Roman"/>
        </w:rPr>
      </w:pPr>
      <w:bookmarkStart w:id="113" w:name="_Toc172659221"/>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24</w:t>
      </w:r>
      <w:r w:rsidRPr="006038F2">
        <w:rPr>
          <w:rFonts w:ascii="Times New Roman" w:hAnsi="Times New Roman" w:cs="Times New Roman"/>
          <w:b/>
          <w:bCs/>
        </w:rPr>
        <w:fldChar w:fldCharType="end"/>
      </w:r>
      <w:r w:rsidRPr="006038F2">
        <w:rPr>
          <w:rFonts w:ascii="Times New Roman" w:hAnsi="Times New Roman" w:cs="Times New Roman"/>
          <w:b/>
          <w:bCs/>
        </w:rPr>
        <w:t xml:space="preserve">: Field of view options in IVIS Spectrum imaging. </w:t>
      </w:r>
      <w:r w:rsidRPr="006038F2">
        <w:rPr>
          <w:rFonts w:ascii="Times New Roman" w:hAnsi="Times New Roman" w:cs="Times New Roman"/>
        </w:rPr>
        <w:t xml:space="preserve">This image shows the different levels of field of view that are possible for imaging on the IVIS Spectrum CT machine. Different FOVs pose different advantages, </w:t>
      </w:r>
      <w:r w:rsidR="00295E1D" w:rsidRPr="006038F2">
        <w:rPr>
          <w:rFonts w:ascii="Times New Roman" w:hAnsi="Times New Roman" w:cs="Times New Roman"/>
        </w:rPr>
        <w:t>e.g., FOV D can image</w:t>
      </w:r>
      <w:r w:rsidRPr="006038F2">
        <w:rPr>
          <w:rFonts w:ascii="Times New Roman" w:hAnsi="Times New Roman" w:cs="Times New Roman"/>
        </w:rPr>
        <w:t xml:space="preserve"> more mice but </w:t>
      </w:r>
      <w:r w:rsidR="00295E1D" w:rsidRPr="006038F2">
        <w:rPr>
          <w:rFonts w:ascii="Times New Roman" w:hAnsi="Times New Roman" w:cs="Times New Roman"/>
        </w:rPr>
        <w:t xml:space="preserve">has a </w:t>
      </w:r>
      <w:r w:rsidRPr="006038F2">
        <w:rPr>
          <w:rFonts w:ascii="Times New Roman" w:hAnsi="Times New Roman" w:cs="Times New Roman"/>
        </w:rPr>
        <w:t xml:space="preserve">farther distance for acquisition </w:t>
      </w:r>
      <w:sdt>
        <w:sdtPr>
          <w:rPr>
            <w:rFonts w:ascii="Times New Roman" w:hAnsi="Times New Roman" w:cs="Times New Roman"/>
          </w:rPr>
          <w:id w:val="-712272071"/>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 CITATION Bra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(Taylor)</w:t>
          </w:r>
          <w:r w:rsidRPr="006038F2">
            <w:rPr>
              <w:rFonts w:ascii="Times New Roman" w:hAnsi="Times New Roman" w:cs="Times New Roman"/>
            </w:rPr>
            <w:fldChar w:fldCharType="end"/>
          </w:r>
        </w:sdtContent>
      </w:sdt>
      <w:r w:rsidRPr="006038F2">
        <w:rPr>
          <w:rFonts w:ascii="Times New Roman" w:hAnsi="Times New Roman" w:cs="Times New Roman"/>
        </w:rPr>
        <w:t>.</w:t>
      </w:r>
      <w:bookmarkEnd w:id="113"/>
    </w:p>
    <w:p w14:paraId="2952F3E2" w14:textId="77777777" w:rsidR="0003572A" w:rsidRPr="006038F2" w:rsidRDefault="0003572A" w:rsidP="007956F3">
      <w:pPr>
        <w:pStyle w:val="Heading3"/>
        <w:spacing w:line="480" w:lineRule="auto"/>
        <w:rPr>
          <w:rFonts w:ascii="Times New Roman" w:hAnsi="Times New Roman" w:cs="Times New Roman"/>
        </w:rPr>
      </w:pPr>
      <w:bookmarkStart w:id="114" w:name="_Toc172659192"/>
      <w:r w:rsidRPr="006038F2">
        <w:rPr>
          <w:rFonts w:ascii="Times New Roman" w:hAnsi="Times New Roman" w:cs="Times New Roman"/>
        </w:rPr>
        <w:lastRenderedPageBreak/>
        <w:t>C3: Initial Round Relevant Results</w:t>
      </w:r>
      <w:bookmarkEnd w:id="114"/>
    </w:p>
    <w:p w14:paraId="6E62DD5F" w14:textId="77777777"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noProof/>
          <w14:ligatures w14:val="standardContextual"/>
        </w:rPr>
        <w:drawing>
          <wp:inline distT="0" distB="0" distL="0" distR="0" wp14:anchorId="7B943D2C" wp14:editId="00FBB8F3">
            <wp:extent cx="5943600" cy="3142615"/>
            <wp:effectExtent l="0" t="0" r="0" b="0"/>
            <wp:docPr id="1825434804" name="Picture 10" descr="A graph of a number of tim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434804" name="Picture 10" descr="A graph of a number of times&#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5943600" cy="3142615"/>
                    </a:xfrm>
                    <a:prstGeom prst="rect">
                      <a:avLst/>
                    </a:prstGeom>
                  </pic:spPr>
                </pic:pic>
              </a:graphicData>
            </a:graphic>
          </wp:inline>
        </w:drawing>
      </w:r>
    </w:p>
    <w:p w14:paraId="61D36F29" w14:textId="6A13BC5D" w:rsidR="0003572A" w:rsidRPr="006038F2" w:rsidRDefault="0003572A" w:rsidP="007956F3">
      <w:pPr>
        <w:pStyle w:val="Caption"/>
        <w:spacing w:line="480" w:lineRule="auto"/>
        <w:rPr>
          <w:rFonts w:ascii="Times New Roman" w:hAnsi="Times New Roman" w:cs="Times New Roman"/>
        </w:rPr>
      </w:pPr>
      <w:bookmarkStart w:id="115" w:name="_Ref170909498"/>
      <w:bookmarkStart w:id="116" w:name="_Ref170909357"/>
      <w:bookmarkStart w:id="117" w:name="_Toc172659222"/>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25</w:t>
      </w:r>
      <w:r w:rsidRPr="006038F2">
        <w:rPr>
          <w:rFonts w:ascii="Times New Roman" w:hAnsi="Times New Roman" w:cs="Times New Roman"/>
          <w:b/>
          <w:bCs/>
        </w:rPr>
        <w:fldChar w:fldCharType="end"/>
      </w:r>
      <w:bookmarkEnd w:id="115"/>
      <w:r w:rsidRPr="006038F2">
        <w:rPr>
          <w:rFonts w:ascii="Times New Roman" w:hAnsi="Times New Roman" w:cs="Times New Roman"/>
          <w:b/>
          <w:bCs/>
        </w:rPr>
        <w:t xml:space="preserve">: Preliminary subcutaneous results for percent increase in total radiant efficiency after GC administration. </w:t>
      </w:r>
      <w:r w:rsidRPr="006038F2">
        <w:rPr>
          <w:rFonts w:ascii="Times New Roman" w:hAnsi="Times New Roman" w:cs="Times New Roman"/>
        </w:rPr>
        <w:t>Grouped bar graph depicting the percent change in total radiant efficiency measurements, as normalized to the background signal, in the local area after subcutaneous GC injection. This experiment was in the first round of IVIS imaging, done with only a 20µL injection volume, with WT mice as the control and IFN reporter mice as the test, both with GC treatment.</w:t>
      </w:r>
      <w:bookmarkEnd w:id="116"/>
      <w:bookmarkEnd w:id="117"/>
    </w:p>
    <w:p w14:paraId="075C5615" w14:textId="77777777" w:rsidR="0003572A" w:rsidRPr="006038F2" w:rsidRDefault="0003572A" w:rsidP="00C87AF0">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_Ref170909498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14</w:t>
      </w:r>
      <w:r w:rsidRPr="006038F2">
        <w:rPr>
          <w:rFonts w:ascii="Times New Roman" w:hAnsi="Times New Roman" w:cs="Times New Roman"/>
        </w:rPr>
        <w:fldChar w:fldCharType="end"/>
      </w:r>
      <w:r w:rsidRPr="006038F2">
        <w:rPr>
          <w:rFonts w:ascii="Times New Roman" w:hAnsi="Times New Roman" w:cs="Times New Roman"/>
        </w:rPr>
        <w:t xml:space="preserve"> shows the results of the first IVIS imaging round in the local subcutaneous area after GC injection. In this study, a volume of 20µL was used in an attempt to level out effects between the intranasal and subcutaneous injections (i.e., having both at the same volume). However, as can be seen in this figure, there is no visible trend and no statistically significant results from this study. Because of this, a larger volume was adopted for future trials.</w:t>
      </w:r>
    </w:p>
    <w:p w14:paraId="7C5F2377" w14:textId="77777777" w:rsidR="0003572A" w:rsidRPr="006038F2" w:rsidRDefault="0003572A" w:rsidP="007956F3">
      <w:pPr>
        <w:spacing w:line="480" w:lineRule="auto"/>
        <w:rPr>
          <w:rFonts w:ascii="Times New Roman" w:hAnsi="Times New Roman" w:cs="Times New Roman"/>
        </w:rPr>
      </w:pPr>
    </w:p>
    <w:p w14:paraId="68E08324" w14:textId="77777777" w:rsidR="0003572A" w:rsidRPr="006038F2" w:rsidRDefault="0003572A" w:rsidP="007956F3">
      <w:pPr>
        <w:spacing w:line="480" w:lineRule="auto"/>
        <w:rPr>
          <w:rFonts w:ascii="Times New Roman" w:hAnsi="Times New Roman" w:cs="Times New Roman"/>
        </w:rPr>
      </w:pPr>
    </w:p>
    <w:p w14:paraId="0813E01C" w14:textId="77777777" w:rsidR="0003572A" w:rsidRPr="006038F2" w:rsidRDefault="0003572A" w:rsidP="007956F3">
      <w:pPr>
        <w:spacing w:line="480" w:lineRule="auto"/>
        <w:rPr>
          <w:rFonts w:ascii="Times New Roman" w:hAnsi="Times New Roman" w:cs="Times New Roman"/>
          <w:lang w:eastAsia="en-US"/>
        </w:rPr>
      </w:pPr>
      <w:r w:rsidRPr="006038F2">
        <w:rPr>
          <w:rFonts w:ascii="Times New Roman" w:hAnsi="Times New Roman" w:cs="Times New Roman"/>
          <w:noProof/>
          <w:lang w:eastAsia="en-US"/>
          <w14:ligatures w14:val="standardContextual"/>
        </w:rPr>
        <w:lastRenderedPageBreak/>
        <w:drawing>
          <wp:inline distT="0" distB="0" distL="0" distR="0" wp14:anchorId="53F2EE69" wp14:editId="29B10B76">
            <wp:extent cx="5960687" cy="3059723"/>
            <wp:effectExtent l="0" t="0" r="0" b="1270"/>
            <wp:docPr id="282264547" name="Picture 11"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264547" name="Picture 11" descr="A graph with blue and orange lines&#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89398" cy="3074461"/>
                    </a:xfrm>
                    <a:prstGeom prst="rect">
                      <a:avLst/>
                    </a:prstGeom>
                  </pic:spPr>
                </pic:pic>
              </a:graphicData>
            </a:graphic>
          </wp:inline>
        </w:drawing>
      </w:r>
    </w:p>
    <w:p w14:paraId="7D895874" w14:textId="6F77E55D" w:rsidR="0003572A" w:rsidRPr="006038F2" w:rsidRDefault="0003572A" w:rsidP="007956F3">
      <w:pPr>
        <w:pStyle w:val="Caption"/>
        <w:spacing w:line="480" w:lineRule="auto"/>
        <w:rPr>
          <w:rFonts w:ascii="Times New Roman" w:hAnsi="Times New Roman" w:cs="Times New Roman"/>
        </w:rPr>
      </w:pPr>
      <w:bookmarkStart w:id="118" w:name="_Ref170908522"/>
      <w:bookmarkStart w:id="119" w:name="_Toc172659223"/>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26</w:t>
      </w:r>
      <w:r w:rsidRPr="006038F2">
        <w:rPr>
          <w:rFonts w:ascii="Times New Roman" w:hAnsi="Times New Roman" w:cs="Times New Roman"/>
          <w:b/>
          <w:bCs/>
        </w:rPr>
        <w:fldChar w:fldCharType="end"/>
      </w:r>
      <w:bookmarkEnd w:id="118"/>
      <w:r w:rsidRPr="006038F2">
        <w:rPr>
          <w:rFonts w:ascii="Times New Roman" w:hAnsi="Times New Roman" w:cs="Times New Roman"/>
          <w:b/>
          <w:bCs/>
        </w:rPr>
        <w:t xml:space="preserve">: Preliminary intranasal results for raw total radiant efficiency counts after GC administration. </w:t>
      </w:r>
      <w:r w:rsidRPr="006038F2">
        <w:rPr>
          <w:rFonts w:ascii="Times New Roman" w:hAnsi="Times New Roman" w:cs="Times New Roman"/>
        </w:rPr>
        <w:t>Line graph depicting the changes in total radiant efficiency measurements after intranasal vaccination with GC. This experiment was one of the primarily run rounds set for optimization and preliminary results. The difference between the two groups is essentially insignificant at all time points.</w:t>
      </w:r>
      <w:bookmarkEnd w:id="119"/>
      <w:r w:rsidRPr="006038F2">
        <w:rPr>
          <w:rFonts w:ascii="Times New Roman" w:hAnsi="Times New Roman" w:cs="Times New Roman"/>
        </w:rPr>
        <w:t xml:space="preserve"> </w:t>
      </w:r>
    </w:p>
    <w:p w14:paraId="19134285" w14:textId="77777777" w:rsidR="0003572A" w:rsidRPr="006038F2" w:rsidRDefault="0003572A" w:rsidP="00C87AF0">
      <w:pPr>
        <w:spacing w:line="480" w:lineRule="auto"/>
        <w:ind w:firstLine="720"/>
        <w:rPr>
          <w:rFonts w:ascii="Times New Roman" w:hAnsi="Times New Roman" w:cs="Times New Roman"/>
        </w:rPr>
      </w:pPr>
      <w:r w:rsidRPr="006038F2">
        <w:rPr>
          <w:rFonts w:ascii="Times New Roman" w:hAnsi="Times New Roman" w:cs="Times New Roman"/>
        </w:rPr>
        <w:fldChar w:fldCharType="begin"/>
      </w:r>
      <w:r w:rsidRPr="006038F2">
        <w:rPr>
          <w:rFonts w:ascii="Times New Roman" w:hAnsi="Times New Roman" w:cs="Times New Roman"/>
        </w:rPr>
        <w:instrText xml:space="preserve"> REF _Ref170908522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15</w:t>
      </w:r>
      <w:r w:rsidRPr="006038F2">
        <w:rPr>
          <w:rFonts w:ascii="Times New Roman" w:hAnsi="Times New Roman" w:cs="Times New Roman"/>
        </w:rPr>
        <w:fldChar w:fldCharType="end"/>
      </w:r>
      <w:r w:rsidRPr="006038F2">
        <w:rPr>
          <w:rFonts w:ascii="Times New Roman" w:hAnsi="Times New Roman" w:cs="Times New Roman"/>
        </w:rPr>
        <w:t xml:space="preserve"> shows the results of one of the preliminary intranasal vaccination studies. No significant results were seen, so a more careful vaccination method was employed, as discussed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_Ref170908776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rPr>
        <w:t>2.3.1. Intranasal vaccination</w:t>
      </w:r>
      <w:r w:rsidRPr="006038F2">
        <w:rPr>
          <w:rFonts w:ascii="Times New Roman" w:hAnsi="Times New Roman" w:cs="Times New Roman"/>
        </w:rPr>
        <w:fldChar w:fldCharType="end"/>
      </w:r>
      <w:r w:rsidRPr="006038F2">
        <w:rPr>
          <w:rFonts w:ascii="Times New Roman" w:hAnsi="Times New Roman" w:cs="Times New Roman"/>
        </w:rPr>
        <w:t>. It had been hypothesized that perhaps the GC solution was not experiencing proper uptake into the mouse’s nasal cavity, thus the lack of response. (In some of the mice, there was visual evidence of liquid on the floor of the recovery chamber (where the mouse is placed after the procedure), so this was basis for the development of a more careful protocol.)</w:t>
      </w:r>
    </w:p>
    <w:p w14:paraId="12EB9CD8" w14:textId="77777777" w:rsidR="0003572A" w:rsidRPr="006038F2" w:rsidRDefault="0003572A" w:rsidP="007956F3">
      <w:pPr>
        <w:spacing w:line="480" w:lineRule="auto"/>
        <w:rPr>
          <w:rFonts w:ascii="Times New Roman" w:hAnsi="Times New Roman" w:cs="Times New Roman"/>
          <w:lang w:eastAsia="en-US"/>
        </w:rPr>
      </w:pPr>
    </w:p>
    <w:p w14:paraId="73ECCA9B" w14:textId="77777777" w:rsidR="0003572A" w:rsidRPr="006038F2" w:rsidRDefault="0003572A" w:rsidP="007956F3">
      <w:pPr>
        <w:spacing w:line="480" w:lineRule="auto"/>
        <w:rPr>
          <w:rFonts w:ascii="Times New Roman" w:hAnsi="Times New Roman" w:cs="Times New Roman"/>
          <w:lang w:eastAsia="en-US"/>
        </w:rPr>
      </w:pPr>
    </w:p>
    <w:p w14:paraId="5E2588BA" w14:textId="77777777" w:rsidR="0003572A" w:rsidRPr="006038F2" w:rsidRDefault="0003572A" w:rsidP="007956F3">
      <w:pPr>
        <w:spacing w:line="480" w:lineRule="auto"/>
        <w:rPr>
          <w:rFonts w:ascii="Times New Roman" w:hAnsi="Times New Roman" w:cs="Times New Roman"/>
          <w:lang w:eastAsia="en-US"/>
        </w:rPr>
      </w:pPr>
    </w:p>
    <w:p w14:paraId="60FB417A" w14:textId="77777777" w:rsidR="0003572A" w:rsidRPr="006038F2" w:rsidRDefault="0003572A" w:rsidP="007956F3">
      <w:pPr>
        <w:spacing w:line="480" w:lineRule="auto"/>
        <w:rPr>
          <w:rFonts w:ascii="Times New Roman" w:hAnsi="Times New Roman" w:cs="Times New Roman"/>
          <w:lang w:eastAsia="en-US"/>
        </w:rPr>
      </w:pPr>
      <w:r w:rsidRPr="006038F2">
        <w:rPr>
          <w:rFonts w:ascii="Times New Roman" w:hAnsi="Times New Roman" w:cs="Times New Roman"/>
          <w:noProof/>
          <w14:ligatures w14:val="standardContextual"/>
        </w:rPr>
        <w:lastRenderedPageBreak/>
        <w:drawing>
          <wp:inline distT="0" distB="0" distL="0" distR="0" wp14:anchorId="08118097" wp14:editId="227EE8B7">
            <wp:extent cx="5943600" cy="3154045"/>
            <wp:effectExtent l="0" t="0" r="0" b="0"/>
            <wp:docPr id="479828761" name="Picture 8" descr="A graph of vaccin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28761" name="Picture 8" descr="A graph of vaccination&#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943600" cy="3154045"/>
                    </a:xfrm>
                    <a:prstGeom prst="rect">
                      <a:avLst/>
                    </a:prstGeom>
                  </pic:spPr>
                </pic:pic>
              </a:graphicData>
            </a:graphic>
          </wp:inline>
        </w:drawing>
      </w:r>
    </w:p>
    <w:p w14:paraId="220BD378" w14:textId="1148160C" w:rsidR="0003572A" w:rsidRPr="006038F2" w:rsidRDefault="0003572A" w:rsidP="007956F3">
      <w:pPr>
        <w:pStyle w:val="Caption"/>
        <w:spacing w:line="480" w:lineRule="auto"/>
        <w:rPr>
          <w:rFonts w:ascii="Times New Roman" w:hAnsi="Times New Roman" w:cs="Times New Roman"/>
        </w:rPr>
      </w:pPr>
      <w:bookmarkStart w:id="120" w:name="_Ref170908421"/>
      <w:bookmarkStart w:id="121" w:name="_Toc172659224"/>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27</w:t>
      </w:r>
      <w:r w:rsidRPr="006038F2">
        <w:rPr>
          <w:rFonts w:ascii="Times New Roman" w:hAnsi="Times New Roman" w:cs="Times New Roman"/>
          <w:b/>
          <w:bCs/>
        </w:rPr>
        <w:fldChar w:fldCharType="end"/>
      </w:r>
      <w:bookmarkEnd w:id="120"/>
      <w:r w:rsidRPr="006038F2">
        <w:rPr>
          <w:rFonts w:ascii="Times New Roman" w:hAnsi="Times New Roman" w:cs="Times New Roman"/>
          <w:b/>
          <w:bCs/>
        </w:rPr>
        <w:t xml:space="preserve">: Previous round of intranasal imaging percentage increase in total radiant efficiency. </w:t>
      </w:r>
      <w:r w:rsidRPr="006038F2">
        <w:rPr>
          <w:rFonts w:ascii="Times New Roman" w:hAnsi="Times New Roman" w:cs="Times New Roman"/>
        </w:rPr>
        <w:t>Bar graph depicting the percent increase in nasal fluorescent signal after intranasal vaccination with GC, as normalized to the background signal. This experiment was one of the primarily run rounds, where GC was administered to both WT (control) and IFN Reporter mice (test). No significance was found in comparisons between time points or between control and test.</w:t>
      </w:r>
      <w:bookmarkEnd w:id="121"/>
      <w:r w:rsidRPr="006038F2">
        <w:rPr>
          <w:rFonts w:ascii="Times New Roman" w:hAnsi="Times New Roman" w:cs="Times New Roman"/>
        </w:rPr>
        <w:t xml:space="preserve"> </w:t>
      </w:r>
    </w:p>
    <w:p w14:paraId="3ABC5685" w14:textId="77777777" w:rsidR="0003572A" w:rsidRPr="006038F2" w:rsidRDefault="0003572A" w:rsidP="00C87AF0">
      <w:pPr>
        <w:spacing w:line="480" w:lineRule="auto"/>
        <w:ind w:firstLine="720"/>
        <w:rPr>
          <w:rFonts w:ascii="Times New Roman" w:hAnsi="Times New Roman" w:cs="Times New Roman"/>
        </w:rPr>
      </w:pPr>
      <w:r w:rsidRPr="006038F2">
        <w:rPr>
          <w:rFonts w:ascii="Times New Roman" w:hAnsi="Times New Roman" w:cs="Times New Roman"/>
        </w:rPr>
        <w:t xml:space="preserve">One of the earlier rounds of IVIS imaging was run with only 5 mice per group, as dictated by the number of reporter mice available in the facility at the time. While the graph in </w:t>
      </w:r>
      <w:r w:rsidRPr="006038F2">
        <w:rPr>
          <w:rFonts w:ascii="Times New Roman" w:hAnsi="Times New Roman" w:cs="Times New Roman"/>
        </w:rPr>
        <w:fldChar w:fldCharType="begin"/>
      </w:r>
      <w:r w:rsidRPr="006038F2">
        <w:rPr>
          <w:rFonts w:ascii="Times New Roman" w:hAnsi="Times New Roman" w:cs="Times New Roman"/>
        </w:rPr>
        <w:instrText xml:space="preserve"> REF _Ref170908421 \h  \* MERGEFORMAT </w:instrText>
      </w:r>
      <w:r w:rsidRPr="006038F2">
        <w:rPr>
          <w:rFonts w:ascii="Times New Roman" w:hAnsi="Times New Roman" w:cs="Times New Roman"/>
        </w:rPr>
      </w:r>
      <w:r w:rsidRPr="006038F2">
        <w:rPr>
          <w:rFonts w:ascii="Times New Roman" w:hAnsi="Times New Roman" w:cs="Times New Roman"/>
        </w:rPr>
        <w:fldChar w:fldCharType="separate"/>
      </w:r>
      <w:r w:rsidRPr="006038F2">
        <w:rPr>
          <w:rFonts w:ascii="Times New Roman" w:hAnsi="Times New Roman" w:cs="Times New Roman"/>
          <w:b/>
          <w:bCs/>
        </w:rPr>
        <w:t xml:space="preserve">Figure </w:t>
      </w:r>
      <w:r w:rsidRPr="006038F2">
        <w:rPr>
          <w:rFonts w:ascii="Times New Roman" w:hAnsi="Times New Roman" w:cs="Times New Roman"/>
          <w:b/>
          <w:bCs/>
          <w:noProof/>
        </w:rPr>
        <w:t>16</w:t>
      </w:r>
      <w:r w:rsidRPr="006038F2">
        <w:rPr>
          <w:rFonts w:ascii="Times New Roman" w:hAnsi="Times New Roman" w:cs="Times New Roman"/>
        </w:rPr>
        <w:fldChar w:fldCharType="end"/>
      </w:r>
      <w:r w:rsidRPr="006038F2">
        <w:rPr>
          <w:rFonts w:ascii="Times New Roman" w:hAnsi="Times New Roman" w:cs="Times New Roman"/>
        </w:rPr>
        <w:t xml:space="preserve"> does show an increase in the test group signal, there was no statistical significance found. For this reason, test group size was increased. The 10-per-group done in the intranasal study results reported in the main body of this paper show similar increases with proven statistical significance (although doing 10 per group for subcutaneous injections was not possible at this time due to animal availability constraints). </w:t>
      </w:r>
    </w:p>
    <w:p w14:paraId="6650016F" w14:textId="77777777" w:rsidR="0003572A" w:rsidRPr="006038F2" w:rsidRDefault="0003572A" w:rsidP="007956F3">
      <w:pPr>
        <w:spacing w:line="480" w:lineRule="auto"/>
        <w:rPr>
          <w:rFonts w:ascii="Times New Roman" w:hAnsi="Times New Roman" w:cs="Times New Roman"/>
        </w:rPr>
      </w:pPr>
    </w:p>
    <w:p w14:paraId="2653E65A" w14:textId="77777777" w:rsidR="0003572A" w:rsidRPr="006038F2" w:rsidRDefault="0003572A" w:rsidP="007956F3">
      <w:pPr>
        <w:pStyle w:val="Heading2"/>
        <w:spacing w:line="480" w:lineRule="auto"/>
        <w:rPr>
          <w:rFonts w:ascii="Times New Roman" w:hAnsi="Times New Roman" w:cs="Times New Roman"/>
        </w:rPr>
      </w:pPr>
      <w:bookmarkStart w:id="122" w:name="_Ref171027301"/>
      <w:bookmarkStart w:id="123" w:name="_Ref171027483"/>
      <w:bookmarkStart w:id="124" w:name="_Toc172659193"/>
      <w:r w:rsidRPr="006038F2">
        <w:rPr>
          <w:rFonts w:ascii="Times New Roman" w:hAnsi="Times New Roman" w:cs="Times New Roman"/>
        </w:rPr>
        <w:lastRenderedPageBreak/>
        <w:t xml:space="preserve">Appendix D: </w:t>
      </w:r>
      <w:bookmarkEnd w:id="122"/>
      <w:r w:rsidRPr="006038F2">
        <w:rPr>
          <w:rFonts w:ascii="Times New Roman" w:hAnsi="Times New Roman" w:cs="Times New Roman"/>
        </w:rPr>
        <w:t>Previous COVID survival study with GC</w:t>
      </w:r>
      <w:bookmarkEnd w:id="123"/>
      <w:bookmarkEnd w:id="124"/>
    </w:p>
    <w:p w14:paraId="7BB8DB2A" w14:textId="77777777"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noProof/>
        </w:rPr>
        <w:drawing>
          <wp:inline distT="0" distB="0" distL="0" distR="0" wp14:anchorId="79B26F5F" wp14:editId="4D6786DF">
            <wp:extent cx="5943600" cy="3220085"/>
            <wp:effectExtent l="0" t="0" r="0" b="0"/>
            <wp:docPr id="2" name="Picture 1">
              <a:extLst xmlns:a="http://schemas.openxmlformats.org/drawingml/2006/main">
                <a:ext uri="{FF2B5EF4-FFF2-40B4-BE49-F238E27FC236}">
                  <a16:creationId xmlns:a16="http://schemas.microsoft.com/office/drawing/2014/main" id="{0D5DFEE7-570A-43A1-A6F7-76F752600C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D5DFEE7-570A-43A1-A6F7-76F752600C21}"/>
                        </a:ext>
                      </a:extLst>
                    </pic:cNvPr>
                    <pic:cNvPicPr>
                      <a:picLocks noChangeAspect="1"/>
                    </pic:cNvPicPr>
                  </pic:nvPicPr>
                  <pic:blipFill>
                    <a:blip r:embed="rId41"/>
                    <a:stretch>
                      <a:fillRect/>
                    </a:stretch>
                  </pic:blipFill>
                  <pic:spPr>
                    <a:xfrm>
                      <a:off x="0" y="0"/>
                      <a:ext cx="5943600" cy="3220085"/>
                    </a:xfrm>
                    <a:prstGeom prst="rect">
                      <a:avLst/>
                    </a:prstGeom>
                  </pic:spPr>
                </pic:pic>
              </a:graphicData>
            </a:graphic>
          </wp:inline>
        </w:drawing>
      </w:r>
    </w:p>
    <w:p w14:paraId="5FFF70E0" w14:textId="35D62415" w:rsidR="0003572A" w:rsidRPr="006038F2" w:rsidRDefault="0003572A" w:rsidP="00646C41">
      <w:pPr>
        <w:pStyle w:val="Caption"/>
        <w:spacing w:line="480" w:lineRule="auto"/>
        <w:rPr>
          <w:rFonts w:ascii="Times New Roman" w:hAnsi="Times New Roman" w:cs="Times New Roman"/>
        </w:rPr>
      </w:pPr>
      <w:bookmarkStart w:id="125" w:name="_Toc172659225"/>
      <w:r w:rsidRPr="006038F2">
        <w:rPr>
          <w:rFonts w:ascii="Times New Roman" w:hAnsi="Times New Roman" w:cs="Times New Roman"/>
          <w:b/>
          <w:bCs/>
        </w:rPr>
        <w:t xml:space="preserve">Figure </w:t>
      </w:r>
      <w:r w:rsidRPr="006038F2">
        <w:rPr>
          <w:rFonts w:ascii="Times New Roman" w:hAnsi="Times New Roman" w:cs="Times New Roman"/>
          <w:b/>
          <w:bCs/>
        </w:rPr>
        <w:fldChar w:fldCharType="begin"/>
      </w:r>
      <w:r w:rsidRPr="006038F2">
        <w:rPr>
          <w:rFonts w:ascii="Times New Roman" w:hAnsi="Times New Roman" w:cs="Times New Roman"/>
          <w:b/>
          <w:bCs/>
        </w:rPr>
        <w:instrText xml:space="preserve"> SEQ Figure \* ARABIC </w:instrText>
      </w:r>
      <w:r w:rsidRPr="006038F2">
        <w:rPr>
          <w:rFonts w:ascii="Times New Roman" w:hAnsi="Times New Roman" w:cs="Times New Roman"/>
          <w:b/>
          <w:bCs/>
        </w:rPr>
        <w:fldChar w:fldCharType="separate"/>
      </w:r>
      <w:r w:rsidR="0046440D" w:rsidRPr="006038F2">
        <w:rPr>
          <w:rFonts w:ascii="Times New Roman" w:hAnsi="Times New Roman" w:cs="Times New Roman"/>
          <w:b/>
          <w:bCs/>
          <w:noProof/>
        </w:rPr>
        <w:t>28</w:t>
      </w:r>
      <w:r w:rsidRPr="006038F2">
        <w:rPr>
          <w:rFonts w:ascii="Times New Roman" w:hAnsi="Times New Roman" w:cs="Times New Roman"/>
          <w:b/>
          <w:bCs/>
        </w:rPr>
        <w:fldChar w:fldCharType="end"/>
      </w:r>
      <w:r w:rsidRPr="006038F2">
        <w:rPr>
          <w:rFonts w:ascii="Times New Roman" w:hAnsi="Times New Roman" w:cs="Times New Roman"/>
          <w:b/>
          <w:bCs/>
        </w:rPr>
        <w:t xml:space="preserve">: Previously run survival study of COVID treatment after GC and recombinant protein administration. </w:t>
      </w:r>
      <w:r w:rsidRPr="006038F2">
        <w:rPr>
          <w:rFonts w:ascii="Times New Roman" w:hAnsi="Times New Roman" w:cs="Times New Roman"/>
        </w:rPr>
        <w:t>Graphs shows preliminary results of a previously run study in which GC was proven to reduce COVID mortality.</w:t>
      </w:r>
      <w:bookmarkEnd w:id="125"/>
      <w:r w:rsidRPr="006038F2">
        <w:rPr>
          <w:rFonts w:ascii="Times New Roman" w:hAnsi="Times New Roman" w:cs="Times New Roman"/>
        </w:rPr>
        <w:t xml:space="preserve"> </w:t>
      </w:r>
    </w:p>
    <w:p w14:paraId="659A222E" w14:textId="77777777" w:rsidR="0003572A" w:rsidRPr="006038F2" w:rsidRDefault="0003572A" w:rsidP="007956F3">
      <w:pPr>
        <w:pStyle w:val="Heading2"/>
        <w:spacing w:line="480" w:lineRule="auto"/>
        <w:rPr>
          <w:rFonts w:ascii="Times New Roman" w:hAnsi="Times New Roman" w:cs="Times New Roman"/>
        </w:rPr>
      </w:pPr>
      <w:bookmarkStart w:id="126" w:name="_Toc172659194"/>
      <w:r w:rsidRPr="006038F2">
        <w:rPr>
          <w:rFonts w:ascii="Times New Roman" w:hAnsi="Times New Roman" w:cs="Times New Roman"/>
        </w:rPr>
        <w:t>Appendix E: Genotyping</w:t>
      </w:r>
      <w:bookmarkEnd w:id="126"/>
    </w:p>
    <w:p w14:paraId="651E32A0" w14:textId="77777777" w:rsidR="0003572A" w:rsidRPr="006038F2" w:rsidRDefault="0003572A" w:rsidP="007956F3">
      <w:pPr>
        <w:pStyle w:val="Heading3"/>
        <w:spacing w:line="480" w:lineRule="auto"/>
        <w:rPr>
          <w:rFonts w:ascii="Times New Roman" w:hAnsi="Times New Roman" w:cs="Times New Roman"/>
        </w:rPr>
      </w:pPr>
      <w:bookmarkStart w:id="127" w:name="_Toc172659195"/>
      <w:r w:rsidRPr="006038F2">
        <w:rPr>
          <w:rFonts w:ascii="Times New Roman" w:hAnsi="Times New Roman" w:cs="Times New Roman"/>
        </w:rPr>
        <w:t>E1: Custom Primers</w:t>
      </w:r>
      <w:bookmarkEnd w:id="127"/>
    </w:p>
    <w:p w14:paraId="5288FDE3" w14:textId="77777777"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rPr>
        <w:t>Custom primers were ordered from Sigma-Aldrich. Sequences were as follows:</w:t>
      </w:r>
    </w:p>
    <w:p w14:paraId="6C80DE87" w14:textId="192EFBFE" w:rsidR="0003572A" w:rsidRPr="006038F2" w:rsidRDefault="0003572A" w:rsidP="007956F3">
      <w:pPr>
        <w:pStyle w:val="ListParagraph"/>
        <w:numPr>
          <w:ilvl w:val="0"/>
          <w:numId w:val="8"/>
        </w:numPr>
        <w:spacing w:line="480" w:lineRule="auto"/>
        <w:rPr>
          <w:rFonts w:ascii="Times New Roman" w:hAnsi="Times New Roman" w:cs="Times New Roman"/>
        </w:rPr>
      </w:pPr>
      <w:r w:rsidRPr="006038F2">
        <w:rPr>
          <w:rFonts w:ascii="Times New Roman" w:hAnsi="Times New Roman" w:cs="Times New Roman"/>
        </w:rPr>
        <w:t>Transgene 1:</w:t>
      </w:r>
      <w:r w:rsidR="007C0727" w:rsidRPr="006038F2">
        <w:rPr>
          <w:rFonts w:ascii="Times New Roman" w:hAnsi="Times New Roman" w:cs="Times New Roman"/>
        </w:rPr>
        <w:t xml:space="preserve"> GGT GAT GTC CAG CTT GGA GT</w:t>
      </w:r>
      <w:r w:rsidRPr="006038F2">
        <w:rPr>
          <w:rFonts w:ascii="Times New Roman" w:hAnsi="Times New Roman" w:cs="Times New Roman"/>
        </w:rPr>
        <w:t xml:space="preserve"> </w:t>
      </w:r>
    </w:p>
    <w:p w14:paraId="26E5E4EB" w14:textId="34F2498D" w:rsidR="0003572A" w:rsidRPr="006038F2" w:rsidRDefault="0003572A" w:rsidP="007956F3">
      <w:pPr>
        <w:pStyle w:val="ListParagraph"/>
        <w:numPr>
          <w:ilvl w:val="0"/>
          <w:numId w:val="8"/>
        </w:numPr>
        <w:spacing w:line="480" w:lineRule="auto"/>
        <w:rPr>
          <w:rFonts w:ascii="Times New Roman" w:hAnsi="Times New Roman" w:cs="Times New Roman"/>
        </w:rPr>
      </w:pPr>
      <w:r w:rsidRPr="006038F2">
        <w:rPr>
          <w:rFonts w:ascii="Times New Roman" w:hAnsi="Times New Roman" w:cs="Times New Roman"/>
        </w:rPr>
        <w:t xml:space="preserve">Transgene 2: </w:t>
      </w:r>
      <w:r w:rsidR="00854111" w:rsidRPr="006038F2">
        <w:rPr>
          <w:rFonts w:ascii="Times New Roman" w:hAnsi="Times New Roman" w:cs="Times New Roman"/>
        </w:rPr>
        <w:t xml:space="preserve">CCC CGT AAT GCA GAA </w:t>
      </w:r>
      <w:proofErr w:type="spellStart"/>
      <w:r w:rsidR="00854111" w:rsidRPr="006038F2">
        <w:rPr>
          <w:rFonts w:ascii="Times New Roman" w:hAnsi="Times New Roman" w:cs="Times New Roman"/>
        </w:rPr>
        <w:t>GAA</w:t>
      </w:r>
      <w:proofErr w:type="spellEnd"/>
      <w:r w:rsidR="00854111" w:rsidRPr="006038F2">
        <w:rPr>
          <w:rFonts w:ascii="Times New Roman" w:hAnsi="Times New Roman" w:cs="Times New Roman"/>
        </w:rPr>
        <w:t xml:space="preserve"> GA</w:t>
      </w:r>
    </w:p>
    <w:p w14:paraId="5C8BD938" w14:textId="34AC1B24" w:rsidR="0003572A" w:rsidRPr="006038F2" w:rsidRDefault="0003572A" w:rsidP="007956F3">
      <w:pPr>
        <w:pStyle w:val="ListParagraph"/>
        <w:numPr>
          <w:ilvl w:val="0"/>
          <w:numId w:val="8"/>
        </w:numPr>
        <w:spacing w:line="480" w:lineRule="auto"/>
        <w:rPr>
          <w:rFonts w:ascii="Times New Roman" w:hAnsi="Times New Roman" w:cs="Times New Roman"/>
        </w:rPr>
      </w:pPr>
      <w:r w:rsidRPr="006038F2">
        <w:rPr>
          <w:rFonts w:ascii="Times New Roman" w:hAnsi="Times New Roman" w:cs="Times New Roman"/>
        </w:rPr>
        <w:t xml:space="preserve">Internal Positive Control Forward: </w:t>
      </w:r>
      <w:r w:rsidR="00854111" w:rsidRPr="006038F2">
        <w:rPr>
          <w:rFonts w:ascii="Times New Roman" w:hAnsi="Times New Roman" w:cs="Times New Roman"/>
        </w:rPr>
        <w:t>CTA GGC CAC AGA ATT GAA AGA TCT</w:t>
      </w:r>
    </w:p>
    <w:p w14:paraId="7C192EFA" w14:textId="29CC6A59" w:rsidR="0003572A" w:rsidRPr="006038F2" w:rsidRDefault="0003572A" w:rsidP="007956F3">
      <w:pPr>
        <w:pStyle w:val="ListParagraph"/>
        <w:numPr>
          <w:ilvl w:val="0"/>
          <w:numId w:val="8"/>
        </w:numPr>
        <w:spacing w:line="480" w:lineRule="auto"/>
        <w:rPr>
          <w:rFonts w:ascii="Times New Roman" w:hAnsi="Times New Roman" w:cs="Times New Roman"/>
        </w:rPr>
      </w:pPr>
      <w:r w:rsidRPr="006038F2">
        <w:rPr>
          <w:rFonts w:ascii="Times New Roman" w:hAnsi="Times New Roman" w:cs="Times New Roman"/>
        </w:rPr>
        <w:t>Internal Positive Control Reverse:</w:t>
      </w:r>
      <w:r w:rsidR="00854111" w:rsidRPr="006038F2">
        <w:rPr>
          <w:rFonts w:ascii="Times New Roman" w:hAnsi="Times New Roman" w:cs="Times New Roman"/>
        </w:rPr>
        <w:t xml:space="preserve"> GTA GGT GGA AAT TCT AGC ATC </w:t>
      </w:r>
      <w:proofErr w:type="spellStart"/>
      <w:r w:rsidR="00854111" w:rsidRPr="006038F2">
        <w:rPr>
          <w:rFonts w:ascii="Times New Roman" w:hAnsi="Times New Roman" w:cs="Times New Roman"/>
        </w:rPr>
        <w:t>ATC</w:t>
      </w:r>
      <w:proofErr w:type="spellEnd"/>
      <w:r w:rsidR="00854111" w:rsidRPr="006038F2">
        <w:rPr>
          <w:rFonts w:ascii="Times New Roman" w:hAnsi="Times New Roman" w:cs="Times New Roman"/>
        </w:rPr>
        <w:t xml:space="preserve"> C</w:t>
      </w:r>
    </w:p>
    <w:p w14:paraId="6D2C33C4" w14:textId="77777777" w:rsidR="0003572A" w:rsidRPr="006038F2" w:rsidRDefault="0003572A" w:rsidP="007956F3">
      <w:pPr>
        <w:pStyle w:val="Heading3"/>
        <w:spacing w:line="480" w:lineRule="auto"/>
        <w:rPr>
          <w:rFonts w:ascii="Times New Roman" w:hAnsi="Times New Roman" w:cs="Times New Roman"/>
        </w:rPr>
      </w:pPr>
      <w:bookmarkStart w:id="128" w:name="_Toc172659196"/>
      <w:r w:rsidRPr="006038F2">
        <w:rPr>
          <w:rFonts w:ascii="Times New Roman" w:hAnsi="Times New Roman" w:cs="Times New Roman"/>
        </w:rPr>
        <w:lastRenderedPageBreak/>
        <w:t>E2: Protocol</w:t>
      </w:r>
      <w:bookmarkEnd w:id="128"/>
    </w:p>
    <w:p w14:paraId="53CAC549" w14:textId="77777777" w:rsidR="0003572A" w:rsidRPr="006038F2" w:rsidRDefault="0003572A" w:rsidP="007956F3">
      <w:pPr>
        <w:pStyle w:val="Heading4"/>
        <w:spacing w:line="480" w:lineRule="auto"/>
        <w:rPr>
          <w:rFonts w:ascii="Times New Roman" w:hAnsi="Times New Roman" w:cs="Times New Roman"/>
        </w:rPr>
      </w:pPr>
      <w:r w:rsidRPr="006038F2">
        <w:rPr>
          <w:rFonts w:ascii="Times New Roman" w:hAnsi="Times New Roman" w:cs="Times New Roman"/>
        </w:rPr>
        <w:t>E2.1 DNA extraction</w:t>
      </w:r>
    </w:p>
    <w:p w14:paraId="24FF6EB1" w14:textId="7EAFA625"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rPr>
        <w:t xml:space="preserve">Protocol from </w:t>
      </w:r>
      <w:sdt>
        <w:sdtPr>
          <w:rPr>
            <w:rFonts w:ascii="Times New Roman" w:hAnsi="Times New Roman" w:cs="Times New Roman"/>
          </w:rPr>
          <w:id w:val="110568855"/>
          <w:citation/>
        </w:sdtPr>
        <w:sdtContent>
          <w:r w:rsidRPr="006038F2">
            <w:rPr>
              <w:rFonts w:ascii="Times New Roman" w:hAnsi="Times New Roman" w:cs="Times New Roman"/>
            </w:rPr>
            <w:fldChar w:fldCharType="begin"/>
          </w:r>
          <w:r w:rsidRPr="006038F2">
            <w:rPr>
              <w:rFonts w:ascii="Times New Roman" w:hAnsi="Times New Roman" w:cs="Times New Roman"/>
            </w:rPr>
            <w:instrText xml:space="preserve">CITATION Tru00 \l 1033 </w:instrText>
          </w:r>
          <w:r w:rsidRPr="006038F2">
            <w:rPr>
              <w:rFonts w:ascii="Times New Roman" w:hAnsi="Times New Roman" w:cs="Times New Roman"/>
            </w:rPr>
            <w:fldChar w:fldCharType="separate"/>
          </w:r>
          <w:r w:rsidR="00B56B5A" w:rsidRPr="006038F2">
            <w:rPr>
              <w:rFonts w:ascii="Times New Roman" w:hAnsi="Times New Roman" w:cs="Times New Roman"/>
              <w:noProof/>
            </w:rPr>
            <w:t>(Truett, 2000)</w:t>
          </w:r>
          <w:r w:rsidRPr="006038F2">
            <w:rPr>
              <w:rFonts w:ascii="Times New Roman" w:hAnsi="Times New Roman" w:cs="Times New Roman"/>
            </w:rPr>
            <w:fldChar w:fldCharType="end"/>
          </w:r>
        </w:sdtContent>
      </w:sdt>
      <w:r w:rsidRPr="006038F2">
        <w:rPr>
          <w:rFonts w:ascii="Times New Roman" w:hAnsi="Times New Roman" w:cs="Times New Roman"/>
        </w:rPr>
        <w:t>. An ear punch from each mouse was used. An undiluted aliquot of the final product was taken for PCR.</w:t>
      </w:r>
    </w:p>
    <w:p w14:paraId="764648BA" w14:textId="77777777" w:rsidR="0003572A" w:rsidRPr="006038F2" w:rsidRDefault="0003572A" w:rsidP="007956F3">
      <w:pPr>
        <w:pStyle w:val="Heading4"/>
        <w:spacing w:line="480" w:lineRule="auto"/>
        <w:rPr>
          <w:rFonts w:ascii="Times New Roman" w:hAnsi="Times New Roman" w:cs="Times New Roman"/>
        </w:rPr>
      </w:pPr>
      <w:r w:rsidRPr="006038F2">
        <w:rPr>
          <w:rFonts w:ascii="Times New Roman" w:hAnsi="Times New Roman" w:cs="Times New Roman"/>
        </w:rPr>
        <w:t>E2.2 PCR</w:t>
      </w:r>
    </w:p>
    <w:p w14:paraId="0160EBE7" w14:textId="77777777" w:rsidR="0003572A" w:rsidRPr="006038F2" w:rsidRDefault="0003572A" w:rsidP="007956F3">
      <w:pPr>
        <w:spacing w:line="480" w:lineRule="auto"/>
        <w:rPr>
          <w:rFonts w:ascii="Times New Roman" w:hAnsi="Times New Roman" w:cs="Times New Roman"/>
          <w:u w:val="single"/>
        </w:rPr>
      </w:pPr>
      <w:r w:rsidRPr="006038F2">
        <w:rPr>
          <w:rFonts w:ascii="Times New Roman" w:hAnsi="Times New Roman" w:cs="Times New Roman"/>
          <w:u w:val="single"/>
        </w:rPr>
        <w:t>Materials:</w:t>
      </w:r>
    </w:p>
    <w:p w14:paraId="7E46B8C8" w14:textId="77777777" w:rsidR="0003572A" w:rsidRPr="006038F2" w:rsidRDefault="0003572A" w:rsidP="007956F3">
      <w:pPr>
        <w:spacing w:line="480" w:lineRule="auto"/>
        <w:rPr>
          <w:rFonts w:ascii="Times New Roman" w:hAnsi="Times New Roman" w:cs="Times New Roman"/>
        </w:rPr>
      </w:pPr>
      <w:proofErr w:type="spellStart"/>
      <w:r w:rsidRPr="006038F2">
        <w:rPr>
          <w:rFonts w:ascii="Times New Roman" w:hAnsi="Times New Roman" w:cs="Times New Roman"/>
        </w:rPr>
        <w:t>DreamTaq</w:t>
      </w:r>
      <w:proofErr w:type="spellEnd"/>
      <w:r w:rsidRPr="006038F2">
        <w:rPr>
          <w:rFonts w:ascii="Times New Roman" w:hAnsi="Times New Roman" w:cs="Times New Roman"/>
        </w:rPr>
        <w:t xml:space="preserve"> Hot Start Green PCR Master Mix, (</w:t>
      </w:r>
      <w:proofErr w:type="spellStart"/>
      <w:r w:rsidRPr="006038F2">
        <w:rPr>
          <w:rFonts w:ascii="Times New Roman" w:hAnsi="Times New Roman" w:cs="Times New Roman"/>
        </w:rPr>
        <w:t>Thermo</w:t>
      </w:r>
      <w:proofErr w:type="spellEnd"/>
      <w:r w:rsidRPr="006038F2">
        <w:rPr>
          <w:rFonts w:ascii="Times New Roman" w:hAnsi="Times New Roman" w:cs="Times New Roman"/>
        </w:rPr>
        <w:t xml:space="preserve"> Fisher Scientific, CAT#K9021) was used. </w:t>
      </w:r>
    </w:p>
    <w:p w14:paraId="7A2BD5E0" w14:textId="77777777" w:rsidR="0003572A" w:rsidRPr="006038F2" w:rsidRDefault="0003572A" w:rsidP="007956F3">
      <w:pPr>
        <w:spacing w:line="480" w:lineRule="auto"/>
        <w:rPr>
          <w:rFonts w:ascii="Times New Roman" w:hAnsi="Times New Roman" w:cs="Times New Roman"/>
          <w:u w:val="single"/>
        </w:rPr>
      </w:pPr>
      <w:r w:rsidRPr="006038F2">
        <w:rPr>
          <w:rFonts w:ascii="Times New Roman" w:hAnsi="Times New Roman" w:cs="Times New Roman"/>
          <w:u w:val="single"/>
        </w:rPr>
        <w:t>Methods:</w:t>
      </w:r>
    </w:p>
    <w:p w14:paraId="7EB8FC77" w14:textId="77777777"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rPr>
        <w:t xml:space="preserve">Recommendations from the </w:t>
      </w:r>
      <w:proofErr w:type="spellStart"/>
      <w:r w:rsidRPr="006038F2">
        <w:rPr>
          <w:rFonts w:ascii="Times New Roman" w:hAnsi="Times New Roman" w:cs="Times New Roman"/>
        </w:rPr>
        <w:t>DreamTaq</w:t>
      </w:r>
      <w:proofErr w:type="spellEnd"/>
      <w:r w:rsidRPr="006038F2">
        <w:rPr>
          <w:rFonts w:ascii="Times New Roman" w:hAnsi="Times New Roman" w:cs="Times New Roman"/>
        </w:rPr>
        <w:t xml:space="preserve"> user manual were employed.</w:t>
      </w:r>
    </w:p>
    <w:p w14:paraId="1CDFC098" w14:textId="101C67A6" w:rsidR="0003572A" w:rsidRPr="006038F2" w:rsidRDefault="0003572A" w:rsidP="007956F3">
      <w:pPr>
        <w:spacing w:line="480" w:lineRule="auto"/>
        <w:rPr>
          <w:rFonts w:ascii="Times New Roman" w:hAnsi="Times New Roman" w:cs="Times New Roman"/>
          <w:lang w:eastAsia="ja-JP"/>
        </w:rPr>
      </w:pPr>
      <w:r w:rsidRPr="006038F2">
        <w:rPr>
          <w:rFonts w:ascii="Times New Roman" w:hAnsi="Times New Roman" w:cs="Times New Roman"/>
        </w:rPr>
        <w:t xml:space="preserve">Taq mix and primers were thawed completely and mixed. For each 50µL reaction, 25µL of </w:t>
      </w:r>
      <w:proofErr w:type="spellStart"/>
      <w:r w:rsidRPr="006038F2">
        <w:rPr>
          <w:rFonts w:ascii="Times New Roman" w:hAnsi="Times New Roman" w:cs="Times New Roman"/>
        </w:rPr>
        <w:t>taq</w:t>
      </w:r>
      <w:proofErr w:type="spellEnd"/>
      <w:r w:rsidRPr="006038F2">
        <w:rPr>
          <w:rFonts w:ascii="Times New Roman" w:hAnsi="Times New Roman" w:cs="Times New Roman"/>
        </w:rPr>
        <w:t xml:space="preserve"> mix, 2.5µL of each primer (one tube for transgene primers and one for IPC primers was used), 2µL of the DNA product, and 18µL of nuclease-free water were added to a thin-walled PCR tube. Samples were gently vortexed and centrifuged. For the thermal cycler run, the following optimizations were set against the user manual recommendations: 3 minute initial </w:t>
      </w:r>
      <w:proofErr w:type="gramStart"/>
      <w:r w:rsidRPr="006038F2">
        <w:rPr>
          <w:rFonts w:ascii="Times New Roman" w:hAnsi="Times New Roman" w:cs="Times New Roman"/>
        </w:rPr>
        <w:t>denaturation ,</w:t>
      </w:r>
      <w:proofErr w:type="gramEnd"/>
      <w:r w:rsidRPr="006038F2">
        <w:rPr>
          <w:rFonts w:ascii="Times New Roman" w:hAnsi="Times New Roman" w:cs="Times New Roman"/>
        </w:rPr>
        <w:t xml:space="preserve"> melting temperature of 61</w:t>
      </w:r>
      <w:r w:rsidRPr="006038F2">
        <w:rPr>
          <w:rFonts w:ascii="Times New Roman" w:hAnsi="Times New Roman" w:cs="Times New Roman"/>
          <w:lang w:eastAsia="ja-JP"/>
        </w:rPr>
        <w:t>℃, and a 10 minute final extension. (These settings will differ based on Taq mix and primers used.) The thermal cycler was run; at the end of the run, a 6µL portion of each sample was loaded directly into the agarose gel for the electrophoresis run.</w:t>
      </w:r>
    </w:p>
    <w:p w14:paraId="4EEC3D04" w14:textId="77777777" w:rsidR="0003572A" w:rsidRPr="006038F2" w:rsidRDefault="0003572A" w:rsidP="007956F3">
      <w:pPr>
        <w:pStyle w:val="Heading4"/>
        <w:spacing w:line="480" w:lineRule="auto"/>
        <w:rPr>
          <w:rFonts w:ascii="Times New Roman" w:hAnsi="Times New Roman" w:cs="Times New Roman"/>
        </w:rPr>
      </w:pPr>
      <w:r w:rsidRPr="006038F2">
        <w:rPr>
          <w:rFonts w:ascii="Times New Roman" w:hAnsi="Times New Roman" w:cs="Times New Roman"/>
        </w:rPr>
        <w:t>E2.3 Electrophoresis</w:t>
      </w:r>
    </w:p>
    <w:p w14:paraId="57EDAC53" w14:textId="77777777" w:rsidR="0003572A" w:rsidRPr="006038F2" w:rsidRDefault="0003572A" w:rsidP="007956F3">
      <w:pPr>
        <w:spacing w:line="480" w:lineRule="auto"/>
        <w:rPr>
          <w:rFonts w:ascii="Times New Roman" w:hAnsi="Times New Roman" w:cs="Times New Roman"/>
          <w:u w:val="single"/>
        </w:rPr>
      </w:pPr>
      <w:r w:rsidRPr="006038F2">
        <w:rPr>
          <w:rFonts w:ascii="Times New Roman" w:hAnsi="Times New Roman" w:cs="Times New Roman"/>
          <w:u w:val="single"/>
        </w:rPr>
        <w:t>Materials:</w:t>
      </w:r>
    </w:p>
    <w:p w14:paraId="53F8DF3E" w14:textId="77777777"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rPr>
        <w:t>Model D2 Horizontal Gel System from Thermo-Scientific was used for the electrophoresis run. Recommendations for running found in the user manual were used. 50 bp DNA Ladder from Thermo-Scientific was used for comparison (CAT#10416014).</w:t>
      </w:r>
    </w:p>
    <w:p w14:paraId="0D99275E" w14:textId="77777777" w:rsidR="0003572A" w:rsidRPr="006038F2" w:rsidRDefault="0003572A" w:rsidP="007956F3">
      <w:pPr>
        <w:spacing w:line="480" w:lineRule="auto"/>
        <w:rPr>
          <w:rFonts w:ascii="Times New Roman" w:hAnsi="Times New Roman" w:cs="Times New Roman"/>
          <w:u w:val="single"/>
        </w:rPr>
      </w:pPr>
      <w:r w:rsidRPr="006038F2">
        <w:rPr>
          <w:rFonts w:ascii="Times New Roman" w:hAnsi="Times New Roman" w:cs="Times New Roman"/>
          <w:u w:val="single"/>
        </w:rPr>
        <w:t>Methods:</w:t>
      </w:r>
    </w:p>
    <w:p w14:paraId="4787EC75" w14:textId="77777777" w:rsidR="0003572A" w:rsidRPr="006038F2" w:rsidRDefault="0003572A" w:rsidP="007956F3">
      <w:pPr>
        <w:spacing w:line="480" w:lineRule="auto"/>
        <w:rPr>
          <w:rFonts w:ascii="Times New Roman" w:hAnsi="Times New Roman" w:cs="Times New Roman"/>
        </w:rPr>
      </w:pPr>
      <w:r w:rsidRPr="006038F2">
        <w:rPr>
          <w:rFonts w:ascii="Times New Roman" w:hAnsi="Times New Roman" w:cs="Times New Roman"/>
        </w:rPr>
        <w:lastRenderedPageBreak/>
        <w:t xml:space="preserve">The following specifications were used for protocol adjustment. </w:t>
      </w:r>
    </w:p>
    <w:p w14:paraId="44871DE5" w14:textId="77777777" w:rsidR="0003572A" w:rsidRPr="006038F2" w:rsidRDefault="0003572A" w:rsidP="007956F3">
      <w:pPr>
        <w:pStyle w:val="ListParagraph"/>
        <w:numPr>
          <w:ilvl w:val="0"/>
          <w:numId w:val="14"/>
        </w:numPr>
        <w:spacing w:line="480" w:lineRule="auto"/>
        <w:rPr>
          <w:rFonts w:ascii="Times New Roman" w:hAnsi="Times New Roman" w:cs="Times New Roman"/>
        </w:rPr>
      </w:pPr>
      <w:r w:rsidRPr="006038F2">
        <w:rPr>
          <w:rFonts w:ascii="Times New Roman" w:hAnsi="Times New Roman" w:cs="Times New Roman"/>
        </w:rPr>
        <w:t xml:space="preserve">A 1.8% agarose gel was used, as recommended for the gene fragment size and as workable for the DNA ladder. </w:t>
      </w:r>
    </w:p>
    <w:p w14:paraId="0E92A86B" w14:textId="77777777" w:rsidR="0003572A" w:rsidRPr="006038F2" w:rsidRDefault="0003572A" w:rsidP="007956F3">
      <w:pPr>
        <w:pStyle w:val="ListParagraph"/>
        <w:numPr>
          <w:ilvl w:val="0"/>
          <w:numId w:val="14"/>
        </w:numPr>
        <w:spacing w:line="480" w:lineRule="auto"/>
        <w:rPr>
          <w:rFonts w:ascii="Times New Roman" w:hAnsi="Times New Roman" w:cs="Times New Roman"/>
        </w:rPr>
      </w:pPr>
      <w:r w:rsidRPr="006038F2">
        <w:rPr>
          <w:rFonts w:ascii="Times New Roman" w:hAnsi="Times New Roman" w:cs="Times New Roman"/>
        </w:rPr>
        <w:t>2.5µL ethidium bromide stock was added to the agarose gel mixture.</w:t>
      </w:r>
    </w:p>
    <w:p w14:paraId="2B53DCA0" w14:textId="77777777" w:rsidR="0003572A" w:rsidRPr="006038F2" w:rsidRDefault="0003572A" w:rsidP="007956F3">
      <w:pPr>
        <w:pStyle w:val="ListParagraph"/>
        <w:numPr>
          <w:ilvl w:val="0"/>
          <w:numId w:val="13"/>
        </w:numPr>
        <w:spacing w:line="480" w:lineRule="auto"/>
        <w:rPr>
          <w:rFonts w:ascii="Times New Roman" w:hAnsi="Times New Roman" w:cs="Times New Roman"/>
        </w:rPr>
      </w:pPr>
      <w:r w:rsidRPr="006038F2">
        <w:rPr>
          <w:rFonts w:ascii="Times New Roman" w:hAnsi="Times New Roman" w:cs="Times New Roman"/>
        </w:rPr>
        <w:t xml:space="preserve">The wet-loading method was employed. </w:t>
      </w:r>
    </w:p>
    <w:p w14:paraId="4B43B21A" w14:textId="77777777" w:rsidR="0003572A" w:rsidRPr="006038F2" w:rsidRDefault="0003572A" w:rsidP="007956F3">
      <w:pPr>
        <w:pStyle w:val="ListParagraph"/>
        <w:numPr>
          <w:ilvl w:val="0"/>
          <w:numId w:val="13"/>
        </w:numPr>
        <w:spacing w:line="480" w:lineRule="auto"/>
        <w:rPr>
          <w:rFonts w:ascii="Times New Roman" w:hAnsi="Times New Roman" w:cs="Times New Roman"/>
        </w:rPr>
      </w:pPr>
      <w:r w:rsidRPr="006038F2">
        <w:rPr>
          <w:rFonts w:ascii="Times New Roman" w:hAnsi="Times New Roman" w:cs="Times New Roman"/>
        </w:rPr>
        <w:t xml:space="preserve">The gel was run at 90V for ~35 minutes (until the DNA had run the appropriate distance – 40 minutes was too long). </w:t>
      </w:r>
    </w:p>
    <w:p w14:paraId="571B621E" w14:textId="77777777" w:rsidR="009677D1" w:rsidRPr="006038F2" w:rsidRDefault="009677D1" w:rsidP="007956F3">
      <w:pPr>
        <w:spacing w:line="480" w:lineRule="auto"/>
        <w:rPr>
          <w:rFonts w:ascii="Times New Roman" w:hAnsi="Times New Roman" w:cs="Times New Roman"/>
        </w:rPr>
      </w:pPr>
    </w:p>
    <w:p w14:paraId="4F1E46CF" w14:textId="77777777" w:rsidR="00CC15C1" w:rsidRPr="006038F2" w:rsidRDefault="00CC15C1">
      <w:pPr>
        <w:spacing w:line="480" w:lineRule="auto"/>
        <w:rPr>
          <w:rFonts w:ascii="Times New Roman" w:hAnsi="Times New Roman" w:cs="Times New Roman"/>
        </w:rPr>
      </w:pPr>
    </w:p>
    <w:sectPr w:rsidR="00CC15C1" w:rsidRPr="006038F2" w:rsidSect="00952EB2">
      <w:footerReference w:type="default" r:id="rId4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428686" w14:textId="77777777" w:rsidR="00990C91" w:rsidRDefault="00990C91" w:rsidP="005A3FE9">
      <w:r>
        <w:separator/>
      </w:r>
    </w:p>
  </w:endnote>
  <w:endnote w:type="continuationSeparator" w:id="0">
    <w:p w14:paraId="75E697BD" w14:textId="77777777" w:rsidR="00990C91" w:rsidRDefault="00990C91" w:rsidP="005A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70992684"/>
      <w:docPartObj>
        <w:docPartGallery w:val="Page Numbers (Bottom of Page)"/>
        <w:docPartUnique/>
      </w:docPartObj>
    </w:sdtPr>
    <w:sdtContent>
      <w:p w14:paraId="3F1F1F6E" w14:textId="7AFFF3EA" w:rsidR="005A3FE9" w:rsidRDefault="005A3FE9" w:rsidP="003D1A4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F2810F2" w14:textId="77777777" w:rsidR="005A3FE9" w:rsidRDefault="005A3F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24205003"/>
      <w:docPartObj>
        <w:docPartGallery w:val="Page Numbers (Bottom of Page)"/>
        <w:docPartUnique/>
      </w:docPartObj>
    </w:sdtPr>
    <w:sdtContent>
      <w:p w14:paraId="7BF74D1E" w14:textId="1796C082" w:rsidR="003D1A49" w:rsidRDefault="003D1A49" w:rsidP="00AF798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60A2E657" w14:textId="77777777" w:rsidR="003D1A49" w:rsidRDefault="003D1A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19982145"/>
      <w:docPartObj>
        <w:docPartGallery w:val="Page Numbers (Bottom of Page)"/>
        <w:docPartUnique/>
      </w:docPartObj>
    </w:sdtPr>
    <w:sdtContent>
      <w:p w14:paraId="60EC60D7" w14:textId="77777777" w:rsidR="00062D98" w:rsidRDefault="00062D98" w:rsidP="00265A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lviii</w:t>
        </w:r>
        <w:r>
          <w:rPr>
            <w:rStyle w:val="PageNumber"/>
          </w:rPr>
          <w:fldChar w:fldCharType="end"/>
        </w:r>
      </w:p>
    </w:sdtContent>
  </w:sdt>
  <w:p w14:paraId="674BFB75" w14:textId="77777777" w:rsidR="00062D98" w:rsidRDefault="00062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E35E9D" w14:textId="77777777" w:rsidR="00990C91" w:rsidRDefault="00990C91" w:rsidP="005A3FE9">
      <w:r>
        <w:separator/>
      </w:r>
    </w:p>
  </w:footnote>
  <w:footnote w:type="continuationSeparator" w:id="0">
    <w:p w14:paraId="60CEF72E" w14:textId="77777777" w:rsidR="00990C91" w:rsidRDefault="00990C91" w:rsidP="005A3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B55193"/>
    <w:multiLevelType w:val="hybridMultilevel"/>
    <w:tmpl w:val="80B8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F46C3"/>
    <w:multiLevelType w:val="multilevel"/>
    <w:tmpl w:val="DAC8D6A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A539EC"/>
    <w:multiLevelType w:val="multilevel"/>
    <w:tmpl w:val="93465E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75C7A"/>
    <w:multiLevelType w:val="multilevel"/>
    <w:tmpl w:val="D3D41FF8"/>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413EB"/>
    <w:multiLevelType w:val="hybridMultilevel"/>
    <w:tmpl w:val="42AAC664"/>
    <w:lvl w:ilvl="0" w:tplc="38FA2B72">
      <w:start w:val="3"/>
      <w:numFmt w:val="bullet"/>
      <w:lvlText w:val=""/>
      <w:lvlJc w:val="left"/>
      <w:pPr>
        <w:ind w:left="1080" w:hanging="360"/>
      </w:pPr>
      <w:rPr>
        <w:rFonts w:ascii="Wingdings" w:eastAsiaTheme="minorEastAsia" w:hAnsi="Wingding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906762E"/>
    <w:multiLevelType w:val="hybridMultilevel"/>
    <w:tmpl w:val="926CB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E6077"/>
    <w:multiLevelType w:val="hybridMultilevel"/>
    <w:tmpl w:val="DBCCDB32"/>
    <w:lvl w:ilvl="0" w:tplc="38FA2B72">
      <w:start w:val="3"/>
      <w:numFmt w:val="bullet"/>
      <w:lvlText w:val=""/>
      <w:lvlJc w:val="left"/>
      <w:pPr>
        <w:ind w:left="1080" w:hanging="360"/>
      </w:pPr>
      <w:rPr>
        <w:rFonts w:ascii="Wingdings" w:eastAsiaTheme="minorEastAsia"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D67D0"/>
    <w:multiLevelType w:val="hybridMultilevel"/>
    <w:tmpl w:val="DF1CF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156DA7"/>
    <w:multiLevelType w:val="hybridMultilevel"/>
    <w:tmpl w:val="D3B2D896"/>
    <w:lvl w:ilvl="0" w:tplc="38FA2B72">
      <w:start w:val="3"/>
      <w:numFmt w:val="bullet"/>
      <w:lvlText w:val=""/>
      <w:lvlJc w:val="left"/>
      <w:pPr>
        <w:ind w:left="3960" w:hanging="360"/>
      </w:pPr>
      <w:rPr>
        <w:rFonts w:ascii="Wingdings" w:eastAsiaTheme="minorEastAsia" w:hAnsi="Wingdings" w:cstheme="minorBidi"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56EA13FF"/>
    <w:multiLevelType w:val="multilevel"/>
    <w:tmpl w:val="BFF467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4A3B1D"/>
    <w:multiLevelType w:val="multilevel"/>
    <w:tmpl w:val="0D1A065C"/>
    <w:lvl w:ilvl="0">
      <w:start w:val="1"/>
      <w:numFmt w:val="decimal"/>
      <w:lvlText w:val="%1."/>
      <w:lvlJc w:val="left"/>
      <w:pPr>
        <w:ind w:left="500" w:hanging="5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6272000A"/>
    <w:multiLevelType w:val="hybridMultilevel"/>
    <w:tmpl w:val="387C3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D15BC6"/>
    <w:multiLevelType w:val="hybridMultilevel"/>
    <w:tmpl w:val="E5383A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C40C34"/>
    <w:multiLevelType w:val="multilevel"/>
    <w:tmpl w:val="D36C790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679965566">
    <w:abstractNumId w:val="10"/>
  </w:num>
  <w:num w:numId="2" w16cid:durableId="1724677395">
    <w:abstractNumId w:val="13"/>
  </w:num>
  <w:num w:numId="3" w16cid:durableId="544608990">
    <w:abstractNumId w:val="1"/>
  </w:num>
  <w:num w:numId="4" w16cid:durableId="1257783037">
    <w:abstractNumId w:val="4"/>
  </w:num>
  <w:num w:numId="5" w16cid:durableId="2078362713">
    <w:abstractNumId w:val="6"/>
  </w:num>
  <w:num w:numId="6" w16cid:durableId="590092475">
    <w:abstractNumId w:val="8"/>
  </w:num>
  <w:num w:numId="7" w16cid:durableId="525607134">
    <w:abstractNumId w:val="11"/>
  </w:num>
  <w:num w:numId="8" w16cid:durableId="1103645201">
    <w:abstractNumId w:val="5"/>
  </w:num>
  <w:num w:numId="9" w16cid:durableId="1278757252">
    <w:abstractNumId w:val="12"/>
  </w:num>
  <w:num w:numId="10" w16cid:durableId="623579005">
    <w:abstractNumId w:val="9"/>
  </w:num>
  <w:num w:numId="11" w16cid:durableId="299461233">
    <w:abstractNumId w:val="2"/>
  </w:num>
  <w:num w:numId="12" w16cid:durableId="845822605">
    <w:abstractNumId w:val="3"/>
  </w:num>
  <w:num w:numId="13" w16cid:durableId="251818472">
    <w:abstractNumId w:val="7"/>
  </w:num>
  <w:num w:numId="14" w16cid:durableId="2037384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72A"/>
    <w:rsid w:val="00003E46"/>
    <w:rsid w:val="00004AA6"/>
    <w:rsid w:val="0000684A"/>
    <w:rsid w:val="000077D0"/>
    <w:rsid w:val="00010B03"/>
    <w:rsid w:val="00013412"/>
    <w:rsid w:val="00017912"/>
    <w:rsid w:val="0002507D"/>
    <w:rsid w:val="00030195"/>
    <w:rsid w:val="00033EB2"/>
    <w:rsid w:val="00034B54"/>
    <w:rsid w:val="0003572A"/>
    <w:rsid w:val="00055EC2"/>
    <w:rsid w:val="000604A9"/>
    <w:rsid w:val="00062D98"/>
    <w:rsid w:val="00065C76"/>
    <w:rsid w:val="00071B5A"/>
    <w:rsid w:val="0007634F"/>
    <w:rsid w:val="00082F00"/>
    <w:rsid w:val="0009069D"/>
    <w:rsid w:val="00094D8C"/>
    <w:rsid w:val="000A069E"/>
    <w:rsid w:val="000A127B"/>
    <w:rsid w:val="000A383E"/>
    <w:rsid w:val="000B0F4B"/>
    <w:rsid w:val="000C0BFF"/>
    <w:rsid w:val="000C29DA"/>
    <w:rsid w:val="000C2B0D"/>
    <w:rsid w:val="000D058D"/>
    <w:rsid w:val="000E05E1"/>
    <w:rsid w:val="000E3071"/>
    <w:rsid w:val="000F7C4A"/>
    <w:rsid w:val="001032E1"/>
    <w:rsid w:val="00105899"/>
    <w:rsid w:val="00114D5E"/>
    <w:rsid w:val="0011671C"/>
    <w:rsid w:val="00121DB2"/>
    <w:rsid w:val="0012225C"/>
    <w:rsid w:val="001228F9"/>
    <w:rsid w:val="00130602"/>
    <w:rsid w:val="001332A3"/>
    <w:rsid w:val="00144260"/>
    <w:rsid w:val="00147E6B"/>
    <w:rsid w:val="00150C75"/>
    <w:rsid w:val="0016085D"/>
    <w:rsid w:val="00163F42"/>
    <w:rsid w:val="00164F7F"/>
    <w:rsid w:val="00176602"/>
    <w:rsid w:val="00176611"/>
    <w:rsid w:val="00180834"/>
    <w:rsid w:val="00181FD0"/>
    <w:rsid w:val="00185B24"/>
    <w:rsid w:val="00185B61"/>
    <w:rsid w:val="00192188"/>
    <w:rsid w:val="00193F1A"/>
    <w:rsid w:val="001953F5"/>
    <w:rsid w:val="00196008"/>
    <w:rsid w:val="001B4185"/>
    <w:rsid w:val="001C0321"/>
    <w:rsid w:val="001C3CC8"/>
    <w:rsid w:val="001C73B5"/>
    <w:rsid w:val="001D243A"/>
    <w:rsid w:val="001D4583"/>
    <w:rsid w:val="001F26E0"/>
    <w:rsid w:val="0020514C"/>
    <w:rsid w:val="00213C9A"/>
    <w:rsid w:val="00221419"/>
    <w:rsid w:val="00222388"/>
    <w:rsid w:val="002236E7"/>
    <w:rsid w:val="00234DCF"/>
    <w:rsid w:val="002362AD"/>
    <w:rsid w:val="0024107E"/>
    <w:rsid w:val="002419DB"/>
    <w:rsid w:val="0024474C"/>
    <w:rsid w:val="00253AA5"/>
    <w:rsid w:val="0026281F"/>
    <w:rsid w:val="00266C0F"/>
    <w:rsid w:val="00272A78"/>
    <w:rsid w:val="0028171C"/>
    <w:rsid w:val="00281CF8"/>
    <w:rsid w:val="00281D74"/>
    <w:rsid w:val="002827BD"/>
    <w:rsid w:val="00284178"/>
    <w:rsid w:val="00291FA3"/>
    <w:rsid w:val="00295587"/>
    <w:rsid w:val="00295E1D"/>
    <w:rsid w:val="002A475C"/>
    <w:rsid w:val="002A496C"/>
    <w:rsid w:val="002A72BF"/>
    <w:rsid w:val="002A77B3"/>
    <w:rsid w:val="002C0107"/>
    <w:rsid w:val="002C33A5"/>
    <w:rsid w:val="002C590E"/>
    <w:rsid w:val="002C5AF0"/>
    <w:rsid w:val="002D5D1D"/>
    <w:rsid w:val="002E3EE3"/>
    <w:rsid w:val="002E4CED"/>
    <w:rsid w:val="002E4DA3"/>
    <w:rsid w:val="002E5DF9"/>
    <w:rsid w:val="002F10BD"/>
    <w:rsid w:val="002F1C3A"/>
    <w:rsid w:val="002F2F56"/>
    <w:rsid w:val="00300BA1"/>
    <w:rsid w:val="00300D87"/>
    <w:rsid w:val="00301AD1"/>
    <w:rsid w:val="00302568"/>
    <w:rsid w:val="003177E7"/>
    <w:rsid w:val="003226EE"/>
    <w:rsid w:val="00332109"/>
    <w:rsid w:val="003368C1"/>
    <w:rsid w:val="00340823"/>
    <w:rsid w:val="00340B43"/>
    <w:rsid w:val="00340BFA"/>
    <w:rsid w:val="003435F1"/>
    <w:rsid w:val="00345750"/>
    <w:rsid w:val="003561B8"/>
    <w:rsid w:val="003562DB"/>
    <w:rsid w:val="00357F3C"/>
    <w:rsid w:val="00367BEE"/>
    <w:rsid w:val="00367C38"/>
    <w:rsid w:val="003716CC"/>
    <w:rsid w:val="003719D4"/>
    <w:rsid w:val="00383C9A"/>
    <w:rsid w:val="003917C1"/>
    <w:rsid w:val="003926BC"/>
    <w:rsid w:val="003932A3"/>
    <w:rsid w:val="003A02FC"/>
    <w:rsid w:val="003A3B08"/>
    <w:rsid w:val="003B4921"/>
    <w:rsid w:val="003B551E"/>
    <w:rsid w:val="003B58DA"/>
    <w:rsid w:val="003D04F4"/>
    <w:rsid w:val="003D1A49"/>
    <w:rsid w:val="003F43F0"/>
    <w:rsid w:val="003F4536"/>
    <w:rsid w:val="00402986"/>
    <w:rsid w:val="00404C51"/>
    <w:rsid w:val="00406920"/>
    <w:rsid w:val="00422AD1"/>
    <w:rsid w:val="004238F3"/>
    <w:rsid w:val="00436A37"/>
    <w:rsid w:val="00451C68"/>
    <w:rsid w:val="00455238"/>
    <w:rsid w:val="0046440D"/>
    <w:rsid w:val="00464BD2"/>
    <w:rsid w:val="00466648"/>
    <w:rsid w:val="004670DC"/>
    <w:rsid w:val="00471804"/>
    <w:rsid w:val="004741AB"/>
    <w:rsid w:val="0047489F"/>
    <w:rsid w:val="00482610"/>
    <w:rsid w:val="00483575"/>
    <w:rsid w:val="004844B8"/>
    <w:rsid w:val="00493DAF"/>
    <w:rsid w:val="00495C1C"/>
    <w:rsid w:val="004A602C"/>
    <w:rsid w:val="004B2563"/>
    <w:rsid w:val="004B7835"/>
    <w:rsid w:val="004C0EB3"/>
    <w:rsid w:val="004D2060"/>
    <w:rsid w:val="004D5E30"/>
    <w:rsid w:val="004E6FA2"/>
    <w:rsid w:val="004F04B4"/>
    <w:rsid w:val="004F0C6E"/>
    <w:rsid w:val="004F4119"/>
    <w:rsid w:val="004F5071"/>
    <w:rsid w:val="00502846"/>
    <w:rsid w:val="00510E48"/>
    <w:rsid w:val="00516BF5"/>
    <w:rsid w:val="00537B2D"/>
    <w:rsid w:val="00541FDB"/>
    <w:rsid w:val="005520EB"/>
    <w:rsid w:val="00560785"/>
    <w:rsid w:val="00574DFC"/>
    <w:rsid w:val="00580348"/>
    <w:rsid w:val="005807EC"/>
    <w:rsid w:val="00580A63"/>
    <w:rsid w:val="00580BD0"/>
    <w:rsid w:val="00580E94"/>
    <w:rsid w:val="005847DA"/>
    <w:rsid w:val="00585952"/>
    <w:rsid w:val="005919F3"/>
    <w:rsid w:val="00594649"/>
    <w:rsid w:val="005A154D"/>
    <w:rsid w:val="005A3FE9"/>
    <w:rsid w:val="005B73BF"/>
    <w:rsid w:val="005C0024"/>
    <w:rsid w:val="005C0A4A"/>
    <w:rsid w:val="005C23A0"/>
    <w:rsid w:val="005C2FFF"/>
    <w:rsid w:val="005C4FB6"/>
    <w:rsid w:val="005D1FA9"/>
    <w:rsid w:val="005D2005"/>
    <w:rsid w:val="005D26B1"/>
    <w:rsid w:val="005D5E28"/>
    <w:rsid w:val="005F1873"/>
    <w:rsid w:val="005F599A"/>
    <w:rsid w:val="00601E88"/>
    <w:rsid w:val="00602564"/>
    <w:rsid w:val="006034CA"/>
    <w:rsid w:val="006038F2"/>
    <w:rsid w:val="0060757C"/>
    <w:rsid w:val="0061337E"/>
    <w:rsid w:val="00613A71"/>
    <w:rsid w:val="00613F22"/>
    <w:rsid w:val="0061779D"/>
    <w:rsid w:val="00623CF0"/>
    <w:rsid w:val="00625C0F"/>
    <w:rsid w:val="00631208"/>
    <w:rsid w:val="00631569"/>
    <w:rsid w:val="00631E47"/>
    <w:rsid w:val="0063267E"/>
    <w:rsid w:val="00634724"/>
    <w:rsid w:val="00634BBA"/>
    <w:rsid w:val="006422E6"/>
    <w:rsid w:val="00646C41"/>
    <w:rsid w:val="0065647A"/>
    <w:rsid w:val="0066108B"/>
    <w:rsid w:val="00662ED0"/>
    <w:rsid w:val="006640E6"/>
    <w:rsid w:val="00672A2C"/>
    <w:rsid w:val="00676315"/>
    <w:rsid w:val="00680E93"/>
    <w:rsid w:val="0068381A"/>
    <w:rsid w:val="00685987"/>
    <w:rsid w:val="00690D13"/>
    <w:rsid w:val="006964E9"/>
    <w:rsid w:val="006A04D5"/>
    <w:rsid w:val="006A20D1"/>
    <w:rsid w:val="006A3216"/>
    <w:rsid w:val="006A494A"/>
    <w:rsid w:val="006A4F32"/>
    <w:rsid w:val="006B02FE"/>
    <w:rsid w:val="006B132B"/>
    <w:rsid w:val="006B4100"/>
    <w:rsid w:val="006B4515"/>
    <w:rsid w:val="006C25C7"/>
    <w:rsid w:val="006C6134"/>
    <w:rsid w:val="006D101B"/>
    <w:rsid w:val="006D33DA"/>
    <w:rsid w:val="006D5775"/>
    <w:rsid w:val="006D5B7D"/>
    <w:rsid w:val="006E540B"/>
    <w:rsid w:val="00703F7F"/>
    <w:rsid w:val="007103C2"/>
    <w:rsid w:val="007127BC"/>
    <w:rsid w:val="007131D1"/>
    <w:rsid w:val="00715F4C"/>
    <w:rsid w:val="007162F2"/>
    <w:rsid w:val="007167C7"/>
    <w:rsid w:val="0072610F"/>
    <w:rsid w:val="0073599A"/>
    <w:rsid w:val="00742076"/>
    <w:rsid w:val="00747611"/>
    <w:rsid w:val="00751BBC"/>
    <w:rsid w:val="007618FC"/>
    <w:rsid w:val="00764C70"/>
    <w:rsid w:val="00771A6E"/>
    <w:rsid w:val="00771DAA"/>
    <w:rsid w:val="007739FD"/>
    <w:rsid w:val="00776EE9"/>
    <w:rsid w:val="007812B9"/>
    <w:rsid w:val="007856A5"/>
    <w:rsid w:val="007932F1"/>
    <w:rsid w:val="007956F3"/>
    <w:rsid w:val="007B116B"/>
    <w:rsid w:val="007C0727"/>
    <w:rsid w:val="007C6339"/>
    <w:rsid w:val="007E15B6"/>
    <w:rsid w:val="007E7571"/>
    <w:rsid w:val="007F0290"/>
    <w:rsid w:val="00804A13"/>
    <w:rsid w:val="00805394"/>
    <w:rsid w:val="00805A7A"/>
    <w:rsid w:val="00811706"/>
    <w:rsid w:val="00811D76"/>
    <w:rsid w:val="00813CC6"/>
    <w:rsid w:val="00813D7B"/>
    <w:rsid w:val="00835F65"/>
    <w:rsid w:val="00842600"/>
    <w:rsid w:val="00843FF1"/>
    <w:rsid w:val="00847D66"/>
    <w:rsid w:val="00854111"/>
    <w:rsid w:val="00855018"/>
    <w:rsid w:val="008601F4"/>
    <w:rsid w:val="00861710"/>
    <w:rsid w:val="0086320C"/>
    <w:rsid w:val="00864935"/>
    <w:rsid w:val="008652BE"/>
    <w:rsid w:val="0086754F"/>
    <w:rsid w:val="008773E0"/>
    <w:rsid w:val="008818D3"/>
    <w:rsid w:val="0089009E"/>
    <w:rsid w:val="008A22BF"/>
    <w:rsid w:val="008A26A2"/>
    <w:rsid w:val="008A4287"/>
    <w:rsid w:val="008A593C"/>
    <w:rsid w:val="008A7BB9"/>
    <w:rsid w:val="008B65B7"/>
    <w:rsid w:val="008C2E70"/>
    <w:rsid w:val="008D2F59"/>
    <w:rsid w:val="008D51C3"/>
    <w:rsid w:val="008D5A90"/>
    <w:rsid w:val="008E7248"/>
    <w:rsid w:val="009115E5"/>
    <w:rsid w:val="00932C7C"/>
    <w:rsid w:val="00936B2C"/>
    <w:rsid w:val="0094437D"/>
    <w:rsid w:val="0094442B"/>
    <w:rsid w:val="00952EB2"/>
    <w:rsid w:val="0095303C"/>
    <w:rsid w:val="00962259"/>
    <w:rsid w:val="009633EC"/>
    <w:rsid w:val="00967090"/>
    <w:rsid w:val="009674B3"/>
    <w:rsid w:val="009677D1"/>
    <w:rsid w:val="009707BB"/>
    <w:rsid w:val="009823F3"/>
    <w:rsid w:val="00982547"/>
    <w:rsid w:val="00990C91"/>
    <w:rsid w:val="00992B42"/>
    <w:rsid w:val="00993DA4"/>
    <w:rsid w:val="009A1895"/>
    <w:rsid w:val="009A2ADC"/>
    <w:rsid w:val="009A3985"/>
    <w:rsid w:val="009C2CFA"/>
    <w:rsid w:val="009C4D90"/>
    <w:rsid w:val="009C4ECA"/>
    <w:rsid w:val="009C5E46"/>
    <w:rsid w:val="009E02B6"/>
    <w:rsid w:val="009E0A9E"/>
    <w:rsid w:val="009E110A"/>
    <w:rsid w:val="009E4CD9"/>
    <w:rsid w:val="009E7CCA"/>
    <w:rsid w:val="00A01218"/>
    <w:rsid w:val="00A01ABD"/>
    <w:rsid w:val="00A024A8"/>
    <w:rsid w:val="00A02D30"/>
    <w:rsid w:val="00A05C18"/>
    <w:rsid w:val="00A07FD1"/>
    <w:rsid w:val="00A10142"/>
    <w:rsid w:val="00A1317B"/>
    <w:rsid w:val="00A14FDB"/>
    <w:rsid w:val="00A164D8"/>
    <w:rsid w:val="00A2388E"/>
    <w:rsid w:val="00A25747"/>
    <w:rsid w:val="00A3402B"/>
    <w:rsid w:val="00A34A33"/>
    <w:rsid w:val="00A35B7E"/>
    <w:rsid w:val="00A531A4"/>
    <w:rsid w:val="00A858FD"/>
    <w:rsid w:val="00A86298"/>
    <w:rsid w:val="00A86F8E"/>
    <w:rsid w:val="00A93DED"/>
    <w:rsid w:val="00AA1CD3"/>
    <w:rsid w:val="00AA6E73"/>
    <w:rsid w:val="00AB031D"/>
    <w:rsid w:val="00AB43BC"/>
    <w:rsid w:val="00AC3772"/>
    <w:rsid w:val="00AC5761"/>
    <w:rsid w:val="00AC6C09"/>
    <w:rsid w:val="00AD517E"/>
    <w:rsid w:val="00AE1437"/>
    <w:rsid w:val="00AE78BE"/>
    <w:rsid w:val="00AF01C2"/>
    <w:rsid w:val="00AF1423"/>
    <w:rsid w:val="00AF2D83"/>
    <w:rsid w:val="00AF4477"/>
    <w:rsid w:val="00AF5362"/>
    <w:rsid w:val="00AF6822"/>
    <w:rsid w:val="00B0024E"/>
    <w:rsid w:val="00B03A3E"/>
    <w:rsid w:val="00B118A7"/>
    <w:rsid w:val="00B21FFC"/>
    <w:rsid w:val="00B30C2C"/>
    <w:rsid w:val="00B41590"/>
    <w:rsid w:val="00B437DC"/>
    <w:rsid w:val="00B56B5A"/>
    <w:rsid w:val="00B60121"/>
    <w:rsid w:val="00B65E91"/>
    <w:rsid w:val="00B7096E"/>
    <w:rsid w:val="00B731B9"/>
    <w:rsid w:val="00B779C8"/>
    <w:rsid w:val="00B84141"/>
    <w:rsid w:val="00B867D1"/>
    <w:rsid w:val="00B87170"/>
    <w:rsid w:val="00B95526"/>
    <w:rsid w:val="00B9723C"/>
    <w:rsid w:val="00BA4801"/>
    <w:rsid w:val="00BB3B3F"/>
    <w:rsid w:val="00BC0282"/>
    <w:rsid w:val="00BC5361"/>
    <w:rsid w:val="00BC6009"/>
    <w:rsid w:val="00BC6FDC"/>
    <w:rsid w:val="00BD1358"/>
    <w:rsid w:val="00BD69F6"/>
    <w:rsid w:val="00BE1EEE"/>
    <w:rsid w:val="00BE2911"/>
    <w:rsid w:val="00BE300B"/>
    <w:rsid w:val="00BE3810"/>
    <w:rsid w:val="00BF05A2"/>
    <w:rsid w:val="00BF4B2F"/>
    <w:rsid w:val="00BF7A50"/>
    <w:rsid w:val="00C02F3E"/>
    <w:rsid w:val="00C06B6B"/>
    <w:rsid w:val="00C14164"/>
    <w:rsid w:val="00C17B2B"/>
    <w:rsid w:val="00C208B7"/>
    <w:rsid w:val="00C22828"/>
    <w:rsid w:val="00C25E02"/>
    <w:rsid w:val="00C333FD"/>
    <w:rsid w:val="00C33899"/>
    <w:rsid w:val="00C414D7"/>
    <w:rsid w:val="00C464A5"/>
    <w:rsid w:val="00C52BBA"/>
    <w:rsid w:val="00C56827"/>
    <w:rsid w:val="00C61D47"/>
    <w:rsid w:val="00C7236E"/>
    <w:rsid w:val="00C73575"/>
    <w:rsid w:val="00C81198"/>
    <w:rsid w:val="00C81B42"/>
    <w:rsid w:val="00C8512F"/>
    <w:rsid w:val="00C86E25"/>
    <w:rsid w:val="00C87AF0"/>
    <w:rsid w:val="00C96381"/>
    <w:rsid w:val="00CA3B36"/>
    <w:rsid w:val="00CB033E"/>
    <w:rsid w:val="00CC15C1"/>
    <w:rsid w:val="00CC1BA7"/>
    <w:rsid w:val="00CC4ADE"/>
    <w:rsid w:val="00CC75FB"/>
    <w:rsid w:val="00CE07D0"/>
    <w:rsid w:val="00CE0879"/>
    <w:rsid w:val="00CE0A58"/>
    <w:rsid w:val="00CE340F"/>
    <w:rsid w:val="00CE7C08"/>
    <w:rsid w:val="00CF17A5"/>
    <w:rsid w:val="00D02DD2"/>
    <w:rsid w:val="00D0457D"/>
    <w:rsid w:val="00D1146F"/>
    <w:rsid w:val="00D130F7"/>
    <w:rsid w:val="00D16F4B"/>
    <w:rsid w:val="00D262DB"/>
    <w:rsid w:val="00D33E84"/>
    <w:rsid w:val="00D35A42"/>
    <w:rsid w:val="00D40702"/>
    <w:rsid w:val="00D45985"/>
    <w:rsid w:val="00D54531"/>
    <w:rsid w:val="00D7408C"/>
    <w:rsid w:val="00D75EAB"/>
    <w:rsid w:val="00D9452B"/>
    <w:rsid w:val="00D9656C"/>
    <w:rsid w:val="00DA5124"/>
    <w:rsid w:val="00DB2CE6"/>
    <w:rsid w:val="00DB6130"/>
    <w:rsid w:val="00DC0C7E"/>
    <w:rsid w:val="00DD0299"/>
    <w:rsid w:val="00DD2B01"/>
    <w:rsid w:val="00DD482C"/>
    <w:rsid w:val="00DE2088"/>
    <w:rsid w:val="00DF01DF"/>
    <w:rsid w:val="00DF0833"/>
    <w:rsid w:val="00DF1A10"/>
    <w:rsid w:val="00DF209E"/>
    <w:rsid w:val="00E04325"/>
    <w:rsid w:val="00E05A3C"/>
    <w:rsid w:val="00E1052D"/>
    <w:rsid w:val="00E105D5"/>
    <w:rsid w:val="00E16D4D"/>
    <w:rsid w:val="00E1722D"/>
    <w:rsid w:val="00E20C44"/>
    <w:rsid w:val="00E41D4D"/>
    <w:rsid w:val="00E57CB7"/>
    <w:rsid w:val="00E61DBB"/>
    <w:rsid w:val="00E6219D"/>
    <w:rsid w:val="00E67E60"/>
    <w:rsid w:val="00E8031D"/>
    <w:rsid w:val="00E82846"/>
    <w:rsid w:val="00E862E8"/>
    <w:rsid w:val="00E90B75"/>
    <w:rsid w:val="00E92063"/>
    <w:rsid w:val="00EA1293"/>
    <w:rsid w:val="00EB0207"/>
    <w:rsid w:val="00EB4B0F"/>
    <w:rsid w:val="00ED2C59"/>
    <w:rsid w:val="00ED328E"/>
    <w:rsid w:val="00EE546E"/>
    <w:rsid w:val="00EF1A10"/>
    <w:rsid w:val="00EF28C4"/>
    <w:rsid w:val="00EF3396"/>
    <w:rsid w:val="00EF4B54"/>
    <w:rsid w:val="00EF6BB1"/>
    <w:rsid w:val="00F00752"/>
    <w:rsid w:val="00F01A71"/>
    <w:rsid w:val="00F2200C"/>
    <w:rsid w:val="00F241E9"/>
    <w:rsid w:val="00F41446"/>
    <w:rsid w:val="00F44A3F"/>
    <w:rsid w:val="00F55387"/>
    <w:rsid w:val="00F553C6"/>
    <w:rsid w:val="00F577C3"/>
    <w:rsid w:val="00F66395"/>
    <w:rsid w:val="00F7022A"/>
    <w:rsid w:val="00F70EDD"/>
    <w:rsid w:val="00F74336"/>
    <w:rsid w:val="00F7708B"/>
    <w:rsid w:val="00F8104A"/>
    <w:rsid w:val="00F819F2"/>
    <w:rsid w:val="00F92CC5"/>
    <w:rsid w:val="00F9317D"/>
    <w:rsid w:val="00F93BD9"/>
    <w:rsid w:val="00FA41B3"/>
    <w:rsid w:val="00FA5974"/>
    <w:rsid w:val="00FA7595"/>
    <w:rsid w:val="00FB4608"/>
    <w:rsid w:val="00FB479F"/>
    <w:rsid w:val="00FB495C"/>
    <w:rsid w:val="00FB6478"/>
    <w:rsid w:val="00FC35A8"/>
    <w:rsid w:val="00FC4184"/>
    <w:rsid w:val="00FC4793"/>
    <w:rsid w:val="00FC481E"/>
    <w:rsid w:val="00FC5E8E"/>
    <w:rsid w:val="00FC785B"/>
    <w:rsid w:val="00FC7BE5"/>
    <w:rsid w:val="00FD64F1"/>
    <w:rsid w:val="00FD6CB9"/>
    <w:rsid w:val="00FE0485"/>
    <w:rsid w:val="00FE04D1"/>
    <w:rsid w:val="00FE7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F76AE"/>
  <w15:chartTrackingRefBased/>
  <w15:docId w15:val="{FFEE2C3A-4372-0041-B39B-3AF8B7150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72A"/>
    <w:rPr>
      <w:rFonts w:eastAsiaTheme="minorEastAsia"/>
      <w:kern w:val="0"/>
      <w:lang w:eastAsia="zh-CN"/>
      <w14:ligatures w14:val="none"/>
    </w:rPr>
  </w:style>
  <w:style w:type="paragraph" w:styleId="Heading1">
    <w:name w:val="heading 1"/>
    <w:basedOn w:val="Normal"/>
    <w:next w:val="Normal"/>
    <w:link w:val="Heading1Char"/>
    <w:uiPriority w:val="9"/>
    <w:qFormat/>
    <w:rsid w:val="000357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57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357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357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57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57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57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57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57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57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57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357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0357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57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57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57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57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572A"/>
    <w:rPr>
      <w:rFonts w:eastAsiaTheme="majorEastAsia" w:cstheme="majorBidi"/>
      <w:color w:val="272727" w:themeColor="text1" w:themeTint="D8"/>
    </w:rPr>
  </w:style>
  <w:style w:type="paragraph" w:styleId="Title">
    <w:name w:val="Title"/>
    <w:basedOn w:val="Normal"/>
    <w:next w:val="Normal"/>
    <w:link w:val="TitleChar"/>
    <w:uiPriority w:val="10"/>
    <w:qFormat/>
    <w:rsid w:val="000357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57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57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57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57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3572A"/>
    <w:rPr>
      <w:i/>
      <w:iCs/>
      <w:color w:val="404040" w:themeColor="text1" w:themeTint="BF"/>
    </w:rPr>
  </w:style>
  <w:style w:type="paragraph" w:styleId="ListParagraph">
    <w:name w:val="List Paragraph"/>
    <w:basedOn w:val="Normal"/>
    <w:uiPriority w:val="34"/>
    <w:qFormat/>
    <w:rsid w:val="0003572A"/>
    <w:pPr>
      <w:ind w:left="720"/>
      <w:contextualSpacing/>
    </w:pPr>
  </w:style>
  <w:style w:type="character" w:styleId="IntenseEmphasis">
    <w:name w:val="Intense Emphasis"/>
    <w:basedOn w:val="DefaultParagraphFont"/>
    <w:uiPriority w:val="21"/>
    <w:qFormat/>
    <w:rsid w:val="0003572A"/>
    <w:rPr>
      <w:i/>
      <w:iCs/>
      <w:color w:val="0F4761" w:themeColor="accent1" w:themeShade="BF"/>
    </w:rPr>
  </w:style>
  <w:style w:type="paragraph" w:styleId="IntenseQuote">
    <w:name w:val="Intense Quote"/>
    <w:basedOn w:val="Normal"/>
    <w:next w:val="Normal"/>
    <w:link w:val="IntenseQuoteChar"/>
    <w:uiPriority w:val="30"/>
    <w:qFormat/>
    <w:rsid w:val="000357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572A"/>
    <w:rPr>
      <w:i/>
      <w:iCs/>
      <w:color w:val="0F4761" w:themeColor="accent1" w:themeShade="BF"/>
    </w:rPr>
  </w:style>
  <w:style w:type="character" w:styleId="IntenseReference">
    <w:name w:val="Intense Reference"/>
    <w:basedOn w:val="DefaultParagraphFont"/>
    <w:uiPriority w:val="32"/>
    <w:qFormat/>
    <w:rsid w:val="0003572A"/>
    <w:rPr>
      <w:b/>
      <w:bCs/>
      <w:smallCaps/>
      <w:color w:val="0F4761" w:themeColor="accent1" w:themeShade="BF"/>
      <w:spacing w:val="5"/>
    </w:rPr>
  </w:style>
  <w:style w:type="paragraph" w:customStyle="1" w:styleId="TitleTNR">
    <w:name w:val="Title (TNR)"/>
    <w:basedOn w:val="Title"/>
    <w:qFormat/>
    <w:rsid w:val="0003572A"/>
    <w:pPr>
      <w:spacing w:after="0"/>
    </w:pPr>
    <w:rPr>
      <w:rFonts w:asciiTheme="majorBidi" w:hAnsiTheme="majorBidi"/>
      <w:b/>
      <w:i/>
    </w:rPr>
  </w:style>
  <w:style w:type="paragraph" w:styleId="TOCHeading">
    <w:name w:val="TOC Heading"/>
    <w:basedOn w:val="Heading1"/>
    <w:next w:val="Normal"/>
    <w:uiPriority w:val="39"/>
    <w:unhideWhenUsed/>
    <w:qFormat/>
    <w:rsid w:val="0003572A"/>
    <w:pPr>
      <w:spacing w:before="480" w:after="0" w:line="276" w:lineRule="auto"/>
      <w:outlineLvl w:val="9"/>
    </w:pPr>
    <w:rPr>
      <w:b/>
      <w:bCs/>
      <w:sz w:val="28"/>
      <w:szCs w:val="28"/>
    </w:rPr>
  </w:style>
  <w:style w:type="paragraph" w:styleId="TOC1">
    <w:name w:val="toc 1"/>
    <w:basedOn w:val="Normal"/>
    <w:next w:val="Normal"/>
    <w:autoRedefine/>
    <w:uiPriority w:val="39"/>
    <w:unhideWhenUsed/>
    <w:rsid w:val="0003572A"/>
    <w:pPr>
      <w:spacing w:before="120"/>
    </w:pPr>
    <w:rPr>
      <w:b/>
      <w:bCs/>
      <w:i/>
      <w:iCs/>
    </w:rPr>
  </w:style>
  <w:style w:type="paragraph" w:styleId="TOC2">
    <w:name w:val="toc 2"/>
    <w:basedOn w:val="Normal"/>
    <w:next w:val="Normal"/>
    <w:autoRedefine/>
    <w:uiPriority w:val="39"/>
    <w:unhideWhenUsed/>
    <w:rsid w:val="0003572A"/>
    <w:pPr>
      <w:spacing w:before="120"/>
      <w:ind w:left="240"/>
    </w:pPr>
    <w:rPr>
      <w:b/>
      <w:bCs/>
      <w:sz w:val="22"/>
      <w:szCs w:val="22"/>
    </w:rPr>
  </w:style>
  <w:style w:type="paragraph" w:styleId="TOC3">
    <w:name w:val="toc 3"/>
    <w:basedOn w:val="Normal"/>
    <w:next w:val="Normal"/>
    <w:autoRedefine/>
    <w:uiPriority w:val="39"/>
    <w:unhideWhenUsed/>
    <w:rsid w:val="0003572A"/>
    <w:pPr>
      <w:ind w:left="480"/>
    </w:pPr>
    <w:rPr>
      <w:sz w:val="20"/>
      <w:szCs w:val="20"/>
    </w:rPr>
  </w:style>
  <w:style w:type="paragraph" w:styleId="TOC4">
    <w:name w:val="toc 4"/>
    <w:basedOn w:val="Normal"/>
    <w:next w:val="Normal"/>
    <w:autoRedefine/>
    <w:uiPriority w:val="39"/>
    <w:semiHidden/>
    <w:unhideWhenUsed/>
    <w:rsid w:val="0003572A"/>
    <w:pPr>
      <w:ind w:left="720"/>
    </w:pPr>
    <w:rPr>
      <w:sz w:val="20"/>
      <w:szCs w:val="20"/>
    </w:rPr>
  </w:style>
  <w:style w:type="paragraph" w:styleId="TOC5">
    <w:name w:val="toc 5"/>
    <w:basedOn w:val="Normal"/>
    <w:next w:val="Normal"/>
    <w:autoRedefine/>
    <w:uiPriority w:val="39"/>
    <w:semiHidden/>
    <w:unhideWhenUsed/>
    <w:rsid w:val="0003572A"/>
    <w:pPr>
      <w:ind w:left="960"/>
    </w:pPr>
    <w:rPr>
      <w:sz w:val="20"/>
      <w:szCs w:val="20"/>
    </w:rPr>
  </w:style>
  <w:style w:type="paragraph" w:styleId="TOC6">
    <w:name w:val="toc 6"/>
    <w:basedOn w:val="Normal"/>
    <w:next w:val="Normal"/>
    <w:autoRedefine/>
    <w:uiPriority w:val="39"/>
    <w:semiHidden/>
    <w:unhideWhenUsed/>
    <w:rsid w:val="0003572A"/>
    <w:pPr>
      <w:ind w:left="1200"/>
    </w:pPr>
    <w:rPr>
      <w:sz w:val="20"/>
      <w:szCs w:val="20"/>
    </w:rPr>
  </w:style>
  <w:style w:type="paragraph" w:styleId="TOC7">
    <w:name w:val="toc 7"/>
    <w:basedOn w:val="Normal"/>
    <w:next w:val="Normal"/>
    <w:autoRedefine/>
    <w:uiPriority w:val="39"/>
    <w:semiHidden/>
    <w:unhideWhenUsed/>
    <w:rsid w:val="0003572A"/>
    <w:pPr>
      <w:ind w:left="1440"/>
    </w:pPr>
    <w:rPr>
      <w:sz w:val="20"/>
      <w:szCs w:val="20"/>
    </w:rPr>
  </w:style>
  <w:style w:type="paragraph" w:styleId="TOC8">
    <w:name w:val="toc 8"/>
    <w:basedOn w:val="Normal"/>
    <w:next w:val="Normal"/>
    <w:autoRedefine/>
    <w:uiPriority w:val="39"/>
    <w:semiHidden/>
    <w:unhideWhenUsed/>
    <w:rsid w:val="0003572A"/>
    <w:pPr>
      <w:ind w:left="1680"/>
    </w:pPr>
    <w:rPr>
      <w:sz w:val="20"/>
      <w:szCs w:val="20"/>
    </w:rPr>
  </w:style>
  <w:style w:type="paragraph" w:styleId="TOC9">
    <w:name w:val="toc 9"/>
    <w:basedOn w:val="Normal"/>
    <w:next w:val="Normal"/>
    <w:autoRedefine/>
    <w:uiPriority w:val="39"/>
    <w:semiHidden/>
    <w:unhideWhenUsed/>
    <w:rsid w:val="0003572A"/>
    <w:pPr>
      <w:ind w:left="1920"/>
    </w:pPr>
    <w:rPr>
      <w:sz w:val="20"/>
      <w:szCs w:val="20"/>
    </w:rPr>
  </w:style>
  <w:style w:type="paragraph" w:styleId="NormalWeb">
    <w:name w:val="Normal (Web)"/>
    <w:basedOn w:val="Normal"/>
    <w:uiPriority w:val="99"/>
    <w:unhideWhenUsed/>
    <w:rsid w:val="0003572A"/>
    <w:pPr>
      <w:spacing w:before="100" w:beforeAutospacing="1" w:after="100" w:afterAutospacing="1"/>
    </w:pPr>
    <w:rPr>
      <w:rFonts w:ascii="Times New Roman" w:eastAsia="Times New Roman" w:hAnsi="Times New Roman" w:cs="Times New Roman"/>
      <w:lang w:eastAsia="en-US"/>
    </w:rPr>
  </w:style>
  <w:style w:type="character" w:styleId="Hyperlink">
    <w:name w:val="Hyperlink"/>
    <w:basedOn w:val="DefaultParagraphFont"/>
    <w:uiPriority w:val="99"/>
    <w:unhideWhenUsed/>
    <w:rsid w:val="0003572A"/>
    <w:rPr>
      <w:color w:val="467886" w:themeColor="hyperlink"/>
      <w:u w:val="single"/>
    </w:rPr>
  </w:style>
  <w:style w:type="paragraph" w:styleId="Caption">
    <w:name w:val="caption"/>
    <w:basedOn w:val="Normal"/>
    <w:next w:val="Normal"/>
    <w:uiPriority w:val="35"/>
    <w:unhideWhenUsed/>
    <w:qFormat/>
    <w:rsid w:val="0003572A"/>
    <w:pPr>
      <w:spacing w:after="200"/>
    </w:pPr>
    <w:rPr>
      <w:i/>
      <w:iCs/>
      <w:color w:val="0E2841" w:themeColor="text2"/>
      <w:sz w:val="18"/>
      <w:szCs w:val="18"/>
    </w:rPr>
  </w:style>
  <w:style w:type="paragraph" w:styleId="TableofFigures">
    <w:name w:val="table of figures"/>
    <w:basedOn w:val="Normal"/>
    <w:next w:val="Normal"/>
    <w:uiPriority w:val="99"/>
    <w:unhideWhenUsed/>
    <w:rsid w:val="0003572A"/>
  </w:style>
  <w:style w:type="paragraph" w:customStyle="1" w:styleId="xmsonormal">
    <w:name w:val="x_msonormal"/>
    <w:basedOn w:val="Normal"/>
    <w:rsid w:val="0003572A"/>
    <w:pPr>
      <w:spacing w:before="100" w:beforeAutospacing="1" w:after="100" w:afterAutospacing="1"/>
    </w:pPr>
    <w:rPr>
      <w:rFonts w:ascii="Times New Roman" w:eastAsia="Times New Roman" w:hAnsi="Times New Roman" w:cs="Times New Roman"/>
      <w:lang w:eastAsia="en-US"/>
    </w:rPr>
  </w:style>
  <w:style w:type="character" w:styleId="UnresolvedMention">
    <w:name w:val="Unresolved Mention"/>
    <w:basedOn w:val="DefaultParagraphFont"/>
    <w:uiPriority w:val="99"/>
    <w:semiHidden/>
    <w:unhideWhenUsed/>
    <w:rsid w:val="0003572A"/>
    <w:rPr>
      <w:color w:val="605E5C"/>
      <w:shd w:val="clear" w:color="auto" w:fill="E1DFDD"/>
    </w:rPr>
  </w:style>
  <w:style w:type="character" w:customStyle="1" w:styleId="apple-converted-space">
    <w:name w:val="apple-converted-space"/>
    <w:basedOn w:val="DefaultParagraphFont"/>
    <w:rsid w:val="0003572A"/>
  </w:style>
  <w:style w:type="paragraph" w:styleId="Bibliography">
    <w:name w:val="Bibliography"/>
    <w:basedOn w:val="Normal"/>
    <w:next w:val="Normal"/>
    <w:uiPriority w:val="37"/>
    <w:unhideWhenUsed/>
    <w:rsid w:val="0003572A"/>
  </w:style>
  <w:style w:type="character" w:styleId="FollowedHyperlink">
    <w:name w:val="FollowedHyperlink"/>
    <w:basedOn w:val="DefaultParagraphFont"/>
    <w:uiPriority w:val="99"/>
    <w:semiHidden/>
    <w:unhideWhenUsed/>
    <w:rsid w:val="0003572A"/>
    <w:rPr>
      <w:color w:val="96607D" w:themeColor="followedHyperlink"/>
      <w:u w:val="single"/>
    </w:rPr>
  </w:style>
  <w:style w:type="paragraph" w:styleId="NoSpacing">
    <w:name w:val="No Spacing"/>
    <w:uiPriority w:val="1"/>
    <w:qFormat/>
    <w:rsid w:val="0003572A"/>
    <w:rPr>
      <w:rFonts w:eastAsiaTheme="minorEastAsia"/>
      <w:kern w:val="0"/>
      <w:lang w:eastAsia="zh-CN"/>
      <w14:ligatures w14:val="none"/>
    </w:rPr>
  </w:style>
  <w:style w:type="paragraph" w:styleId="BalloonText">
    <w:name w:val="Balloon Text"/>
    <w:basedOn w:val="Normal"/>
    <w:link w:val="BalloonTextChar"/>
    <w:uiPriority w:val="99"/>
    <w:semiHidden/>
    <w:unhideWhenUsed/>
    <w:rsid w:val="00035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572A"/>
    <w:rPr>
      <w:rFonts w:ascii="Segoe UI" w:eastAsiaTheme="minorEastAsia" w:hAnsi="Segoe UI" w:cs="Segoe UI"/>
      <w:kern w:val="0"/>
      <w:sz w:val="18"/>
      <w:szCs w:val="18"/>
      <w:lang w:eastAsia="zh-CN"/>
      <w14:ligatures w14:val="none"/>
    </w:rPr>
  </w:style>
  <w:style w:type="character" w:styleId="CommentReference">
    <w:name w:val="annotation reference"/>
    <w:basedOn w:val="DefaultParagraphFont"/>
    <w:uiPriority w:val="99"/>
    <w:semiHidden/>
    <w:unhideWhenUsed/>
    <w:rsid w:val="0003572A"/>
    <w:rPr>
      <w:sz w:val="16"/>
      <w:szCs w:val="16"/>
    </w:rPr>
  </w:style>
  <w:style w:type="paragraph" w:styleId="CommentText">
    <w:name w:val="annotation text"/>
    <w:basedOn w:val="Normal"/>
    <w:link w:val="CommentTextChar"/>
    <w:uiPriority w:val="99"/>
    <w:semiHidden/>
    <w:unhideWhenUsed/>
    <w:rsid w:val="0003572A"/>
    <w:rPr>
      <w:sz w:val="20"/>
      <w:szCs w:val="20"/>
    </w:rPr>
  </w:style>
  <w:style w:type="character" w:customStyle="1" w:styleId="CommentTextChar">
    <w:name w:val="Comment Text Char"/>
    <w:basedOn w:val="DefaultParagraphFont"/>
    <w:link w:val="CommentText"/>
    <w:uiPriority w:val="99"/>
    <w:semiHidden/>
    <w:rsid w:val="0003572A"/>
    <w:rPr>
      <w:rFonts w:eastAsiaTheme="minorEastAsia"/>
      <w:kern w:val="0"/>
      <w:sz w:val="20"/>
      <w:szCs w:val="20"/>
      <w:lang w:eastAsia="zh-CN"/>
      <w14:ligatures w14:val="none"/>
    </w:rPr>
  </w:style>
  <w:style w:type="paragraph" w:styleId="CommentSubject">
    <w:name w:val="annotation subject"/>
    <w:basedOn w:val="CommentText"/>
    <w:next w:val="CommentText"/>
    <w:link w:val="CommentSubjectChar"/>
    <w:uiPriority w:val="99"/>
    <w:semiHidden/>
    <w:unhideWhenUsed/>
    <w:rsid w:val="0003572A"/>
    <w:rPr>
      <w:b/>
      <w:bCs/>
    </w:rPr>
  </w:style>
  <w:style w:type="character" w:customStyle="1" w:styleId="CommentSubjectChar">
    <w:name w:val="Comment Subject Char"/>
    <w:basedOn w:val="CommentTextChar"/>
    <w:link w:val="CommentSubject"/>
    <w:uiPriority w:val="99"/>
    <w:semiHidden/>
    <w:rsid w:val="0003572A"/>
    <w:rPr>
      <w:rFonts w:eastAsiaTheme="minorEastAsia"/>
      <w:b/>
      <w:bCs/>
      <w:kern w:val="0"/>
      <w:sz w:val="20"/>
      <w:szCs w:val="20"/>
      <w:lang w:eastAsia="zh-CN"/>
      <w14:ligatures w14:val="none"/>
    </w:rPr>
  </w:style>
  <w:style w:type="paragraph" w:styleId="Revision">
    <w:name w:val="Revision"/>
    <w:hidden/>
    <w:uiPriority w:val="99"/>
    <w:semiHidden/>
    <w:rsid w:val="0003572A"/>
    <w:rPr>
      <w:rFonts w:eastAsiaTheme="minorEastAsia"/>
      <w:kern w:val="0"/>
      <w:lang w:eastAsia="zh-CN"/>
      <w14:ligatures w14:val="none"/>
    </w:rPr>
  </w:style>
  <w:style w:type="paragraph" w:styleId="Footer">
    <w:name w:val="footer"/>
    <w:basedOn w:val="Normal"/>
    <w:link w:val="FooterChar"/>
    <w:uiPriority w:val="99"/>
    <w:unhideWhenUsed/>
    <w:rsid w:val="005A3FE9"/>
    <w:pPr>
      <w:tabs>
        <w:tab w:val="center" w:pos="4680"/>
        <w:tab w:val="right" w:pos="9360"/>
      </w:tabs>
    </w:pPr>
  </w:style>
  <w:style w:type="character" w:customStyle="1" w:styleId="FooterChar">
    <w:name w:val="Footer Char"/>
    <w:basedOn w:val="DefaultParagraphFont"/>
    <w:link w:val="Footer"/>
    <w:uiPriority w:val="99"/>
    <w:rsid w:val="005A3FE9"/>
    <w:rPr>
      <w:rFonts w:eastAsiaTheme="minorEastAsia"/>
      <w:kern w:val="0"/>
      <w:lang w:eastAsia="zh-CN"/>
      <w14:ligatures w14:val="none"/>
    </w:rPr>
  </w:style>
  <w:style w:type="character" w:styleId="PageNumber">
    <w:name w:val="page number"/>
    <w:basedOn w:val="DefaultParagraphFont"/>
    <w:uiPriority w:val="99"/>
    <w:semiHidden/>
    <w:unhideWhenUsed/>
    <w:rsid w:val="005A3FE9"/>
  </w:style>
  <w:style w:type="paragraph" w:styleId="Header">
    <w:name w:val="header"/>
    <w:basedOn w:val="Normal"/>
    <w:link w:val="HeaderChar"/>
    <w:uiPriority w:val="99"/>
    <w:unhideWhenUsed/>
    <w:rsid w:val="003A02FC"/>
    <w:pPr>
      <w:tabs>
        <w:tab w:val="center" w:pos="4680"/>
        <w:tab w:val="right" w:pos="9360"/>
      </w:tabs>
    </w:pPr>
  </w:style>
  <w:style w:type="character" w:customStyle="1" w:styleId="HeaderChar">
    <w:name w:val="Header Char"/>
    <w:basedOn w:val="DefaultParagraphFont"/>
    <w:link w:val="Header"/>
    <w:uiPriority w:val="99"/>
    <w:rsid w:val="003A02FC"/>
    <w:rPr>
      <w:rFonts w:eastAsiaTheme="minorEastAsia"/>
      <w:kern w:val="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1953">
      <w:bodyDiv w:val="1"/>
      <w:marLeft w:val="0"/>
      <w:marRight w:val="0"/>
      <w:marTop w:val="0"/>
      <w:marBottom w:val="0"/>
      <w:divBdr>
        <w:top w:val="none" w:sz="0" w:space="0" w:color="auto"/>
        <w:left w:val="none" w:sz="0" w:space="0" w:color="auto"/>
        <w:bottom w:val="none" w:sz="0" w:space="0" w:color="auto"/>
        <w:right w:val="none" w:sz="0" w:space="0" w:color="auto"/>
      </w:divBdr>
    </w:div>
    <w:div w:id="33232372">
      <w:bodyDiv w:val="1"/>
      <w:marLeft w:val="0"/>
      <w:marRight w:val="0"/>
      <w:marTop w:val="0"/>
      <w:marBottom w:val="0"/>
      <w:divBdr>
        <w:top w:val="none" w:sz="0" w:space="0" w:color="auto"/>
        <w:left w:val="none" w:sz="0" w:space="0" w:color="auto"/>
        <w:bottom w:val="none" w:sz="0" w:space="0" w:color="auto"/>
        <w:right w:val="none" w:sz="0" w:space="0" w:color="auto"/>
      </w:divBdr>
    </w:div>
    <w:div w:id="36438035">
      <w:bodyDiv w:val="1"/>
      <w:marLeft w:val="0"/>
      <w:marRight w:val="0"/>
      <w:marTop w:val="0"/>
      <w:marBottom w:val="0"/>
      <w:divBdr>
        <w:top w:val="none" w:sz="0" w:space="0" w:color="auto"/>
        <w:left w:val="none" w:sz="0" w:space="0" w:color="auto"/>
        <w:bottom w:val="none" w:sz="0" w:space="0" w:color="auto"/>
        <w:right w:val="none" w:sz="0" w:space="0" w:color="auto"/>
      </w:divBdr>
    </w:div>
    <w:div w:id="83764840">
      <w:bodyDiv w:val="1"/>
      <w:marLeft w:val="0"/>
      <w:marRight w:val="0"/>
      <w:marTop w:val="0"/>
      <w:marBottom w:val="0"/>
      <w:divBdr>
        <w:top w:val="none" w:sz="0" w:space="0" w:color="auto"/>
        <w:left w:val="none" w:sz="0" w:space="0" w:color="auto"/>
        <w:bottom w:val="none" w:sz="0" w:space="0" w:color="auto"/>
        <w:right w:val="none" w:sz="0" w:space="0" w:color="auto"/>
      </w:divBdr>
    </w:div>
    <w:div w:id="112292046">
      <w:bodyDiv w:val="1"/>
      <w:marLeft w:val="0"/>
      <w:marRight w:val="0"/>
      <w:marTop w:val="0"/>
      <w:marBottom w:val="0"/>
      <w:divBdr>
        <w:top w:val="none" w:sz="0" w:space="0" w:color="auto"/>
        <w:left w:val="none" w:sz="0" w:space="0" w:color="auto"/>
        <w:bottom w:val="none" w:sz="0" w:space="0" w:color="auto"/>
        <w:right w:val="none" w:sz="0" w:space="0" w:color="auto"/>
      </w:divBdr>
    </w:div>
    <w:div w:id="168566366">
      <w:bodyDiv w:val="1"/>
      <w:marLeft w:val="0"/>
      <w:marRight w:val="0"/>
      <w:marTop w:val="0"/>
      <w:marBottom w:val="0"/>
      <w:divBdr>
        <w:top w:val="none" w:sz="0" w:space="0" w:color="auto"/>
        <w:left w:val="none" w:sz="0" w:space="0" w:color="auto"/>
        <w:bottom w:val="none" w:sz="0" w:space="0" w:color="auto"/>
        <w:right w:val="none" w:sz="0" w:space="0" w:color="auto"/>
      </w:divBdr>
    </w:div>
    <w:div w:id="258412784">
      <w:bodyDiv w:val="1"/>
      <w:marLeft w:val="0"/>
      <w:marRight w:val="0"/>
      <w:marTop w:val="0"/>
      <w:marBottom w:val="0"/>
      <w:divBdr>
        <w:top w:val="none" w:sz="0" w:space="0" w:color="auto"/>
        <w:left w:val="none" w:sz="0" w:space="0" w:color="auto"/>
        <w:bottom w:val="none" w:sz="0" w:space="0" w:color="auto"/>
        <w:right w:val="none" w:sz="0" w:space="0" w:color="auto"/>
      </w:divBdr>
    </w:div>
    <w:div w:id="274093522">
      <w:bodyDiv w:val="1"/>
      <w:marLeft w:val="0"/>
      <w:marRight w:val="0"/>
      <w:marTop w:val="0"/>
      <w:marBottom w:val="0"/>
      <w:divBdr>
        <w:top w:val="none" w:sz="0" w:space="0" w:color="auto"/>
        <w:left w:val="none" w:sz="0" w:space="0" w:color="auto"/>
        <w:bottom w:val="none" w:sz="0" w:space="0" w:color="auto"/>
        <w:right w:val="none" w:sz="0" w:space="0" w:color="auto"/>
      </w:divBdr>
    </w:div>
    <w:div w:id="327028498">
      <w:bodyDiv w:val="1"/>
      <w:marLeft w:val="0"/>
      <w:marRight w:val="0"/>
      <w:marTop w:val="0"/>
      <w:marBottom w:val="0"/>
      <w:divBdr>
        <w:top w:val="none" w:sz="0" w:space="0" w:color="auto"/>
        <w:left w:val="none" w:sz="0" w:space="0" w:color="auto"/>
        <w:bottom w:val="none" w:sz="0" w:space="0" w:color="auto"/>
        <w:right w:val="none" w:sz="0" w:space="0" w:color="auto"/>
      </w:divBdr>
    </w:div>
    <w:div w:id="327902049">
      <w:bodyDiv w:val="1"/>
      <w:marLeft w:val="0"/>
      <w:marRight w:val="0"/>
      <w:marTop w:val="0"/>
      <w:marBottom w:val="0"/>
      <w:divBdr>
        <w:top w:val="none" w:sz="0" w:space="0" w:color="auto"/>
        <w:left w:val="none" w:sz="0" w:space="0" w:color="auto"/>
        <w:bottom w:val="none" w:sz="0" w:space="0" w:color="auto"/>
        <w:right w:val="none" w:sz="0" w:space="0" w:color="auto"/>
      </w:divBdr>
    </w:div>
    <w:div w:id="401875076">
      <w:bodyDiv w:val="1"/>
      <w:marLeft w:val="0"/>
      <w:marRight w:val="0"/>
      <w:marTop w:val="0"/>
      <w:marBottom w:val="0"/>
      <w:divBdr>
        <w:top w:val="none" w:sz="0" w:space="0" w:color="auto"/>
        <w:left w:val="none" w:sz="0" w:space="0" w:color="auto"/>
        <w:bottom w:val="none" w:sz="0" w:space="0" w:color="auto"/>
        <w:right w:val="none" w:sz="0" w:space="0" w:color="auto"/>
      </w:divBdr>
    </w:div>
    <w:div w:id="412165962">
      <w:bodyDiv w:val="1"/>
      <w:marLeft w:val="0"/>
      <w:marRight w:val="0"/>
      <w:marTop w:val="0"/>
      <w:marBottom w:val="0"/>
      <w:divBdr>
        <w:top w:val="none" w:sz="0" w:space="0" w:color="auto"/>
        <w:left w:val="none" w:sz="0" w:space="0" w:color="auto"/>
        <w:bottom w:val="none" w:sz="0" w:space="0" w:color="auto"/>
        <w:right w:val="none" w:sz="0" w:space="0" w:color="auto"/>
      </w:divBdr>
    </w:div>
    <w:div w:id="425807663">
      <w:bodyDiv w:val="1"/>
      <w:marLeft w:val="0"/>
      <w:marRight w:val="0"/>
      <w:marTop w:val="0"/>
      <w:marBottom w:val="0"/>
      <w:divBdr>
        <w:top w:val="none" w:sz="0" w:space="0" w:color="auto"/>
        <w:left w:val="none" w:sz="0" w:space="0" w:color="auto"/>
        <w:bottom w:val="none" w:sz="0" w:space="0" w:color="auto"/>
        <w:right w:val="none" w:sz="0" w:space="0" w:color="auto"/>
      </w:divBdr>
    </w:div>
    <w:div w:id="445543816">
      <w:bodyDiv w:val="1"/>
      <w:marLeft w:val="0"/>
      <w:marRight w:val="0"/>
      <w:marTop w:val="0"/>
      <w:marBottom w:val="0"/>
      <w:divBdr>
        <w:top w:val="none" w:sz="0" w:space="0" w:color="auto"/>
        <w:left w:val="none" w:sz="0" w:space="0" w:color="auto"/>
        <w:bottom w:val="none" w:sz="0" w:space="0" w:color="auto"/>
        <w:right w:val="none" w:sz="0" w:space="0" w:color="auto"/>
      </w:divBdr>
    </w:div>
    <w:div w:id="456946585">
      <w:bodyDiv w:val="1"/>
      <w:marLeft w:val="0"/>
      <w:marRight w:val="0"/>
      <w:marTop w:val="0"/>
      <w:marBottom w:val="0"/>
      <w:divBdr>
        <w:top w:val="none" w:sz="0" w:space="0" w:color="auto"/>
        <w:left w:val="none" w:sz="0" w:space="0" w:color="auto"/>
        <w:bottom w:val="none" w:sz="0" w:space="0" w:color="auto"/>
        <w:right w:val="none" w:sz="0" w:space="0" w:color="auto"/>
      </w:divBdr>
    </w:div>
    <w:div w:id="468859185">
      <w:bodyDiv w:val="1"/>
      <w:marLeft w:val="0"/>
      <w:marRight w:val="0"/>
      <w:marTop w:val="0"/>
      <w:marBottom w:val="0"/>
      <w:divBdr>
        <w:top w:val="none" w:sz="0" w:space="0" w:color="auto"/>
        <w:left w:val="none" w:sz="0" w:space="0" w:color="auto"/>
        <w:bottom w:val="none" w:sz="0" w:space="0" w:color="auto"/>
        <w:right w:val="none" w:sz="0" w:space="0" w:color="auto"/>
      </w:divBdr>
    </w:div>
    <w:div w:id="495877798">
      <w:bodyDiv w:val="1"/>
      <w:marLeft w:val="0"/>
      <w:marRight w:val="0"/>
      <w:marTop w:val="0"/>
      <w:marBottom w:val="0"/>
      <w:divBdr>
        <w:top w:val="none" w:sz="0" w:space="0" w:color="auto"/>
        <w:left w:val="none" w:sz="0" w:space="0" w:color="auto"/>
        <w:bottom w:val="none" w:sz="0" w:space="0" w:color="auto"/>
        <w:right w:val="none" w:sz="0" w:space="0" w:color="auto"/>
      </w:divBdr>
    </w:div>
    <w:div w:id="500315296">
      <w:bodyDiv w:val="1"/>
      <w:marLeft w:val="0"/>
      <w:marRight w:val="0"/>
      <w:marTop w:val="0"/>
      <w:marBottom w:val="0"/>
      <w:divBdr>
        <w:top w:val="none" w:sz="0" w:space="0" w:color="auto"/>
        <w:left w:val="none" w:sz="0" w:space="0" w:color="auto"/>
        <w:bottom w:val="none" w:sz="0" w:space="0" w:color="auto"/>
        <w:right w:val="none" w:sz="0" w:space="0" w:color="auto"/>
      </w:divBdr>
    </w:div>
    <w:div w:id="506598260">
      <w:bodyDiv w:val="1"/>
      <w:marLeft w:val="0"/>
      <w:marRight w:val="0"/>
      <w:marTop w:val="0"/>
      <w:marBottom w:val="0"/>
      <w:divBdr>
        <w:top w:val="none" w:sz="0" w:space="0" w:color="auto"/>
        <w:left w:val="none" w:sz="0" w:space="0" w:color="auto"/>
        <w:bottom w:val="none" w:sz="0" w:space="0" w:color="auto"/>
        <w:right w:val="none" w:sz="0" w:space="0" w:color="auto"/>
      </w:divBdr>
    </w:div>
    <w:div w:id="514076635">
      <w:bodyDiv w:val="1"/>
      <w:marLeft w:val="0"/>
      <w:marRight w:val="0"/>
      <w:marTop w:val="0"/>
      <w:marBottom w:val="0"/>
      <w:divBdr>
        <w:top w:val="none" w:sz="0" w:space="0" w:color="auto"/>
        <w:left w:val="none" w:sz="0" w:space="0" w:color="auto"/>
        <w:bottom w:val="none" w:sz="0" w:space="0" w:color="auto"/>
        <w:right w:val="none" w:sz="0" w:space="0" w:color="auto"/>
      </w:divBdr>
    </w:div>
    <w:div w:id="514736560">
      <w:bodyDiv w:val="1"/>
      <w:marLeft w:val="0"/>
      <w:marRight w:val="0"/>
      <w:marTop w:val="0"/>
      <w:marBottom w:val="0"/>
      <w:divBdr>
        <w:top w:val="none" w:sz="0" w:space="0" w:color="auto"/>
        <w:left w:val="none" w:sz="0" w:space="0" w:color="auto"/>
        <w:bottom w:val="none" w:sz="0" w:space="0" w:color="auto"/>
        <w:right w:val="none" w:sz="0" w:space="0" w:color="auto"/>
      </w:divBdr>
    </w:div>
    <w:div w:id="554656247">
      <w:bodyDiv w:val="1"/>
      <w:marLeft w:val="0"/>
      <w:marRight w:val="0"/>
      <w:marTop w:val="0"/>
      <w:marBottom w:val="0"/>
      <w:divBdr>
        <w:top w:val="none" w:sz="0" w:space="0" w:color="auto"/>
        <w:left w:val="none" w:sz="0" w:space="0" w:color="auto"/>
        <w:bottom w:val="none" w:sz="0" w:space="0" w:color="auto"/>
        <w:right w:val="none" w:sz="0" w:space="0" w:color="auto"/>
      </w:divBdr>
    </w:div>
    <w:div w:id="570890476">
      <w:bodyDiv w:val="1"/>
      <w:marLeft w:val="0"/>
      <w:marRight w:val="0"/>
      <w:marTop w:val="0"/>
      <w:marBottom w:val="0"/>
      <w:divBdr>
        <w:top w:val="none" w:sz="0" w:space="0" w:color="auto"/>
        <w:left w:val="none" w:sz="0" w:space="0" w:color="auto"/>
        <w:bottom w:val="none" w:sz="0" w:space="0" w:color="auto"/>
        <w:right w:val="none" w:sz="0" w:space="0" w:color="auto"/>
      </w:divBdr>
    </w:div>
    <w:div w:id="582762081">
      <w:bodyDiv w:val="1"/>
      <w:marLeft w:val="0"/>
      <w:marRight w:val="0"/>
      <w:marTop w:val="0"/>
      <w:marBottom w:val="0"/>
      <w:divBdr>
        <w:top w:val="none" w:sz="0" w:space="0" w:color="auto"/>
        <w:left w:val="none" w:sz="0" w:space="0" w:color="auto"/>
        <w:bottom w:val="none" w:sz="0" w:space="0" w:color="auto"/>
        <w:right w:val="none" w:sz="0" w:space="0" w:color="auto"/>
      </w:divBdr>
    </w:div>
    <w:div w:id="662783753">
      <w:bodyDiv w:val="1"/>
      <w:marLeft w:val="0"/>
      <w:marRight w:val="0"/>
      <w:marTop w:val="0"/>
      <w:marBottom w:val="0"/>
      <w:divBdr>
        <w:top w:val="none" w:sz="0" w:space="0" w:color="auto"/>
        <w:left w:val="none" w:sz="0" w:space="0" w:color="auto"/>
        <w:bottom w:val="none" w:sz="0" w:space="0" w:color="auto"/>
        <w:right w:val="none" w:sz="0" w:space="0" w:color="auto"/>
      </w:divBdr>
    </w:div>
    <w:div w:id="710960537">
      <w:bodyDiv w:val="1"/>
      <w:marLeft w:val="0"/>
      <w:marRight w:val="0"/>
      <w:marTop w:val="0"/>
      <w:marBottom w:val="0"/>
      <w:divBdr>
        <w:top w:val="none" w:sz="0" w:space="0" w:color="auto"/>
        <w:left w:val="none" w:sz="0" w:space="0" w:color="auto"/>
        <w:bottom w:val="none" w:sz="0" w:space="0" w:color="auto"/>
        <w:right w:val="none" w:sz="0" w:space="0" w:color="auto"/>
      </w:divBdr>
    </w:div>
    <w:div w:id="740642189">
      <w:bodyDiv w:val="1"/>
      <w:marLeft w:val="0"/>
      <w:marRight w:val="0"/>
      <w:marTop w:val="0"/>
      <w:marBottom w:val="0"/>
      <w:divBdr>
        <w:top w:val="none" w:sz="0" w:space="0" w:color="auto"/>
        <w:left w:val="none" w:sz="0" w:space="0" w:color="auto"/>
        <w:bottom w:val="none" w:sz="0" w:space="0" w:color="auto"/>
        <w:right w:val="none" w:sz="0" w:space="0" w:color="auto"/>
      </w:divBdr>
    </w:div>
    <w:div w:id="786655617">
      <w:bodyDiv w:val="1"/>
      <w:marLeft w:val="0"/>
      <w:marRight w:val="0"/>
      <w:marTop w:val="0"/>
      <w:marBottom w:val="0"/>
      <w:divBdr>
        <w:top w:val="none" w:sz="0" w:space="0" w:color="auto"/>
        <w:left w:val="none" w:sz="0" w:space="0" w:color="auto"/>
        <w:bottom w:val="none" w:sz="0" w:space="0" w:color="auto"/>
        <w:right w:val="none" w:sz="0" w:space="0" w:color="auto"/>
      </w:divBdr>
    </w:div>
    <w:div w:id="791636284">
      <w:bodyDiv w:val="1"/>
      <w:marLeft w:val="0"/>
      <w:marRight w:val="0"/>
      <w:marTop w:val="0"/>
      <w:marBottom w:val="0"/>
      <w:divBdr>
        <w:top w:val="none" w:sz="0" w:space="0" w:color="auto"/>
        <w:left w:val="none" w:sz="0" w:space="0" w:color="auto"/>
        <w:bottom w:val="none" w:sz="0" w:space="0" w:color="auto"/>
        <w:right w:val="none" w:sz="0" w:space="0" w:color="auto"/>
      </w:divBdr>
    </w:div>
    <w:div w:id="810945803">
      <w:bodyDiv w:val="1"/>
      <w:marLeft w:val="0"/>
      <w:marRight w:val="0"/>
      <w:marTop w:val="0"/>
      <w:marBottom w:val="0"/>
      <w:divBdr>
        <w:top w:val="none" w:sz="0" w:space="0" w:color="auto"/>
        <w:left w:val="none" w:sz="0" w:space="0" w:color="auto"/>
        <w:bottom w:val="none" w:sz="0" w:space="0" w:color="auto"/>
        <w:right w:val="none" w:sz="0" w:space="0" w:color="auto"/>
      </w:divBdr>
    </w:div>
    <w:div w:id="888150884">
      <w:bodyDiv w:val="1"/>
      <w:marLeft w:val="0"/>
      <w:marRight w:val="0"/>
      <w:marTop w:val="0"/>
      <w:marBottom w:val="0"/>
      <w:divBdr>
        <w:top w:val="none" w:sz="0" w:space="0" w:color="auto"/>
        <w:left w:val="none" w:sz="0" w:space="0" w:color="auto"/>
        <w:bottom w:val="none" w:sz="0" w:space="0" w:color="auto"/>
        <w:right w:val="none" w:sz="0" w:space="0" w:color="auto"/>
      </w:divBdr>
    </w:div>
    <w:div w:id="912199246">
      <w:bodyDiv w:val="1"/>
      <w:marLeft w:val="0"/>
      <w:marRight w:val="0"/>
      <w:marTop w:val="0"/>
      <w:marBottom w:val="0"/>
      <w:divBdr>
        <w:top w:val="none" w:sz="0" w:space="0" w:color="auto"/>
        <w:left w:val="none" w:sz="0" w:space="0" w:color="auto"/>
        <w:bottom w:val="none" w:sz="0" w:space="0" w:color="auto"/>
        <w:right w:val="none" w:sz="0" w:space="0" w:color="auto"/>
      </w:divBdr>
    </w:div>
    <w:div w:id="979042621">
      <w:bodyDiv w:val="1"/>
      <w:marLeft w:val="0"/>
      <w:marRight w:val="0"/>
      <w:marTop w:val="0"/>
      <w:marBottom w:val="0"/>
      <w:divBdr>
        <w:top w:val="none" w:sz="0" w:space="0" w:color="auto"/>
        <w:left w:val="none" w:sz="0" w:space="0" w:color="auto"/>
        <w:bottom w:val="none" w:sz="0" w:space="0" w:color="auto"/>
        <w:right w:val="none" w:sz="0" w:space="0" w:color="auto"/>
      </w:divBdr>
    </w:div>
    <w:div w:id="1008171313">
      <w:bodyDiv w:val="1"/>
      <w:marLeft w:val="0"/>
      <w:marRight w:val="0"/>
      <w:marTop w:val="0"/>
      <w:marBottom w:val="0"/>
      <w:divBdr>
        <w:top w:val="none" w:sz="0" w:space="0" w:color="auto"/>
        <w:left w:val="none" w:sz="0" w:space="0" w:color="auto"/>
        <w:bottom w:val="none" w:sz="0" w:space="0" w:color="auto"/>
        <w:right w:val="none" w:sz="0" w:space="0" w:color="auto"/>
      </w:divBdr>
    </w:div>
    <w:div w:id="1026325151">
      <w:bodyDiv w:val="1"/>
      <w:marLeft w:val="0"/>
      <w:marRight w:val="0"/>
      <w:marTop w:val="0"/>
      <w:marBottom w:val="0"/>
      <w:divBdr>
        <w:top w:val="none" w:sz="0" w:space="0" w:color="auto"/>
        <w:left w:val="none" w:sz="0" w:space="0" w:color="auto"/>
        <w:bottom w:val="none" w:sz="0" w:space="0" w:color="auto"/>
        <w:right w:val="none" w:sz="0" w:space="0" w:color="auto"/>
      </w:divBdr>
    </w:div>
    <w:div w:id="1026829291">
      <w:bodyDiv w:val="1"/>
      <w:marLeft w:val="0"/>
      <w:marRight w:val="0"/>
      <w:marTop w:val="0"/>
      <w:marBottom w:val="0"/>
      <w:divBdr>
        <w:top w:val="none" w:sz="0" w:space="0" w:color="auto"/>
        <w:left w:val="none" w:sz="0" w:space="0" w:color="auto"/>
        <w:bottom w:val="none" w:sz="0" w:space="0" w:color="auto"/>
        <w:right w:val="none" w:sz="0" w:space="0" w:color="auto"/>
      </w:divBdr>
    </w:div>
    <w:div w:id="1075516649">
      <w:bodyDiv w:val="1"/>
      <w:marLeft w:val="0"/>
      <w:marRight w:val="0"/>
      <w:marTop w:val="0"/>
      <w:marBottom w:val="0"/>
      <w:divBdr>
        <w:top w:val="none" w:sz="0" w:space="0" w:color="auto"/>
        <w:left w:val="none" w:sz="0" w:space="0" w:color="auto"/>
        <w:bottom w:val="none" w:sz="0" w:space="0" w:color="auto"/>
        <w:right w:val="none" w:sz="0" w:space="0" w:color="auto"/>
      </w:divBdr>
    </w:div>
    <w:div w:id="1082878007">
      <w:bodyDiv w:val="1"/>
      <w:marLeft w:val="0"/>
      <w:marRight w:val="0"/>
      <w:marTop w:val="0"/>
      <w:marBottom w:val="0"/>
      <w:divBdr>
        <w:top w:val="none" w:sz="0" w:space="0" w:color="auto"/>
        <w:left w:val="none" w:sz="0" w:space="0" w:color="auto"/>
        <w:bottom w:val="none" w:sz="0" w:space="0" w:color="auto"/>
        <w:right w:val="none" w:sz="0" w:space="0" w:color="auto"/>
      </w:divBdr>
    </w:div>
    <w:div w:id="1098913653">
      <w:bodyDiv w:val="1"/>
      <w:marLeft w:val="0"/>
      <w:marRight w:val="0"/>
      <w:marTop w:val="0"/>
      <w:marBottom w:val="0"/>
      <w:divBdr>
        <w:top w:val="none" w:sz="0" w:space="0" w:color="auto"/>
        <w:left w:val="none" w:sz="0" w:space="0" w:color="auto"/>
        <w:bottom w:val="none" w:sz="0" w:space="0" w:color="auto"/>
        <w:right w:val="none" w:sz="0" w:space="0" w:color="auto"/>
      </w:divBdr>
    </w:div>
    <w:div w:id="1100032456">
      <w:bodyDiv w:val="1"/>
      <w:marLeft w:val="0"/>
      <w:marRight w:val="0"/>
      <w:marTop w:val="0"/>
      <w:marBottom w:val="0"/>
      <w:divBdr>
        <w:top w:val="none" w:sz="0" w:space="0" w:color="auto"/>
        <w:left w:val="none" w:sz="0" w:space="0" w:color="auto"/>
        <w:bottom w:val="none" w:sz="0" w:space="0" w:color="auto"/>
        <w:right w:val="none" w:sz="0" w:space="0" w:color="auto"/>
      </w:divBdr>
    </w:div>
    <w:div w:id="1135875921">
      <w:bodyDiv w:val="1"/>
      <w:marLeft w:val="0"/>
      <w:marRight w:val="0"/>
      <w:marTop w:val="0"/>
      <w:marBottom w:val="0"/>
      <w:divBdr>
        <w:top w:val="none" w:sz="0" w:space="0" w:color="auto"/>
        <w:left w:val="none" w:sz="0" w:space="0" w:color="auto"/>
        <w:bottom w:val="none" w:sz="0" w:space="0" w:color="auto"/>
        <w:right w:val="none" w:sz="0" w:space="0" w:color="auto"/>
      </w:divBdr>
    </w:div>
    <w:div w:id="1146624459">
      <w:bodyDiv w:val="1"/>
      <w:marLeft w:val="0"/>
      <w:marRight w:val="0"/>
      <w:marTop w:val="0"/>
      <w:marBottom w:val="0"/>
      <w:divBdr>
        <w:top w:val="none" w:sz="0" w:space="0" w:color="auto"/>
        <w:left w:val="none" w:sz="0" w:space="0" w:color="auto"/>
        <w:bottom w:val="none" w:sz="0" w:space="0" w:color="auto"/>
        <w:right w:val="none" w:sz="0" w:space="0" w:color="auto"/>
      </w:divBdr>
    </w:div>
    <w:div w:id="1174150649">
      <w:bodyDiv w:val="1"/>
      <w:marLeft w:val="0"/>
      <w:marRight w:val="0"/>
      <w:marTop w:val="0"/>
      <w:marBottom w:val="0"/>
      <w:divBdr>
        <w:top w:val="none" w:sz="0" w:space="0" w:color="auto"/>
        <w:left w:val="none" w:sz="0" w:space="0" w:color="auto"/>
        <w:bottom w:val="none" w:sz="0" w:space="0" w:color="auto"/>
        <w:right w:val="none" w:sz="0" w:space="0" w:color="auto"/>
      </w:divBdr>
    </w:div>
    <w:div w:id="1175416399">
      <w:bodyDiv w:val="1"/>
      <w:marLeft w:val="0"/>
      <w:marRight w:val="0"/>
      <w:marTop w:val="0"/>
      <w:marBottom w:val="0"/>
      <w:divBdr>
        <w:top w:val="none" w:sz="0" w:space="0" w:color="auto"/>
        <w:left w:val="none" w:sz="0" w:space="0" w:color="auto"/>
        <w:bottom w:val="none" w:sz="0" w:space="0" w:color="auto"/>
        <w:right w:val="none" w:sz="0" w:space="0" w:color="auto"/>
      </w:divBdr>
    </w:div>
    <w:div w:id="1192912190">
      <w:bodyDiv w:val="1"/>
      <w:marLeft w:val="0"/>
      <w:marRight w:val="0"/>
      <w:marTop w:val="0"/>
      <w:marBottom w:val="0"/>
      <w:divBdr>
        <w:top w:val="none" w:sz="0" w:space="0" w:color="auto"/>
        <w:left w:val="none" w:sz="0" w:space="0" w:color="auto"/>
        <w:bottom w:val="none" w:sz="0" w:space="0" w:color="auto"/>
        <w:right w:val="none" w:sz="0" w:space="0" w:color="auto"/>
      </w:divBdr>
    </w:div>
    <w:div w:id="1210073788">
      <w:bodyDiv w:val="1"/>
      <w:marLeft w:val="0"/>
      <w:marRight w:val="0"/>
      <w:marTop w:val="0"/>
      <w:marBottom w:val="0"/>
      <w:divBdr>
        <w:top w:val="none" w:sz="0" w:space="0" w:color="auto"/>
        <w:left w:val="none" w:sz="0" w:space="0" w:color="auto"/>
        <w:bottom w:val="none" w:sz="0" w:space="0" w:color="auto"/>
        <w:right w:val="none" w:sz="0" w:space="0" w:color="auto"/>
      </w:divBdr>
    </w:div>
    <w:div w:id="1227107251">
      <w:bodyDiv w:val="1"/>
      <w:marLeft w:val="0"/>
      <w:marRight w:val="0"/>
      <w:marTop w:val="0"/>
      <w:marBottom w:val="0"/>
      <w:divBdr>
        <w:top w:val="none" w:sz="0" w:space="0" w:color="auto"/>
        <w:left w:val="none" w:sz="0" w:space="0" w:color="auto"/>
        <w:bottom w:val="none" w:sz="0" w:space="0" w:color="auto"/>
        <w:right w:val="none" w:sz="0" w:space="0" w:color="auto"/>
      </w:divBdr>
    </w:div>
    <w:div w:id="1233157410">
      <w:bodyDiv w:val="1"/>
      <w:marLeft w:val="0"/>
      <w:marRight w:val="0"/>
      <w:marTop w:val="0"/>
      <w:marBottom w:val="0"/>
      <w:divBdr>
        <w:top w:val="none" w:sz="0" w:space="0" w:color="auto"/>
        <w:left w:val="none" w:sz="0" w:space="0" w:color="auto"/>
        <w:bottom w:val="none" w:sz="0" w:space="0" w:color="auto"/>
        <w:right w:val="none" w:sz="0" w:space="0" w:color="auto"/>
      </w:divBdr>
    </w:div>
    <w:div w:id="1246837913">
      <w:bodyDiv w:val="1"/>
      <w:marLeft w:val="0"/>
      <w:marRight w:val="0"/>
      <w:marTop w:val="0"/>
      <w:marBottom w:val="0"/>
      <w:divBdr>
        <w:top w:val="none" w:sz="0" w:space="0" w:color="auto"/>
        <w:left w:val="none" w:sz="0" w:space="0" w:color="auto"/>
        <w:bottom w:val="none" w:sz="0" w:space="0" w:color="auto"/>
        <w:right w:val="none" w:sz="0" w:space="0" w:color="auto"/>
      </w:divBdr>
    </w:div>
    <w:div w:id="1251475637">
      <w:bodyDiv w:val="1"/>
      <w:marLeft w:val="0"/>
      <w:marRight w:val="0"/>
      <w:marTop w:val="0"/>
      <w:marBottom w:val="0"/>
      <w:divBdr>
        <w:top w:val="none" w:sz="0" w:space="0" w:color="auto"/>
        <w:left w:val="none" w:sz="0" w:space="0" w:color="auto"/>
        <w:bottom w:val="none" w:sz="0" w:space="0" w:color="auto"/>
        <w:right w:val="none" w:sz="0" w:space="0" w:color="auto"/>
      </w:divBdr>
    </w:div>
    <w:div w:id="1266159033">
      <w:bodyDiv w:val="1"/>
      <w:marLeft w:val="0"/>
      <w:marRight w:val="0"/>
      <w:marTop w:val="0"/>
      <w:marBottom w:val="0"/>
      <w:divBdr>
        <w:top w:val="none" w:sz="0" w:space="0" w:color="auto"/>
        <w:left w:val="none" w:sz="0" w:space="0" w:color="auto"/>
        <w:bottom w:val="none" w:sz="0" w:space="0" w:color="auto"/>
        <w:right w:val="none" w:sz="0" w:space="0" w:color="auto"/>
      </w:divBdr>
    </w:div>
    <w:div w:id="1273974805">
      <w:bodyDiv w:val="1"/>
      <w:marLeft w:val="0"/>
      <w:marRight w:val="0"/>
      <w:marTop w:val="0"/>
      <w:marBottom w:val="0"/>
      <w:divBdr>
        <w:top w:val="none" w:sz="0" w:space="0" w:color="auto"/>
        <w:left w:val="none" w:sz="0" w:space="0" w:color="auto"/>
        <w:bottom w:val="none" w:sz="0" w:space="0" w:color="auto"/>
        <w:right w:val="none" w:sz="0" w:space="0" w:color="auto"/>
      </w:divBdr>
    </w:div>
    <w:div w:id="1299723014">
      <w:bodyDiv w:val="1"/>
      <w:marLeft w:val="0"/>
      <w:marRight w:val="0"/>
      <w:marTop w:val="0"/>
      <w:marBottom w:val="0"/>
      <w:divBdr>
        <w:top w:val="none" w:sz="0" w:space="0" w:color="auto"/>
        <w:left w:val="none" w:sz="0" w:space="0" w:color="auto"/>
        <w:bottom w:val="none" w:sz="0" w:space="0" w:color="auto"/>
        <w:right w:val="none" w:sz="0" w:space="0" w:color="auto"/>
      </w:divBdr>
    </w:div>
    <w:div w:id="1342703862">
      <w:bodyDiv w:val="1"/>
      <w:marLeft w:val="0"/>
      <w:marRight w:val="0"/>
      <w:marTop w:val="0"/>
      <w:marBottom w:val="0"/>
      <w:divBdr>
        <w:top w:val="none" w:sz="0" w:space="0" w:color="auto"/>
        <w:left w:val="none" w:sz="0" w:space="0" w:color="auto"/>
        <w:bottom w:val="none" w:sz="0" w:space="0" w:color="auto"/>
        <w:right w:val="none" w:sz="0" w:space="0" w:color="auto"/>
      </w:divBdr>
    </w:div>
    <w:div w:id="1420560511">
      <w:bodyDiv w:val="1"/>
      <w:marLeft w:val="0"/>
      <w:marRight w:val="0"/>
      <w:marTop w:val="0"/>
      <w:marBottom w:val="0"/>
      <w:divBdr>
        <w:top w:val="none" w:sz="0" w:space="0" w:color="auto"/>
        <w:left w:val="none" w:sz="0" w:space="0" w:color="auto"/>
        <w:bottom w:val="none" w:sz="0" w:space="0" w:color="auto"/>
        <w:right w:val="none" w:sz="0" w:space="0" w:color="auto"/>
      </w:divBdr>
    </w:div>
    <w:div w:id="1426534463">
      <w:bodyDiv w:val="1"/>
      <w:marLeft w:val="0"/>
      <w:marRight w:val="0"/>
      <w:marTop w:val="0"/>
      <w:marBottom w:val="0"/>
      <w:divBdr>
        <w:top w:val="none" w:sz="0" w:space="0" w:color="auto"/>
        <w:left w:val="none" w:sz="0" w:space="0" w:color="auto"/>
        <w:bottom w:val="none" w:sz="0" w:space="0" w:color="auto"/>
        <w:right w:val="none" w:sz="0" w:space="0" w:color="auto"/>
      </w:divBdr>
    </w:div>
    <w:div w:id="1450472640">
      <w:bodyDiv w:val="1"/>
      <w:marLeft w:val="0"/>
      <w:marRight w:val="0"/>
      <w:marTop w:val="0"/>
      <w:marBottom w:val="0"/>
      <w:divBdr>
        <w:top w:val="none" w:sz="0" w:space="0" w:color="auto"/>
        <w:left w:val="none" w:sz="0" w:space="0" w:color="auto"/>
        <w:bottom w:val="none" w:sz="0" w:space="0" w:color="auto"/>
        <w:right w:val="none" w:sz="0" w:space="0" w:color="auto"/>
      </w:divBdr>
    </w:div>
    <w:div w:id="1475174818">
      <w:bodyDiv w:val="1"/>
      <w:marLeft w:val="0"/>
      <w:marRight w:val="0"/>
      <w:marTop w:val="0"/>
      <w:marBottom w:val="0"/>
      <w:divBdr>
        <w:top w:val="none" w:sz="0" w:space="0" w:color="auto"/>
        <w:left w:val="none" w:sz="0" w:space="0" w:color="auto"/>
        <w:bottom w:val="none" w:sz="0" w:space="0" w:color="auto"/>
        <w:right w:val="none" w:sz="0" w:space="0" w:color="auto"/>
      </w:divBdr>
    </w:div>
    <w:div w:id="1498305691">
      <w:bodyDiv w:val="1"/>
      <w:marLeft w:val="0"/>
      <w:marRight w:val="0"/>
      <w:marTop w:val="0"/>
      <w:marBottom w:val="0"/>
      <w:divBdr>
        <w:top w:val="none" w:sz="0" w:space="0" w:color="auto"/>
        <w:left w:val="none" w:sz="0" w:space="0" w:color="auto"/>
        <w:bottom w:val="none" w:sz="0" w:space="0" w:color="auto"/>
        <w:right w:val="none" w:sz="0" w:space="0" w:color="auto"/>
      </w:divBdr>
    </w:div>
    <w:div w:id="1505586176">
      <w:bodyDiv w:val="1"/>
      <w:marLeft w:val="0"/>
      <w:marRight w:val="0"/>
      <w:marTop w:val="0"/>
      <w:marBottom w:val="0"/>
      <w:divBdr>
        <w:top w:val="none" w:sz="0" w:space="0" w:color="auto"/>
        <w:left w:val="none" w:sz="0" w:space="0" w:color="auto"/>
        <w:bottom w:val="none" w:sz="0" w:space="0" w:color="auto"/>
        <w:right w:val="none" w:sz="0" w:space="0" w:color="auto"/>
      </w:divBdr>
    </w:div>
    <w:div w:id="1531184995">
      <w:bodyDiv w:val="1"/>
      <w:marLeft w:val="0"/>
      <w:marRight w:val="0"/>
      <w:marTop w:val="0"/>
      <w:marBottom w:val="0"/>
      <w:divBdr>
        <w:top w:val="none" w:sz="0" w:space="0" w:color="auto"/>
        <w:left w:val="none" w:sz="0" w:space="0" w:color="auto"/>
        <w:bottom w:val="none" w:sz="0" w:space="0" w:color="auto"/>
        <w:right w:val="none" w:sz="0" w:space="0" w:color="auto"/>
      </w:divBdr>
    </w:div>
    <w:div w:id="1531265423">
      <w:bodyDiv w:val="1"/>
      <w:marLeft w:val="0"/>
      <w:marRight w:val="0"/>
      <w:marTop w:val="0"/>
      <w:marBottom w:val="0"/>
      <w:divBdr>
        <w:top w:val="none" w:sz="0" w:space="0" w:color="auto"/>
        <w:left w:val="none" w:sz="0" w:space="0" w:color="auto"/>
        <w:bottom w:val="none" w:sz="0" w:space="0" w:color="auto"/>
        <w:right w:val="none" w:sz="0" w:space="0" w:color="auto"/>
      </w:divBdr>
    </w:div>
    <w:div w:id="1542327532">
      <w:bodyDiv w:val="1"/>
      <w:marLeft w:val="0"/>
      <w:marRight w:val="0"/>
      <w:marTop w:val="0"/>
      <w:marBottom w:val="0"/>
      <w:divBdr>
        <w:top w:val="none" w:sz="0" w:space="0" w:color="auto"/>
        <w:left w:val="none" w:sz="0" w:space="0" w:color="auto"/>
        <w:bottom w:val="none" w:sz="0" w:space="0" w:color="auto"/>
        <w:right w:val="none" w:sz="0" w:space="0" w:color="auto"/>
      </w:divBdr>
    </w:div>
    <w:div w:id="1608542495">
      <w:bodyDiv w:val="1"/>
      <w:marLeft w:val="0"/>
      <w:marRight w:val="0"/>
      <w:marTop w:val="0"/>
      <w:marBottom w:val="0"/>
      <w:divBdr>
        <w:top w:val="none" w:sz="0" w:space="0" w:color="auto"/>
        <w:left w:val="none" w:sz="0" w:space="0" w:color="auto"/>
        <w:bottom w:val="none" w:sz="0" w:space="0" w:color="auto"/>
        <w:right w:val="none" w:sz="0" w:space="0" w:color="auto"/>
      </w:divBdr>
    </w:div>
    <w:div w:id="1621956051">
      <w:bodyDiv w:val="1"/>
      <w:marLeft w:val="0"/>
      <w:marRight w:val="0"/>
      <w:marTop w:val="0"/>
      <w:marBottom w:val="0"/>
      <w:divBdr>
        <w:top w:val="none" w:sz="0" w:space="0" w:color="auto"/>
        <w:left w:val="none" w:sz="0" w:space="0" w:color="auto"/>
        <w:bottom w:val="none" w:sz="0" w:space="0" w:color="auto"/>
        <w:right w:val="none" w:sz="0" w:space="0" w:color="auto"/>
      </w:divBdr>
    </w:div>
    <w:div w:id="1626693546">
      <w:bodyDiv w:val="1"/>
      <w:marLeft w:val="0"/>
      <w:marRight w:val="0"/>
      <w:marTop w:val="0"/>
      <w:marBottom w:val="0"/>
      <w:divBdr>
        <w:top w:val="none" w:sz="0" w:space="0" w:color="auto"/>
        <w:left w:val="none" w:sz="0" w:space="0" w:color="auto"/>
        <w:bottom w:val="none" w:sz="0" w:space="0" w:color="auto"/>
        <w:right w:val="none" w:sz="0" w:space="0" w:color="auto"/>
      </w:divBdr>
    </w:div>
    <w:div w:id="1651130306">
      <w:bodyDiv w:val="1"/>
      <w:marLeft w:val="0"/>
      <w:marRight w:val="0"/>
      <w:marTop w:val="0"/>
      <w:marBottom w:val="0"/>
      <w:divBdr>
        <w:top w:val="none" w:sz="0" w:space="0" w:color="auto"/>
        <w:left w:val="none" w:sz="0" w:space="0" w:color="auto"/>
        <w:bottom w:val="none" w:sz="0" w:space="0" w:color="auto"/>
        <w:right w:val="none" w:sz="0" w:space="0" w:color="auto"/>
      </w:divBdr>
    </w:div>
    <w:div w:id="1672440509">
      <w:bodyDiv w:val="1"/>
      <w:marLeft w:val="0"/>
      <w:marRight w:val="0"/>
      <w:marTop w:val="0"/>
      <w:marBottom w:val="0"/>
      <w:divBdr>
        <w:top w:val="none" w:sz="0" w:space="0" w:color="auto"/>
        <w:left w:val="none" w:sz="0" w:space="0" w:color="auto"/>
        <w:bottom w:val="none" w:sz="0" w:space="0" w:color="auto"/>
        <w:right w:val="none" w:sz="0" w:space="0" w:color="auto"/>
      </w:divBdr>
    </w:div>
    <w:div w:id="1684673493">
      <w:bodyDiv w:val="1"/>
      <w:marLeft w:val="0"/>
      <w:marRight w:val="0"/>
      <w:marTop w:val="0"/>
      <w:marBottom w:val="0"/>
      <w:divBdr>
        <w:top w:val="none" w:sz="0" w:space="0" w:color="auto"/>
        <w:left w:val="none" w:sz="0" w:space="0" w:color="auto"/>
        <w:bottom w:val="none" w:sz="0" w:space="0" w:color="auto"/>
        <w:right w:val="none" w:sz="0" w:space="0" w:color="auto"/>
      </w:divBdr>
    </w:div>
    <w:div w:id="1726484917">
      <w:bodyDiv w:val="1"/>
      <w:marLeft w:val="0"/>
      <w:marRight w:val="0"/>
      <w:marTop w:val="0"/>
      <w:marBottom w:val="0"/>
      <w:divBdr>
        <w:top w:val="none" w:sz="0" w:space="0" w:color="auto"/>
        <w:left w:val="none" w:sz="0" w:space="0" w:color="auto"/>
        <w:bottom w:val="none" w:sz="0" w:space="0" w:color="auto"/>
        <w:right w:val="none" w:sz="0" w:space="0" w:color="auto"/>
      </w:divBdr>
    </w:div>
    <w:div w:id="1791584041">
      <w:bodyDiv w:val="1"/>
      <w:marLeft w:val="0"/>
      <w:marRight w:val="0"/>
      <w:marTop w:val="0"/>
      <w:marBottom w:val="0"/>
      <w:divBdr>
        <w:top w:val="none" w:sz="0" w:space="0" w:color="auto"/>
        <w:left w:val="none" w:sz="0" w:space="0" w:color="auto"/>
        <w:bottom w:val="none" w:sz="0" w:space="0" w:color="auto"/>
        <w:right w:val="none" w:sz="0" w:space="0" w:color="auto"/>
      </w:divBdr>
    </w:div>
    <w:div w:id="1860318698">
      <w:bodyDiv w:val="1"/>
      <w:marLeft w:val="0"/>
      <w:marRight w:val="0"/>
      <w:marTop w:val="0"/>
      <w:marBottom w:val="0"/>
      <w:divBdr>
        <w:top w:val="none" w:sz="0" w:space="0" w:color="auto"/>
        <w:left w:val="none" w:sz="0" w:space="0" w:color="auto"/>
        <w:bottom w:val="none" w:sz="0" w:space="0" w:color="auto"/>
        <w:right w:val="none" w:sz="0" w:space="0" w:color="auto"/>
      </w:divBdr>
    </w:div>
    <w:div w:id="1865899728">
      <w:bodyDiv w:val="1"/>
      <w:marLeft w:val="0"/>
      <w:marRight w:val="0"/>
      <w:marTop w:val="0"/>
      <w:marBottom w:val="0"/>
      <w:divBdr>
        <w:top w:val="none" w:sz="0" w:space="0" w:color="auto"/>
        <w:left w:val="none" w:sz="0" w:space="0" w:color="auto"/>
        <w:bottom w:val="none" w:sz="0" w:space="0" w:color="auto"/>
        <w:right w:val="none" w:sz="0" w:space="0" w:color="auto"/>
      </w:divBdr>
    </w:div>
    <w:div w:id="1895659442">
      <w:bodyDiv w:val="1"/>
      <w:marLeft w:val="0"/>
      <w:marRight w:val="0"/>
      <w:marTop w:val="0"/>
      <w:marBottom w:val="0"/>
      <w:divBdr>
        <w:top w:val="none" w:sz="0" w:space="0" w:color="auto"/>
        <w:left w:val="none" w:sz="0" w:space="0" w:color="auto"/>
        <w:bottom w:val="none" w:sz="0" w:space="0" w:color="auto"/>
        <w:right w:val="none" w:sz="0" w:space="0" w:color="auto"/>
      </w:divBdr>
    </w:div>
    <w:div w:id="1911695638">
      <w:bodyDiv w:val="1"/>
      <w:marLeft w:val="0"/>
      <w:marRight w:val="0"/>
      <w:marTop w:val="0"/>
      <w:marBottom w:val="0"/>
      <w:divBdr>
        <w:top w:val="none" w:sz="0" w:space="0" w:color="auto"/>
        <w:left w:val="none" w:sz="0" w:space="0" w:color="auto"/>
        <w:bottom w:val="none" w:sz="0" w:space="0" w:color="auto"/>
        <w:right w:val="none" w:sz="0" w:space="0" w:color="auto"/>
      </w:divBdr>
    </w:div>
    <w:div w:id="1936010034">
      <w:bodyDiv w:val="1"/>
      <w:marLeft w:val="0"/>
      <w:marRight w:val="0"/>
      <w:marTop w:val="0"/>
      <w:marBottom w:val="0"/>
      <w:divBdr>
        <w:top w:val="none" w:sz="0" w:space="0" w:color="auto"/>
        <w:left w:val="none" w:sz="0" w:space="0" w:color="auto"/>
        <w:bottom w:val="none" w:sz="0" w:space="0" w:color="auto"/>
        <w:right w:val="none" w:sz="0" w:space="0" w:color="auto"/>
      </w:divBdr>
    </w:div>
    <w:div w:id="1949116293">
      <w:bodyDiv w:val="1"/>
      <w:marLeft w:val="0"/>
      <w:marRight w:val="0"/>
      <w:marTop w:val="0"/>
      <w:marBottom w:val="0"/>
      <w:divBdr>
        <w:top w:val="none" w:sz="0" w:space="0" w:color="auto"/>
        <w:left w:val="none" w:sz="0" w:space="0" w:color="auto"/>
        <w:bottom w:val="none" w:sz="0" w:space="0" w:color="auto"/>
        <w:right w:val="none" w:sz="0" w:space="0" w:color="auto"/>
      </w:divBdr>
    </w:div>
    <w:div w:id="1970353813">
      <w:bodyDiv w:val="1"/>
      <w:marLeft w:val="0"/>
      <w:marRight w:val="0"/>
      <w:marTop w:val="0"/>
      <w:marBottom w:val="0"/>
      <w:divBdr>
        <w:top w:val="none" w:sz="0" w:space="0" w:color="auto"/>
        <w:left w:val="none" w:sz="0" w:space="0" w:color="auto"/>
        <w:bottom w:val="none" w:sz="0" w:space="0" w:color="auto"/>
        <w:right w:val="none" w:sz="0" w:space="0" w:color="auto"/>
      </w:divBdr>
    </w:div>
    <w:div w:id="2047607021">
      <w:bodyDiv w:val="1"/>
      <w:marLeft w:val="0"/>
      <w:marRight w:val="0"/>
      <w:marTop w:val="0"/>
      <w:marBottom w:val="0"/>
      <w:divBdr>
        <w:top w:val="none" w:sz="0" w:space="0" w:color="auto"/>
        <w:left w:val="none" w:sz="0" w:space="0" w:color="auto"/>
        <w:bottom w:val="none" w:sz="0" w:space="0" w:color="auto"/>
        <w:right w:val="none" w:sz="0" w:space="0" w:color="auto"/>
      </w:divBdr>
    </w:div>
    <w:div w:id="2119324978">
      <w:bodyDiv w:val="1"/>
      <w:marLeft w:val="0"/>
      <w:marRight w:val="0"/>
      <w:marTop w:val="0"/>
      <w:marBottom w:val="0"/>
      <w:divBdr>
        <w:top w:val="none" w:sz="0" w:space="0" w:color="auto"/>
        <w:left w:val="none" w:sz="0" w:space="0" w:color="auto"/>
        <w:bottom w:val="none" w:sz="0" w:space="0" w:color="auto"/>
        <w:right w:val="none" w:sz="0" w:space="0" w:color="auto"/>
      </w:divBdr>
    </w:div>
    <w:div w:id="2126847105">
      <w:bodyDiv w:val="1"/>
      <w:marLeft w:val="0"/>
      <w:marRight w:val="0"/>
      <w:marTop w:val="0"/>
      <w:marBottom w:val="0"/>
      <w:divBdr>
        <w:top w:val="none" w:sz="0" w:space="0" w:color="auto"/>
        <w:left w:val="none" w:sz="0" w:space="0" w:color="auto"/>
        <w:bottom w:val="none" w:sz="0" w:space="0" w:color="auto"/>
        <w:right w:val="none" w:sz="0" w:space="0" w:color="auto"/>
      </w:divBdr>
    </w:div>
    <w:div w:id="213971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5.png"/><Relationship Id="rId21" Type="http://schemas.openxmlformats.org/officeDocument/2006/relationships/image" Target="media/image12.png"/><Relationship Id="rId34" Type="http://schemas.openxmlformats.org/officeDocument/2006/relationships/hyperlink" Target="https://www.biorxiv.org/content/10.1101/2022.07.22.501157v1.full"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hyperlink" Target="https://www.biorxiv.org/content/10.1101/2022.07.22.501157v1.full" TargetMode="External"/><Relationship Id="rId37" Type="http://schemas.openxmlformats.org/officeDocument/2006/relationships/image" Target="media/image23.png"/><Relationship Id="rId40" Type="http://schemas.openxmlformats.org/officeDocument/2006/relationships/image" Target="media/image26.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2.png"/><Relationship Id="rId10" Type="http://schemas.openxmlformats.org/officeDocument/2006/relationships/image" Target="media/image1.jpe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chart" Target="charts/chart1.xml"/><Relationship Id="rId35" Type="http://schemas.openxmlformats.org/officeDocument/2006/relationships/hyperlink" Target="https://www.biorxiv.org/content/10.1101/2022.07.22.501157v1.full"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www.biorxiv.org/content/10.1101/2022.07.22.501157v1.full" TargetMode="External"/><Relationship Id="rId38" Type="http://schemas.openxmlformats.org/officeDocument/2006/relationships/image" Target="media/image24.png"/></Relationships>
</file>

<file path=word/charts/_rels/chart1.xml.rels><?xml version="1.0" encoding="UTF-8" standalone="yes"?>
<Relationships xmlns="http://schemas.openxmlformats.org/package/2006/relationships"><Relationship Id="rId3" Type="http://schemas.openxmlformats.org/officeDocument/2006/relationships/oleObject" Target="file:////Users\malaynaunkel\Desktop\Chen%20Lab\RNA%20sequencing\RNA%20seq%20results\from%20OUHSC\sample%20info.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RNA content vs RNA integrity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'Chen (WC-11702)_Sample QC_6-27-'!$C$28</c:f>
              <c:strCache>
                <c:ptCount val="1"/>
                <c:pt idx="0">
                  <c:v>Nucleic Acid(ng/uL)</c:v>
                </c:pt>
              </c:strCache>
            </c:strRef>
          </c:tx>
          <c:spPr>
            <a:solidFill>
              <a:schemeClr val="accent1"/>
            </a:solidFill>
            <a:ln w="19050">
              <a:noFill/>
            </a:ln>
            <a:effectLst/>
          </c:spPr>
          <c:invertIfNegative val="0"/>
          <c:cat>
            <c:strRef>
              <c:f>'Chen (WC-11702)_Sample QC_6-27-'!$B$29:$B$46</c:f>
              <c:strCache>
                <c:ptCount val="18"/>
                <c:pt idx="0">
                  <c:v>GC24-1</c:v>
                </c:pt>
                <c:pt idx="1">
                  <c:v>PBS24-1</c:v>
                </c:pt>
                <c:pt idx="2">
                  <c:v>GC24-2</c:v>
                </c:pt>
                <c:pt idx="3">
                  <c:v>PBS24-2</c:v>
                </c:pt>
                <c:pt idx="4">
                  <c:v>GC24-3</c:v>
                </c:pt>
                <c:pt idx="5">
                  <c:v>PBS24-3</c:v>
                </c:pt>
                <c:pt idx="6">
                  <c:v>GC48-1</c:v>
                </c:pt>
                <c:pt idx="7">
                  <c:v>PBS48-1</c:v>
                </c:pt>
                <c:pt idx="8">
                  <c:v>GC48-2</c:v>
                </c:pt>
                <c:pt idx="9">
                  <c:v>PBS48-2</c:v>
                </c:pt>
                <c:pt idx="10">
                  <c:v>GC48-3</c:v>
                </c:pt>
                <c:pt idx="11">
                  <c:v>PBS48-3</c:v>
                </c:pt>
                <c:pt idx="12">
                  <c:v>GC72-1</c:v>
                </c:pt>
                <c:pt idx="13">
                  <c:v>PBS72-1</c:v>
                </c:pt>
                <c:pt idx="14">
                  <c:v>GC72-2</c:v>
                </c:pt>
                <c:pt idx="15">
                  <c:v>PBS72-2</c:v>
                </c:pt>
                <c:pt idx="16">
                  <c:v>GC72-3</c:v>
                </c:pt>
                <c:pt idx="17">
                  <c:v>PBS72-3</c:v>
                </c:pt>
              </c:strCache>
            </c:strRef>
          </c:cat>
          <c:val>
            <c:numRef>
              <c:f>'Chen (WC-11702)_Sample QC_6-27-'!$C$29:$C$46</c:f>
              <c:numCache>
                <c:formatCode>General</c:formatCode>
                <c:ptCount val="18"/>
                <c:pt idx="0">
                  <c:v>133.982</c:v>
                </c:pt>
                <c:pt idx="1">
                  <c:v>79.613</c:v>
                </c:pt>
                <c:pt idx="2">
                  <c:v>156.554</c:v>
                </c:pt>
                <c:pt idx="3">
                  <c:v>292.79300000000001</c:v>
                </c:pt>
                <c:pt idx="4">
                  <c:v>109.14</c:v>
                </c:pt>
                <c:pt idx="5">
                  <c:v>115.756</c:v>
                </c:pt>
                <c:pt idx="6">
                  <c:v>201.06700000000001</c:v>
                </c:pt>
                <c:pt idx="7">
                  <c:v>42.093000000000004</c:v>
                </c:pt>
                <c:pt idx="8">
                  <c:v>88.63</c:v>
                </c:pt>
                <c:pt idx="9">
                  <c:v>181.21</c:v>
                </c:pt>
                <c:pt idx="10">
                  <c:v>183.79</c:v>
                </c:pt>
                <c:pt idx="11">
                  <c:v>97.316999999999993</c:v>
                </c:pt>
                <c:pt idx="12">
                  <c:v>98.497</c:v>
                </c:pt>
                <c:pt idx="13">
                  <c:v>180.90700000000001</c:v>
                </c:pt>
                <c:pt idx="14">
                  <c:v>186.21600000000001</c:v>
                </c:pt>
                <c:pt idx="15">
                  <c:v>207.173</c:v>
                </c:pt>
                <c:pt idx="16">
                  <c:v>111.179</c:v>
                </c:pt>
                <c:pt idx="17">
                  <c:v>147.77600000000001</c:v>
                </c:pt>
              </c:numCache>
            </c:numRef>
          </c:val>
          <c:extLst>
            <c:ext xmlns:c16="http://schemas.microsoft.com/office/drawing/2014/chart" uri="{C3380CC4-5D6E-409C-BE32-E72D297353CC}">
              <c16:uniqueId val="{00000000-AAF1-7847-8E1D-E48B4A67C6A5}"/>
            </c:ext>
          </c:extLst>
        </c:ser>
        <c:dLbls>
          <c:showLegendKey val="0"/>
          <c:showVal val="0"/>
          <c:showCatName val="0"/>
          <c:showSerName val="0"/>
          <c:showPercent val="0"/>
          <c:showBubbleSize val="0"/>
        </c:dLbls>
        <c:gapWidth val="150"/>
        <c:axId val="753557408"/>
        <c:axId val="1649291455"/>
      </c:barChart>
      <c:lineChart>
        <c:grouping val="standard"/>
        <c:varyColors val="0"/>
        <c:ser>
          <c:idx val="1"/>
          <c:order val="1"/>
          <c:tx>
            <c:strRef>
              <c:f>'Chen (WC-11702)_Sample QC_6-27-'!$D$28</c:f>
              <c:strCache>
                <c:ptCount val="1"/>
                <c:pt idx="0">
                  <c:v>RNA Integrity Number (RIN):</c:v>
                </c:pt>
              </c:strCache>
            </c:strRef>
          </c:tx>
          <c:spPr>
            <a:ln w="19050" cap="rnd">
              <a:solidFill>
                <a:schemeClr val="accent2"/>
              </a:solidFill>
              <a:round/>
            </a:ln>
            <a:effectLst/>
          </c:spPr>
          <c:marker>
            <c:symbol val="none"/>
          </c:marker>
          <c:cat>
            <c:strRef>
              <c:f>'Chen (WC-11702)_Sample QC_6-27-'!$B$29:$B$46</c:f>
              <c:strCache>
                <c:ptCount val="18"/>
                <c:pt idx="0">
                  <c:v>GC24-1</c:v>
                </c:pt>
                <c:pt idx="1">
                  <c:v>PBS24-1</c:v>
                </c:pt>
                <c:pt idx="2">
                  <c:v>GC24-2</c:v>
                </c:pt>
                <c:pt idx="3">
                  <c:v>PBS24-2</c:v>
                </c:pt>
                <c:pt idx="4">
                  <c:v>GC24-3</c:v>
                </c:pt>
                <c:pt idx="5">
                  <c:v>PBS24-3</c:v>
                </c:pt>
                <c:pt idx="6">
                  <c:v>GC48-1</c:v>
                </c:pt>
                <c:pt idx="7">
                  <c:v>PBS48-1</c:v>
                </c:pt>
                <c:pt idx="8">
                  <c:v>GC48-2</c:v>
                </c:pt>
                <c:pt idx="9">
                  <c:v>PBS48-2</c:v>
                </c:pt>
                <c:pt idx="10">
                  <c:v>GC48-3</c:v>
                </c:pt>
                <c:pt idx="11">
                  <c:v>PBS48-3</c:v>
                </c:pt>
                <c:pt idx="12">
                  <c:v>GC72-1</c:v>
                </c:pt>
                <c:pt idx="13">
                  <c:v>PBS72-1</c:v>
                </c:pt>
                <c:pt idx="14">
                  <c:v>GC72-2</c:v>
                </c:pt>
                <c:pt idx="15">
                  <c:v>PBS72-2</c:v>
                </c:pt>
                <c:pt idx="16">
                  <c:v>GC72-3</c:v>
                </c:pt>
                <c:pt idx="17">
                  <c:v>PBS72-3</c:v>
                </c:pt>
              </c:strCache>
            </c:strRef>
          </c:cat>
          <c:val>
            <c:numRef>
              <c:f>'Chen (WC-11702)_Sample QC_6-27-'!$D$29:$D$46</c:f>
              <c:numCache>
                <c:formatCode>General</c:formatCode>
                <c:ptCount val="18"/>
                <c:pt idx="0">
                  <c:v>4.2</c:v>
                </c:pt>
                <c:pt idx="1">
                  <c:v>3</c:v>
                </c:pt>
                <c:pt idx="2">
                  <c:v>8.8000000000000007</c:v>
                </c:pt>
                <c:pt idx="3">
                  <c:v>4.2</c:v>
                </c:pt>
                <c:pt idx="4">
                  <c:v>7.4</c:v>
                </c:pt>
                <c:pt idx="5">
                  <c:v>6.8</c:v>
                </c:pt>
                <c:pt idx="6">
                  <c:v>3.5</c:v>
                </c:pt>
                <c:pt idx="7">
                  <c:v>8.1999999999999993</c:v>
                </c:pt>
                <c:pt idx="8">
                  <c:v>4.5</c:v>
                </c:pt>
                <c:pt idx="9">
                  <c:v>3.6</c:v>
                </c:pt>
                <c:pt idx="10">
                  <c:v>8.6999999999999993</c:v>
                </c:pt>
                <c:pt idx="11">
                  <c:v>8.1</c:v>
                </c:pt>
                <c:pt idx="12">
                  <c:v>8.9</c:v>
                </c:pt>
                <c:pt idx="13">
                  <c:v>3.3</c:v>
                </c:pt>
                <c:pt idx="14">
                  <c:v>8.1</c:v>
                </c:pt>
                <c:pt idx="15">
                  <c:v>8.9</c:v>
                </c:pt>
                <c:pt idx="16">
                  <c:v>4.7</c:v>
                </c:pt>
                <c:pt idx="17">
                  <c:v>3.7</c:v>
                </c:pt>
              </c:numCache>
            </c:numRef>
          </c:val>
          <c:smooth val="0"/>
          <c:extLst>
            <c:ext xmlns:c16="http://schemas.microsoft.com/office/drawing/2014/chart" uri="{C3380CC4-5D6E-409C-BE32-E72D297353CC}">
              <c16:uniqueId val="{00000001-AAF1-7847-8E1D-E48B4A67C6A5}"/>
            </c:ext>
          </c:extLst>
        </c:ser>
        <c:dLbls>
          <c:showLegendKey val="0"/>
          <c:showVal val="0"/>
          <c:showCatName val="0"/>
          <c:showSerName val="0"/>
          <c:showPercent val="0"/>
          <c:showBubbleSize val="0"/>
        </c:dLbls>
        <c:marker val="1"/>
        <c:smooth val="0"/>
        <c:axId val="1684133151"/>
        <c:axId val="1684131023"/>
      </c:lineChart>
      <c:catAx>
        <c:axId val="753557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9291455"/>
        <c:crosses val="autoZero"/>
        <c:auto val="1"/>
        <c:lblAlgn val="ctr"/>
        <c:lblOffset val="100"/>
        <c:noMultiLvlLbl val="0"/>
      </c:catAx>
      <c:valAx>
        <c:axId val="16492914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3557408"/>
        <c:crosses val="autoZero"/>
        <c:crossBetween val="between"/>
      </c:valAx>
      <c:valAx>
        <c:axId val="1684131023"/>
        <c:scaling>
          <c:orientation val="minMax"/>
        </c:scaling>
        <c:delete val="0"/>
        <c:axPos val="r"/>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84133151"/>
        <c:crosses val="max"/>
        <c:crossBetween val="between"/>
      </c:valAx>
      <c:catAx>
        <c:axId val="1684133151"/>
        <c:scaling>
          <c:orientation val="minMax"/>
        </c:scaling>
        <c:delete val="1"/>
        <c:axPos val="b"/>
        <c:numFmt formatCode="General" sourceLinked="1"/>
        <c:majorTickMark val="out"/>
        <c:minorTickMark val="none"/>
        <c:tickLblPos val="nextTo"/>
        <c:crossAx val="1684131023"/>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Bal19</b:Tag>
    <b:SourceType>BookSection</b:SourceType>
    <b:Guid>{EC0D4E79-DAFC-FE44-975F-CA899BEA4C9D}</b:Guid>
    <b:Author>
      <b:Author>
        <b:NameList>
          <b:Person>
            <b:Last>Esha Bala</b:Last>
            <b:First>Siddhartha</b:First>
            <b:Middle>Singha and Sanjukta Patra</b:Middle>
          </b:Person>
        </b:NameList>
      </b:Author>
    </b:Author>
    <b:Title>Ch 25</b:Title>
    <b:Year>2019</b:Year>
    <b:Pages>567-588</b:Pages>
    <b:BookTitle>Natural Polysaccharides in Drug Delivery and Biomedical Applications</b:BookTitle>
    <b:Publisher>Academic Press</b:Publisher>
    <b:RefOrder>1</b:RefOrder>
  </b:Source>
  <b:Source>
    <b:Tag>Zho15</b:Tag>
    <b:SourceType>JournalArticle</b:SourceType>
    <b:Guid>{FAD9D292-3483-3645-A153-19DDC718F481}</b:Guid>
    <b:Title>InCVAX – A novel strategy for treatment of late-stage, metastatic cancers through photoimmunotherapy induced tumor-specific immunity</b:Title>
    <b:Year>2015</b:Year>
    <b:Author>
      <b:Author>
        <b:NameList>
          <b:Person>
            <b:Last>Zhou</b:Last>
            <b:First>et</b:First>
            <b:Middle>al</b:Middle>
          </b:Person>
        </b:NameList>
      </b:Author>
    </b:Author>
    <b:JournalName>Cancer Letters</b:JournalName>
    <b:Pages>169-177</b:Pages>
    <b:RefOrder>2</b:RefOrder>
  </b:Source>
  <b:Source>
    <b:Tag>CDC22</b:Tag>
    <b:SourceType>InternetSite</b:SourceType>
    <b:Guid>{4FBAEF3B-86A8-0444-8575-62BE16CA2069}</b:Guid>
    <b:Title>Adjuvants and Vaccines</b:Title>
    <b:Year>2022</b:Year>
    <b:Author>
      <b:Author>
        <b:Corporate>CDC</b:Corporate>
      </b:Author>
    </b:Author>
    <b:InternetSiteTitle>CDC</b:InternetSiteTitle>
    <b:URL>https://www.cdc.gov/vaccinesafety/concerns/adjuvants.html</b:URL>
    <b:Month>Sep</b:Month>
    <b:Day>27</b:Day>
    <b:RefOrder>4</b:RefOrder>
  </b:Source>
  <b:Source>
    <b:Tag>Zha18</b:Tag>
    <b:SourceType>JournalArticle</b:SourceType>
    <b:Guid>{F81D70A0-BF75-5F40-9BDB-DABC948D6245}</b:Guid>
    <b:Author>
      <b:Author>
        <b:NameList>
          <b:Person>
            <b:Last>Zhao</b:Last>
            <b:First>et</b:First>
            <b:Middle>al</b:Middle>
          </b:Person>
        </b:NameList>
      </b:Author>
    </b:Author>
    <b:Title>Biomedical Applications of Chitosan and its Derivative Nanoparticles</b:Title>
    <b:JournalName>Polymers</b:JournalName>
    <b:Year>2018</b:Year>
    <b:Pages>462</b:Pages>
    <b:RefOrder>5</b:RefOrder>
  </b:Source>
  <b:Source>
    <b:Tag>Car16</b:Tag>
    <b:SourceType>JournalArticle</b:SourceType>
    <b:Guid>{E6BE6B65-EE1A-994E-A1D5-E9262F0AB454}</b:Guid>
    <b:Author>
      <b:Author>
        <b:NameList>
          <b:Person>
            <b:Last>Carroll</b:Last>
            <b:First>et</b:First>
            <b:Middle>al</b:Middle>
          </b:Person>
        </b:NameList>
      </b:Author>
    </b:Author>
    <b:Title>Th Vaccine Adjuvant Chitosan Promotes Cellular Immunity vis DNA Sensor cGAS-STING-Dependent Induction of Type I Interferons</b:Title>
    <b:JournalName>Immunity</b:JournalName>
    <b:Year>2016</b:Year>
    <b:Pages>597-608</b:Pages>
    <b:RefOrder>6</b:RefOrder>
  </b:Source>
  <b:Source>
    <b:Tag>Son09</b:Tag>
    <b:SourceType>JournalArticle</b:SourceType>
    <b:Guid>{7A30225E-22A5-4142-8149-51731EB1465E}</b:Guid>
    <b:Author>
      <b:Author>
        <b:NameList>
          <b:Person>
            <b:Last>Song</b:Last>
            <b:First>et</b:First>
            <b:Middle>al</b:Middle>
          </b:Person>
        </b:NameList>
      </b:Author>
    </b:Author>
    <b:Title>Glycated chitosan as a new non-toxic immunological stimulant</b:Title>
    <b:JournalName>Immunopharmacology and immunotoxicology</b:JournalName>
    <b:Year>2009</b:Year>
    <b:Pages>202-208</b:Pages>
    <b:RefOrder>7</b:RefOrder>
  </b:Source>
  <b:Source>
    <b:Tag>Hoo22</b:Tag>
    <b:SourceType>JournalArticle</b:SourceType>
    <b:Guid>{3D386DF5-C3F4-4449-AC70-67E63F36FDCD}</b:Guid>
    <b:Author>
      <b:Author>
        <b:NameList>
          <b:Person>
            <b:Last>Hoover</b:Last>
            <b:First>et</b:First>
            <b:Middle>al</b:Middle>
          </b:Person>
        </b:NameList>
      </b:Author>
    </b:Author>
    <b:Title>A novel biopolymer synergizes type I IFN and IL-1β production through STING</b:Title>
    <b:JournalName>bioRxiv</b:JournalName>
    <b:Year>2022</b:Year>
    <b:RefOrder>8</b:RefOrder>
  </b:Source>
  <b:Source>
    <b:Tag>NIH21</b:Tag>
    <b:SourceType>InternetSite</b:SourceType>
    <b:Guid>{88305789-22DE-904B-B28B-B13AE61BF7F9}</b:Guid>
    <b:Title>What is Cancer?</b:Title>
    <b:Year>2021</b:Year>
    <b:Author>
      <b:Author>
        <b:Corporate>NIH</b:Corporate>
      </b:Author>
    </b:Author>
    <b:InternetSiteTitle>National Cancer Institute</b:InternetSiteTitle>
    <b:URL>https://www.cancer.gov/about-cancer/understanding/what-is-cancer</b:URL>
    <b:Month>October</b:Month>
    <b:Day>11</b:Day>
    <b:RefOrder>10</b:RefOrder>
  </b:Source>
  <b:Source>
    <b:Tag>Kim22</b:Tag>
    <b:SourceType>JournalArticle</b:SourceType>
    <b:Guid>{8DDDFD5D-1227-7447-AA47-BD86182E5C8C}</b:Guid>
    <b:Author>
      <b:Author>
        <b:NameList>
          <b:Person>
            <b:Last>Cho</b:Last>
            <b:First>Kim</b:First>
            <b:Middle>and</b:Middle>
          </b:Person>
        </b:NameList>
      </b:Author>
    </b:Author>
    <b:Title>The Evasion Mechanisms of Cancer Immunity and Drug Intervention in the Tumor Microenvironment</b:Title>
    <b:JournalName>Frontiers in pharmacology</b:JournalName>
    <b:Year>2022</b:Year>
    <b:RefOrder>11</b:RefOrder>
  </b:Source>
  <b:Source>
    <b:Tag>Dil19</b:Tag>
    <b:SourceType>JournalArticle</b:SourceType>
    <b:Guid>{E692B128-1C5B-8C48-A0CF-AF7D64556D26}</b:Guid>
    <b:Title>Are 90% of deaths from cancer caused by metastases?</b:Title>
    <b:URL>https://www.ncbi.nlm.nih.gov/pmc/articles/PMC6745820/</b:URL>
    <b:Year>2019</b:Year>
    <b:Author>
      <b:Author>
        <b:NameList>
          <b:Person>
            <b:Last>Dillekas</b:Last>
            <b:First>et</b:First>
            <b:Middle>al</b:Middle>
          </b:Person>
        </b:NameList>
      </b:Author>
    </b:Author>
    <b:JournalName>Cancer medicine</b:JournalName>
    <b:Pages>5574-5576</b:Pages>
    <b:RefOrder>12</b:RefOrder>
  </b:Source>
  <b:Source>
    <b:Tag>Vat19</b:Tag>
    <b:SourceType>JournalArticle</b:SourceType>
    <b:Guid>{E47D70E2-A8C6-9141-AC99-80773FEA95E9}</b:Guid>
    <b:Author>
      <b:Author>
        <b:NameList>
          <b:Person>
            <b:Last>Vatner</b:Last>
            <b:First>et</b:First>
            <b:Middle>al</b:Middle>
          </b:Person>
        </b:NameList>
      </b:Author>
    </b:Author>
    <b:Title>STING, DCs, and the link between innate and adaptive tumor immunity</b:Title>
    <b:JournalName>Molecular Immunology</b:JournalName>
    <b:Year>2019</b:Year>
    <b:Pages>13-23</b:Pages>
    <b:RefOrder>13</b:RefOrder>
  </b:Source>
  <b:Source>
    <b:Tag>Lie11</b:Tag>
    <b:SourceType>JournalArticle</b:SourceType>
    <b:Guid>{8B973FA0-50DA-4849-B424-42F86D24BB87}</b:Guid>
    <b:Author>
      <b:Author>
        <b:NameList>
          <b:Person>
            <b:Last>Li</b:Last>
            <b:First>et</b:First>
            <b:Middle>al</b:Middle>
          </b:Person>
        </b:NameList>
      </b:Author>
    </b:Author>
    <b:Title>Preliminary safety and efficacy results of laser immunotherapy for the treatment of metastatic breast cancer patients.</b:Title>
    <b:JournalName>Photochemical * photobiological sciences: Official journal of the European Photochemistry Association and the European Society for Photobiology</b:JournalName>
    <b:Year>2011</b:Year>
    <b:Pages>817-821</b:Pages>
    <b:RefOrder>9</b:RefOrder>
  </b:Source>
  <b:Source>
    <b:Tag>Nay06</b:Tag>
    <b:SourceType>JournalArticle</b:SourceType>
    <b:Guid>{17B12352-BD0D-D74D-AA34-CEB57D4BCD68}</b:Guid>
    <b:Author>
      <b:Author>
        <b:NameList>
          <b:Person>
            <b:Last>Naylor</b:Last>
            <b:First>et</b:First>
            <b:Middle>al</b:Middle>
          </b:Person>
        </b:NameList>
      </b:Author>
    </b:Author>
    <b:Title>In situ photoimmunotherapy: a tumor-directed treatment for melanoma</b:Title>
    <b:JournalName>British Journal of Dermatology</b:JournalName>
    <b:Year>2006</b:Year>
    <b:Pages>1287-1292</b:Pages>
    <b:RefOrder>14</b:RefOrder>
  </b:Source>
  <b:Source>
    <b:Tag>Zho18</b:Tag>
    <b:SourceType>JournalArticle</b:SourceType>
    <b:Guid>{03722DE5-C23E-2B40-B115-160F4E7A2612}</b:Guid>
    <b:Author>
      <b:Author>
        <b:NameList>
          <b:Person>
            <b:Last>Zhou</b:Last>
          </b:Person>
        </b:NameList>
      </b:Author>
    </b:Author>
    <b:Title>Local Phototherapy Synergizes with Immunoadjuvant for Treatment of Pancreatic Cancer through Induced Immunogenic Tumor Vaccine.</b:Title>
    <b:Year>2018</b:Year>
    <b:Pages>5335-5346</b:Pages>
    <b:JournalName>Clinical Cancer Research</b:JournalName>
    <b:RefOrder>15</b:RefOrder>
  </b:Source>
  <b:Source>
    <b:Tag>Liu22</b:Tag>
    <b:SourceType>JournalArticle</b:SourceType>
    <b:Guid>{21546ECA-FF9D-274A-BB2F-FDCC6FBF52AA}</b:Guid>
    <b:Author>
      <b:Author>
        <b:NameList>
          <b:Person>
            <b:Last>Liu</b:Last>
            <b:First>et</b:First>
            <b:Middle>al</b:Middle>
          </b:Person>
        </b:NameList>
      </b:Author>
    </b:Author>
    <b:Title>Antigen presentation and interferon signatures in B cells driven by localized ablative cancer immunotherapy correlate with extended survival.</b:Title>
    <b:JournalName>Theranostics</b:JournalName>
    <b:Year>2022</b:Year>
    <b:Pages>639-656</b:Pages>
    <b:RefOrder>16</b:RefOrder>
  </b:Source>
  <b:Source>
    <b:Tag>Ste06</b:Tag>
    <b:SourceType>JournalArticle</b:SourceType>
    <b:Guid>{4148F7E5-FB55-7E4E-9C40-EC2D6772AB64}</b:Guid>
    <b:Author>
      <b:Author>
        <b:NameList>
          <b:Person>
            <b:Last>Stetson</b:Last>
            <b:First>et</b:First>
            <b:Middle>al</b:Middle>
          </b:Person>
        </b:NameList>
      </b:Author>
    </b:Author>
    <b:Title>Type I interferons in host defense</b:Title>
    <b:JournalName>Immunity</b:JournalName>
    <b:Year>2006</b:Year>
    <b:Pages>373-381</b:Pages>
    <b:RefOrder>18</b:RefOrder>
  </b:Source>
  <b:Source>
    <b:Tag>McN15</b:Tag>
    <b:SourceType>JournalArticle</b:SourceType>
    <b:Guid>{76EA5174-E5FE-D349-944D-70B4349C97D0}</b:Guid>
    <b:Author>
      <b:Author>
        <b:NameList>
          <b:Person>
            <b:Last>McNab</b:Last>
            <b:First>et</b:First>
            <b:Middle>al</b:Middle>
          </b:Person>
        </b:NameList>
      </b:Author>
    </b:Author>
    <b:Title>Type I interferons in infectious disease</b:Title>
    <b:Year>2015</b:Year>
    <b:JournalName>Nature Reviews Immunology</b:JournalName>
    <b:Pages>87-103</b:Pages>
    <b:RefOrder>3</b:RefOrder>
  </b:Source>
  <b:Source>
    <b:Tag>She21</b:Tag>
    <b:SourceType>JournalArticle</b:SourceType>
    <b:Guid>{05BB809C-1D39-314B-80F9-571616ED33FD}</b:Guid>
    <b:Author>
      <b:Author>
        <b:NameList>
          <b:Person>
            <b:Last>Shemesh</b:Last>
            <b:First>et</b:First>
            <b:Middle>al</b:Middle>
          </b:Person>
        </b:NameList>
      </b:Author>
    </b:Author>
    <b:Title>SARS-CoV-2 suppresses IFNβ production mediated by NSP1, 5, 6, 15, ORF6 and ORF7b but does not suppress the effects of added interferon</b:Title>
    <b:JournalName>PLOS Pathogens</b:JournalName>
    <b:Year>2021</b:Year>
    <b:RefOrder>19</b:RefOrder>
  </b:Source>
  <b:Source>
    <b:Tag>Lei20</b:Tag>
    <b:SourceType>JournalArticle</b:SourceType>
    <b:Guid>{DE68E7AD-B925-C741-A25C-60D5EE76386C}</b:Guid>
    <b:Author>
      <b:Author>
        <b:NameList>
          <b:Person>
            <b:Last>Lei</b:Last>
            <b:First>et</b:First>
            <b:Middle>al</b:Middle>
          </b:Person>
        </b:NameList>
      </b:Author>
    </b:Author>
    <b:Title>Activation and evasion of type I interferon responses by SARS-CoV-2</b:Title>
    <b:JournalName>Nature communications</b:JournalName>
    <b:Year>2020</b:Year>
    <b:RefOrder>20</b:RefOrder>
  </b:Source>
  <b:Source>
    <b:Tag>Xit15</b:Tag>
    <b:SourceType>JournalArticle</b:SourceType>
    <b:Guid>{DEA03427-F979-234C-8052-A4041930A1E4}</b:Guid>
    <b:Author>
      <b:Author>
        <b:NameList>
          <b:Person>
            <b:Last>Xitvogel</b:Last>
            <b:First>et</b:First>
            <b:Middle>al</b:Middle>
          </b:Person>
        </b:NameList>
      </b:Author>
    </b:Author>
    <b:Title>Type I interferons in anticancer immunity</b:Title>
    <b:JournalName>Nature eviews Immunology</b:JournalName>
    <b:Year>2015</b:Year>
    <b:Pages>405-414</b:Pages>
    <b:RefOrder>21</b:RefOrder>
  </b:Source>
  <b:Source>
    <b:Tag>Deb03</b:Tag>
    <b:SourceType>JournalArticle</b:SourceType>
    <b:Guid>{DAB01543-7FF7-4847-B59E-6E6B9046D401}</b:Guid>
    <b:Author>
      <b:Author>
        <b:NameList>
          <b:Person>
            <b:Last>Debertin</b:Last>
            <b:First>et</b:First>
            <b:Middle>al</b:Middle>
          </b:Person>
        </b:NameList>
      </b:Author>
    </b:Author>
    <b:Title>Nasal-associated lymphoid tissue (NALT): frequency and localization in young children</b:Title>
    <b:JournalName>Clinical and experimental immunology</b:JournalName>
    <b:Year>2003</b:Year>
    <b:Pages>503-507</b:Pages>
    <b:RefOrder>23</b:RefOrder>
  </b:Source>
  <b:Source>
    <b:Tag>Kan13</b:Tag>
    <b:SourceType>JournalArticle</b:SourceType>
    <b:Guid>{E9362D6F-414F-9F4C-AA56-32E45C3F5260}</b:Guid>
    <b:Author>
      <b:Author>
        <b:NameList>
          <b:Person>
            <b:Last>Kang</b:Last>
            <b:First>et</b:First>
            <b:Middle>al</b:Middle>
          </b:Person>
        </b:NameList>
      </b:Author>
    </b:Author>
    <b:Title>Characteristics of nasal-associated lymphoid tissue (NALT) and nasal absorption capacity in chicken.</b:Title>
    <b:JournalName>PloS one</b:JournalName>
    <b:Year>2013</b:Year>
    <b:RefOrder>24</b:RefOrder>
  </b:Source>
  <b:Source>
    <b:Tag>Zam12</b:Tag>
    <b:SourceType>JournalArticle</b:SourceType>
    <b:Guid>{E05ACCA4-834C-614F-9CFE-E0849C7294C5}</b:Guid>
    <b:Author>
      <b:Author>
        <b:NameList>
          <b:Person>
            <b:Last>Zaman</b:Last>
            <b:First>et</b:First>
            <b:Middle>al</b:Middle>
          </b:Person>
        </b:NameList>
      </b:Author>
    </b:Author>
    <b:Title>Strategies for intranasal delivery of vaccines</b:Title>
    <b:JournalName>Drug Delivery Translational Research</b:JournalName>
    <b:Year>2012</b:Year>
    <b:Pages>100-109</b:Pages>
    <b:RefOrder>25</b:RefOrder>
  </b:Source>
  <b:Source>
    <b:Tag>UTS22</b:Tag>
    <b:SourceType>InternetSite</b:SourceType>
    <b:Guid>{84EA172C-E3AB-AB49-8DE7-5F7218A5F373}</b:Guid>
    <b:Title>IVIS Spectrum (Bioluminescence and Fluorescence)</b:Title>
    <b:Year>2022</b:Year>
    <b:Author>
      <b:Author>
        <b:Corporate>UT Southwestern Medical Center</b:Corporate>
      </b:Author>
    </b:Author>
    <b:InternetSiteTitle>Small Animal Imaging Resource</b:InternetSiteTitle>
    <b:URL>https://www.utsouthwestern.edu/research/core-facilities/sair/equipment/ivis-spectrum.html#:~:text=IVIS%20Spectrum%20(Bioluminescence%20and%20Fluorescence,expression%20patterns%20in%20living%20animals.</b:URL>
    <b:RefOrder>28</b:RefOrder>
  </b:Source>
  <b:Source>
    <b:Tag>Jac24</b:Tag>
    <b:SourceType>InternetSite</b:SourceType>
    <b:Guid>{C8046166-EC3D-594E-8C7C-AB4BD4710FB1}</b:Guid>
    <b:Author>
      <b:Author>
        <b:Corporate>Jackson Laboratory</b:Corporate>
      </b:Author>
    </b:Author>
    <b:Title>069613 - M1Red Strain Details</b:Title>
    <b:InternetSiteTitle>The Jackson Laboratory</b:InternetSiteTitle>
    <b:URL>https://www.jax.org/strain/037280</b:URL>
    <b:Year>2024</b:Year>
    <b:RefOrder>29</b:RefOrder>
  </b:Source>
  <b:Source>
    <b:Tag>Sti19</b:Tag>
    <b:SourceType>JournalArticle</b:SourceType>
    <b:Guid>{4FFBA06F-EA15-9D4E-B5CD-B9BFE7F1FA3B}</b:Guid>
    <b:Author>
      <b:Author>
        <b:NameList>
          <b:Person>
            <b:Last>Stifter</b:Last>
            <b:First>et</b:First>
            <b:Middle>al.</b:Middle>
          </b:Person>
        </b:NameList>
      </b:Author>
    </b:Author>
    <b:Title>Visualizing the Selectivity and Dynamics of Interferno Signaling In Vivo</b:Title>
    <b:JournalName>Cell reports</b:JournalName>
    <b:Year>2019</b:Year>
    <b:Pages>3539-3550</b:Pages>
    <b:RefOrder>27</b:RefOrder>
  </b:Source>
  <b:Source>
    <b:Tag>Coo13</b:Tag>
    <b:SourceType>JournalArticle</b:SourceType>
    <b:Guid>{E08BF49D-0C78-6247-BD47-F000A8BC08D4}</b:Guid>
    <b:Author>
      <b:Author>
        <b:NameList>
          <b:Person>
            <b:Last>Cool</b:Last>
            <b:First>et</b:First>
            <b:Middle>al</b:Middle>
          </b:Person>
        </b:NameList>
      </b:Author>
    </b:Author>
    <b:Title>Comparison of In Vivo Optical Systems for Bioluminescence and Fluorescence Imaging</b:Title>
    <b:Year>2013</b:Year>
    <b:JournalName>Journal of Fluorescence</b:JournalName>
    <b:Pages>909-920</b:Pages>
    <b:RefOrder>30</b:RefOrder>
  </b:Source>
  <b:Source>
    <b:Tag>Ill24</b:Tag>
    <b:SourceType>InternetSite</b:SourceType>
    <b:Guid>{E3335C95-4DB6-DE41-B4A0-64E8C0570412}</b:Guid>
    <b:Title>Study gene expression using RNA sequencing</b:Title>
    <b:Year>2024</b:Year>
    <b:Author>
      <b:Author>
        <b:Corporate>Illumina</b:Corporate>
      </b:Author>
    </b:Author>
    <b:InternetSiteTitle>Illumina.com</b:InternetSiteTitle>
    <b:URL>https://www.illumina.com/techniques/sequencing/rna-sequencing.html</b:URL>
    <b:RefOrder>32</b:RefOrder>
  </b:Source>
  <b:Source>
    <b:Tag>Wan09</b:Tag>
    <b:SourceType>JournalArticle</b:SourceType>
    <b:Guid>{3BF5B24D-A362-E347-89AA-32421746272D}</b:Guid>
    <b:Author>
      <b:Author>
        <b:NameList>
          <b:Person>
            <b:Last>Wang</b:Last>
            <b:First>et</b:First>
            <b:Middle>al</b:Middle>
          </b:Person>
        </b:NameList>
      </b:Author>
    </b:Author>
    <b:Title>RNA-Seq: a revolutionary tool for transcriptomics</b:Title>
    <b:Year>2009</b:Year>
    <b:JournalName>Nature reviews: Genetics</b:JournalName>
    <b:Pages>57-63</b:Pages>
    <b:RefOrder>33</b:RefOrder>
  </b:Source>
  <b:Source>
    <b:Tag>CDG24</b:Tag>
    <b:SourceType>InternetSite</b:SourceType>
    <b:Guid>{A7CDBA27-C1F6-5340-B267-841DA685B8B9}</b:Guid>
    <b:Author>
      <b:Author>
        <b:Corporate>CD Genomics</b:Corporate>
      </b:Author>
    </b:Author>
    <b:Title>Bulk RNA Sequencing vs. Single Cell RNA Sequencing</b:Title>
    <b:InternetSiteTitle>CD Genomics - RNA solutions</b:InternetSiteTitle>
    <b:URL>https://rna.cd-genomics.com/resource/bulk-rna-vs-single-cell-rna-seq.html</b:URL>
    <b:Year>2024</b:Year>
    <b:RefOrder>34</b:RefOrder>
  </b:Source>
  <b:Source>
    <b:Tag>Heg22</b:Tag>
    <b:SourceType>JournalArticle</b:SourceType>
    <b:Guid>{72C596DF-77E7-6849-8589-905FA6414850}</b:Guid>
    <b:Author>
      <b:Author>
        <b:NameList>
          <b:Person>
            <b:Last>Hegenbarth</b:Last>
            <b:First>et</b:First>
            <b:Middle>al</b:Middle>
          </b:Person>
        </b:NameList>
      </b:Author>
    </b:Author>
    <b:Title>Perspectives on Bulk-Tissue RNA Sequencing and Single-Cell RNA Sequencing for Cardiac Transcriptomics</b:Title>
    <b:JournalName>Molecuar Medicine for Cardiology</b:JournalName>
    <b:Year>2022</b:Year>
    <b:RefOrder>35</b:RefOrder>
  </b:Source>
  <b:Source>
    <b:Tag>Jac</b:Tag>
    <b:SourceType>InternetSite</b:SourceType>
    <b:Guid>{8D52BC6F-C5C6-DF4A-8EE7-55509F068370}</b:Guid>
    <b:Author>
      <b:Author>
        <b:Corporate>Jackson Laboratory</b:Corporate>
      </b:Author>
    </b:Author>
    <b:Title>C57BL/6-Tg(Irgm1-DsRed2)1Nci/Mmjax</b:Title>
    <b:InternetSiteTitle>The Jackson Laboratory</b:InternetSiteTitle>
    <b:URL>https://www.jax.org/strain/037280</b:URL>
    <b:RefOrder>36</b:RefOrder>
  </b:Source>
  <b:Source>
    <b:Tag>Hyl22</b:Tag>
    <b:SourceType>JournalArticle</b:SourceType>
    <b:Guid>{CD6A926A-EF7A-AF46-883C-CA1C802DCEE7}</b:Guid>
    <b:Author>
      <b:Author>
        <b:NameList>
          <b:Person>
            <b:Last>Hylander</b:Last>
            <b:First>Rpasky,</b:First>
            <b:Middle>and Sexton</b:Middle>
          </b:Person>
        </b:NameList>
      </b:Author>
    </b:Author>
    <b:Title>Using Mice to Model Human Disease: Understanding the Roles of Baseline Housing-Induced and Experimentally Imposed Stresses in Animal Welfare and Experimental Reproducibility.</b:Title>
    <b:Year>2022</b:Year>
    <b:JournalName>Animals: an open access journal from MDPI</b:JournalName>
    <b:Pages>371</b:Pages>
    <b:RefOrder>37</b:RefOrder>
  </b:Source>
  <b:Source>
    <b:Tag>Ago22</b:Tag>
    <b:SourceType>JournalArticle</b:SourceType>
    <b:Guid>{CD1A552A-6BEA-CF45-B237-2D044E154937}</b:Guid>
    <b:Author>
      <b:Author>
        <b:NameList>
          <b:Person>
            <b:Last>Agostino</b:Last>
            <b:First>et</b:First>
            <b:Middle>al</b:Middle>
          </b:Person>
        </b:NameList>
      </b:Author>
    </b:Author>
    <b:Title>Protocol for isolation and characterization of lung tissue resident memory T cells and airway trained innate immunity after intranasal vaccination in mice</b:Title>
    <b:JournalName>STAR Protocols</b:JournalName>
    <b:Year>2022</b:Year>
    <b:RefOrder>38</b:RefOrder>
  </b:Source>
  <b:Source>
    <b:Tag>JoV12</b:Tag>
    <b:SourceType>InternetSite</b:SourceType>
    <b:Guid>{6005BFB3-6561-E647-B15A-252235177917}</b:Guid>
    <b:Title>Examining the role of NALT in mouse reponses to vaccines</b:Title>
    <b:Year>2012</b:Year>
    <b:Author>
      <b:Author>
        <b:Corporate>JoVE Journal</b:Corporate>
      </b:Author>
    </b:Author>
    <b:InternetSiteTitle>JoVE Journal: Immunology and Infection</b:InternetSiteTitle>
    <b:URL>https://app.jove.com/v/3960/examining-the-role-of-nasopharyngeal-associated-lymphoreticular-tissue-nalt-in-mouse-responses-to-vaccines</b:URL>
    <b:RefOrder>39</b:RefOrder>
  </b:Source>
  <b:Source>
    <b:Tag>ANa14</b:Tag>
    <b:SourceType>JournalArticle</b:SourceType>
    <b:Guid>{59823936-4FFC-E04B-8538-EA6A60BF7FAB}</b:Guid>
    <b:Author>
      <b:Author>
        <b:NameList>
          <b:Person>
            <b:Last>A Nacer</b:Last>
            <b:First>D</b:First>
            <b:Middle>Carapau, R Mitchell, A Meltzer, A Shaw, U Frevert &amp; E H Nardin</b:Middle>
          </b:Person>
        </b:NameList>
      </b:Author>
    </b:Author>
    <b:Title>Imaging murine NALT following intranasal immunization with flagellin-modified circumsporozoite protein malaria vaccines</b:Title>
    <b:Year>2014</b:Year>
    <b:JournalName>Mucosal Immunology</b:JournalName>
    <b:Pages>304-314</b:Pages>
    <b:RefOrder>40</b:RefOrder>
  </b:Source>
  <b:Source>
    <b:Tag>Gla10</b:Tag>
    <b:SourceType>JournalArticle</b:SourceType>
    <b:Guid>{04A8D573-AB9E-024F-8FC5-088E14F7DCC6}</b:Guid>
    <b:Author>
      <b:Author>
        <b:NameList>
          <b:Person>
            <b:Last>Mushegian</b:Last>
            <b:First>Glazko</b:First>
            <b:Middle>&amp;</b:Middle>
          </b:Person>
        </b:NameList>
      </b:Author>
    </b:Author>
    <b:Title>Measuring gene expression divergence: the distance to keep.</b:Title>
    <b:JournalName>Biology direct</b:JournalName>
    <b:Year>2010</b:Year>
    <b:Pages>51</b:Pages>
    <b:RefOrder>41</b:RefOrder>
  </b:Source>
  <b:Source>
    <b:Tag>Lov15</b:Tag>
    <b:SourceType>JournalArticle</b:SourceType>
    <b:Guid>{5EC1DD0F-9C69-404B-8C20-BDB3CA8D7EE3}</b:Guid>
    <b:Author>
      <b:Author>
        <b:NameList>
          <b:Person>
            <b:Last>Love</b:Last>
            <b:First>Anders,</b:First>
            <b:Middle>Kim, and Huber</b:Middle>
          </b:Person>
        </b:NameList>
      </b:Author>
    </b:Author>
    <b:Title>RNA-seq workflow: gene-level exploratory analysis and differential expression</b:Title>
    <b:JournalName>F1000Research</b:JournalName>
    <b:Year>2015</b:Year>
    <b:Pages>1070</b:Pages>
    <b:RefOrder>42</b:RefOrder>
  </b:Source>
  <b:Source>
    <b:Tag>Rom14</b:Tag>
    <b:SourceType>JournalArticle</b:SourceType>
    <b:Guid>{E67D1A82-781D-2A4B-8250-CCDC56B291DB}</b:Guid>
    <b:Title>RNA-seq: impact of RNA degradation on transcript quantification</b:Title>
    <b:Year>2014</b:Year>
    <b:Author>
      <b:Author>
        <b:NameList>
          <b:Person>
            <b:Last>Romero</b:Last>
            <b:First>et</b:First>
            <b:Middle>al</b:Middle>
          </b:Person>
        </b:NameList>
      </b:Author>
    </b:Author>
    <b:JournalName>BMC Biology</b:JournalName>
    <b:RefOrder>43</b:RefOrder>
  </b:Source>
  <b:Source>
    <b:Tag>Pen24</b:Tag>
    <b:SourceType>InternetSite</b:SourceType>
    <b:Guid>{40B11E1D-2A2E-9D4C-A5A8-0984DA8FE303}</b:Guid>
    <b:Title>RNA-seq Sample Guidelines</b:Title>
    <b:InternetSiteTitle>Penn State University</b:InternetSiteTitle>
    <b:URL>https://www.huck.psu.edu/core-facilities/genomics-core-facility/sample-recommendations/rna-seq-sample-guidelines#:~:text=We%20not%20only%20like%20to,of%20a%20group%20of%20samples.</b:URL>
    <b:Year>2024</b:Year>
    <b:Author>
      <b:Author>
        <b:Corporate>PennState: Huck Institutes of the Life Sciences</b:Corporate>
      </b:Author>
    </b:Author>
    <b:RefOrder>44</b:RefOrder>
  </b:Source>
  <b:Source>
    <b:Tag>For13</b:Tag>
    <b:SourceType>JournalArticle</b:SourceType>
    <b:Guid>{EA0657CD-8E1A-7D4F-91EF-3CF57A5413CC}</b:Guid>
    <b:Title>Long-term RNA persistence in postmortem contexts</b:Title>
    <b:Year>2013</b:Year>
    <b:Pages>7</b:Pages>
    <b:Author>
      <b:Author>
        <b:NameList>
          <b:Person>
            <b:Last>Fordyce</b:Last>
            <b:First>Kampmann,</b:First>
            <b:Middle>Doorn, and Gilbert</b:Middle>
          </b:Person>
        </b:NameList>
      </b:Author>
    </b:Author>
    <b:JournalName>Investigative Genetics</b:JournalName>
    <b:RefOrder>45</b:RefOrder>
  </b:Source>
  <b:Source>
    <b:Tag>Cis12</b:Tag>
    <b:SourceType>JournalArticle</b:SourceType>
    <b:Guid>{86E42964-BBCE-E84A-9707-009DB2EA9132}</b:Guid>
    <b:Author>
      <b:Author>
        <b:NameList>
          <b:Person>
            <b:Last>Cisney</b:Last>
            <b:First>Fernandez,</b:First>
            <b:Middle>Hall, Krietz, and Ulrich</b:Middle>
          </b:Person>
        </b:NameList>
      </b:Author>
    </b:Author>
    <b:Title>Examining the role of nasopharymgeal-associated lymphoreticular tissue (NALT) in mouse responses to vaccines</b:Title>
    <b:JournalName>JoVE</b:JournalName>
    <b:Year>2012</b:Year>
    <b:Pages>3960</b:Pages>
    <b:RefOrder>46</b:RefOrder>
  </b:Source>
  <b:Source>
    <b:Tag>Shi20</b:Tag>
    <b:SourceType>JournalArticle</b:SourceType>
    <b:Guid>{3A5AE461-B8EE-F245-9A14-015B58B139B3}</b:Guid>
    <b:Author>
      <b:Author>
        <b:NameList>
          <b:Person>
            <b:Last>Shim</b:Last>
            <b:First>et</b:First>
            <b:Middle>al.</b:Middle>
          </b:Person>
        </b:NameList>
      </b:Author>
    </b:Author>
    <b:Title>Induction of systemic immunity through nasal-associated lymphoid tissue (NALT) of mice intranasally immunized with Brucella abortus malate dehydrogenase-loaded chitosan nanoparticles.</b:Title>
    <b:JournalName>PloS one</b:JournalName>
    <b:Year>2020</b:Year>
    <b:RefOrder>47</b:RefOrder>
  </b:Source>
  <b:Source>
    <b:Tag>Coa23</b:Tag>
    <b:SourceType>JournalArticle</b:SourceType>
    <b:Guid>{46B1BC48-FB45-494A-A015-8D9F7C877980}</b:Guid>
    <b:Author>
      <b:Author>
        <b:NameList>
          <b:Person>
            <b:Last>Coates</b:Last>
            <b:First>et</b:First>
            <b:Middle>al</b:Middle>
          </b:Person>
        </b:NameList>
      </b:Author>
    </b:Author>
    <b:Title>Temporal profiling of human lymphoid tissues reveals coordinated defence to viral challenge</b:Title>
    <b:JournalName>BioRxiv</b:JournalName>
    <b:Year>2023</b:Year>
    <b:RefOrder>48</b:RefOrder>
  </b:Source>
  <b:Source>
    <b:Tag>Lia21</b:Tag>
    <b:SourceType>JournalArticle</b:SourceType>
    <b:Guid>{93611310-A4BD-7442-9413-9A45C331D8E3}</b:Guid>
    <b:Title>From bulk, single-cell to spatial RNA sequencing</b:Title>
    <b:Year>2021</b:Year>
    <b:Author>
      <b:Author>
        <b:NameList>
          <b:Person>
            <b:Last>Want</b:Last>
            <b:First>Li</b:First>
            <b:Middle>and</b:Middle>
          </b:Person>
        </b:NameList>
      </b:Author>
    </b:Author>
    <b:JournalName>International Journal of Oral Science</b:JournalName>
    <b:RefOrder>49</b:RefOrder>
  </b:Source>
  <b:Source>
    <b:Tag>Alb24</b:Tag>
    <b:SourceType>InternetSite</b:SourceType>
    <b:Guid>{FA50CD17-71E3-BA46-BD8D-18C6FD0C7F4F}</b:Guid>
    <b:Author>
      <b:Author>
        <b:Corporate>Albert Einstein College of Medicine</b:Corporate>
      </b:Author>
    </b:Author>
    <b:Title>In Vivo Imaging System (IVIS)</b:Title>
    <b:InternetSiteTitle>Shared Facilities &amp; Cores</b:InternetSiteTitle>
    <b:URL>https://einsteinmed.edu/research/shared-facilities/cores/77/in-vivo-imaging-system-ivis/#:~:text=The%20IVIS%20facility%20provides%20access,or%20far%2Dred%20fluorescent%20probes.</b:URL>
    <b:Year>2024</b:Year>
    <b:RefOrder>50</b:RefOrder>
  </b:Source>
  <b:Source>
    <b:Tag>Lim09</b:Tag>
    <b:SourceType>JournalArticle</b:SourceType>
    <b:Guid>{C1DCD660-2790-4646-97C3-8A2DB078D6B9}</b:Guid>
    <b:Author>
      <b:Author>
        <b:NameList>
          <b:Person>
            <b:Last>Lim</b:Last>
            <b:First>et</b:First>
            <b:Middle>al</b:Middle>
          </b:Person>
        </b:NameList>
      </b:Author>
    </b:Author>
    <b:Title>In vivo Bioluminescent Imaging of Mammary Tumors Using IVIS Spectrum</b:Title>
    <b:JournalName>JoVE Journal of Biology</b:JournalName>
    <b:Year>2009</b:Year>
    <b:RefOrder>51</b:RefOrder>
  </b:Source>
  <b:Source>
    <b:Tag>Cal24</b:Tag>
    <b:SourceType>DocumentFromInternetSite</b:SourceType>
    <b:Guid>{5482DB62-5BD0-2D4C-A6FB-1E4A47586D59}</b:Guid>
    <b:Author>
      <b:Author>
        <b:Corporate>Caliper Life Sciences</b:Corporate>
      </b:Author>
    </b:Author>
    <b:Title>IVIS Spectrum: Advanced Small Animal Imaging of Fluorescent and Bioluminescent Probe</b:Title>
    <b:Year>2024</b:Year>
    <b:InternetSiteTitle>iLab Solutions</b:InternetSiteTitle>
    <b:URL>https://content.ilabsolutions.com/wp-content/uploads/2014/11/IVIS-Spectrum-Advanced-Training-Presentation.pdf</b:URL>
    <b:RefOrder>52</b:RefOrder>
  </b:Source>
  <b:Source>
    <b:Tag>Yue21</b:Tag>
    <b:SourceType>JournalArticle</b:SourceType>
    <b:Guid>{28A4895E-6394-F34B-9C9E-EE71915C3841}</b:Guid>
    <b:Title>Statistical and Bioinformatics Analysis of Data from Bulk and Single-Cell RNA Sequencing Experiments</b:Title>
    <b:Year>2021</b:Year>
    <b:Author>
      <b:Author>
        <b:NameList>
          <b:Person>
            <b:Last>Yu</b:Last>
            <b:First>et</b:First>
            <b:Middle>al</b:Middle>
          </b:Person>
        </b:NameList>
      </b:Author>
    </b:Author>
    <b:JournalName>Methods in Molecular Biology</b:JournalName>
    <b:Pages>143-175</b:Pages>
    <b:RefOrder>53</b:RefOrder>
  </b:Source>
  <b:Source>
    <b:Tag>Bra</b:Tag>
    <b:SourceType>DocumentFromInternetSite</b:SourceType>
    <b:Guid>{3F35D65E-70F0-C24F-955A-F0E5C946ADB6}</b:Guid>
    <b:Title>In Vivo Imaging: IVIS Spectrum</b:Title>
    <b:Author>
      <b:Author>
        <b:NameList>
          <b:Person>
            <b:Last>Taylor</b:Last>
            <b:First>Brad</b:First>
          </b:Person>
        </b:NameList>
      </b:Author>
    </b:Author>
    <b:InternetSiteTitle>iLab Solutions</b:InternetSiteTitle>
    <b:URL>https://content.ilabsolutions.com/wp-content/uploads/2014/11/IVIS-Spectrum-Basic-Training-Presentation.pdf</b:URL>
    <b:RefOrder>54</b:RefOrder>
  </b:Source>
  <b:Source>
    <b:Tag>Tru00</b:Tag>
    <b:SourceType>JournalArticle</b:SourceType>
    <b:Guid>{7DE92397-A752-4A4D-95F0-6ABB5066A246}</b:Guid>
    <b:Author>
      <b:Author>
        <b:NameList>
          <b:Person>
            <b:Last>Truett</b:Last>
            <b:First>et</b:First>
            <b:Middle>al</b:Middle>
          </b:Person>
        </b:NameList>
      </b:Author>
    </b:Author>
    <b:Title>NaOH extrction (quick dirty DNA preparation)</b:Title>
    <b:Year>2000</b:Year>
    <b:JournalName>Biotechniques</b:JournalName>
    <b:Pages>52-54</b:Pages>
    <b:RefOrder>55</b:RefOrder>
  </b:Source>
  <b:Source>
    <b:Tag>YuR22</b:Tag>
    <b:SourceType>JournalArticle</b:SourceType>
    <b:Guid>{96402017-B36D-3F4A-A131-454FC7758D8E}</b:Guid>
    <b:Author>
      <b:Author>
        <b:NameList>
          <b:Person>
            <b:Last>Yu</b:Last>
            <b:First>R.,</b:First>
            <b:Middle>et al</b:Middle>
          </b:Person>
        </b:NameList>
      </b:Author>
    </b:Author>
    <b:Title>Type I interferon-mediated tumor immunity and its role in immunotherapy</b:Title>
    <b:JournalName>Cellular and Molecular Life Sciences</b:JournalName>
    <b:Year>2022</b:Year>
    <b:Pages>191</b:Pages>
    <b:RefOrder>17</b:RefOrder>
  </b:Source>
  <b:Source>
    <b:Tag>Bit17</b:Tag>
    <b:SourceType>JournalArticle</b:SourceType>
    <b:Guid>{8760E3DC-0FAC-0F43-AAE9-3298890479AD}</b:Guid>
    <b:Author>
      <b:Author>
        <b:NameList>
          <b:Person>
            <b:Last>Bittner-Eddy</b:Last>
            <b:First>P.</b:First>
            <b:Middle>D., et al</b:Middle>
          </b:Person>
        </b:NameList>
      </b:Author>
    </b:Author>
    <b:Title>Discriminating between Interstitital and Circulating Leukocytes in Tissues of the Murine Oral Mucosa Avoiding Nasal-Associated Lymphoid Tissue Contamination</b:Title>
    <b:JournalName>Frontiers in Immunology</b:JournalName>
    <b:Year>2017</b:Year>
    <b:Pages>1398</b:Pages>
    <b:RefOrder>22</b:RefOrder>
  </b:Source>
  <b:Source>
    <b:Tag>Nel21</b:Tag>
    <b:SourceType>JournalArticle</b:SourceType>
    <b:Guid>{2EB37EE0-F9B5-FC42-B61A-E116346ADF94}</b:Guid>
    <b:Author>
      <b:Author>
        <b:NameList>
          <b:Person>
            <b:Last>Nelson</b:Last>
            <b:First>S.</b:First>
            <b:Middle>A., et al</b:Middle>
          </b:Person>
        </b:NameList>
      </b:Author>
    </b:Author>
    <b:Title>Potentiating Lung Mucosal Immunity Through Intranasal Vaccination</b:Title>
    <b:JournalName>Frontieres in Immunology</b:JournalName>
    <b:Year>2021</b:Year>
    <b:Pages>808527</b:Pages>
    <b:RefOrder>26</b:RefOrder>
  </b:Source>
  <b:Source>
    <b:Tag>YuX21</b:Tag>
    <b:SourceType>JournalArticle</b:SourceType>
    <b:Guid>{D19D3E8B-35BD-8C4D-A9D7-9BA7E1DC20B1}</b:Guid>
    <b:Author>
      <b:Author>
        <b:NameList>
          <b:Person>
            <b:Last>Yu</b:Last>
            <b:First>X.,</b:First>
            <b:Middle>et al</b:Middle>
          </b:Person>
        </b:NameList>
      </b:Author>
    </b:Author>
    <b:Title>Statistical and Bioinformatics Analysis of Data from Bulk and Single-Cell RNA Sequencing Experiments.</b:Title>
    <b:JournalName>Methods in molecular biology</b:JournalName>
    <b:Year>2021</b:Year>
    <b:Pages>143-175</b:Pages>
    <b:RefOrder>31</b:RefOrder>
  </b:Source>
</b:Sources>
</file>

<file path=customXml/itemProps1.xml><?xml version="1.0" encoding="utf-8"?>
<ds:datastoreItem xmlns:ds="http://schemas.openxmlformats.org/officeDocument/2006/customXml" ds:itemID="{F93B5FD9-B6CC-9944-AB58-3FCACB255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.~WRD0000</Template>
  <TotalTime>2</TotalTime>
  <Pages>68</Pages>
  <Words>15845</Words>
  <Characters>90321</Characters>
  <Application>Microsoft Office Word</Application>
  <DocSecurity>0</DocSecurity>
  <Lines>752</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Malayna Unkel</dc:creator>
  <cp:keywords/>
  <dc:description/>
  <cp:lastModifiedBy>Malayna Unkel</cp:lastModifiedBy>
  <cp:revision>3</cp:revision>
  <dcterms:created xsi:type="dcterms:W3CDTF">2024-07-25T20:46:00Z</dcterms:created>
  <dcterms:modified xsi:type="dcterms:W3CDTF">2024-07-25T20:47:00Z</dcterms:modified>
</cp:coreProperties>
</file>